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E6EF" w14:textId="77777777" w:rsidR="00000000" w:rsidRDefault="00C01C43">
      <w:pPr>
        <w:divId w:val="759106903"/>
        <w:rPr>
          <w:rFonts w:eastAsia="Times New Roman"/>
          <w:vanish/>
        </w:rPr>
      </w:pPr>
      <w:r>
        <w:rPr>
          <w:rFonts w:eastAsia="Times New Roman"/>
          <w:vanish/>
        </w:rPr>
        <w:t>0000789460false2020FYus-gaap:LongTermDebtAndCapitalLeaseObligationsus-gaap:LongTermDebtAndCapitalLeaseObligationsus-gaap:AccountingStandardsUpdate201613Memberus-gaap:OtherLiabilitiesNoncurrent</w:t>
      </w:r>
      <w:r>
        <w:rPr>
          <w:rFonts w:eastAsia="Times New Roman"/>
          <w:vanish/>
        </w:rPr>
        <w:t>us-gaap:OtherLiabilitiesNoncurrentus-gaap:LongTermDebtAndCapitalLeaseObligationsus-gaap:LongTermDebtAndCapitalLeaseObligationsint:IntangibleAssetsNetExcludingGoodwillAndOtherAssetsNoncurrentint:IntangibleAssetsNetExcludingGoodwillAndOtherAssetsNoncurrentus</w:t>
      </w:r>
      <w:r>
        <w:rPr>
          <w:rFonts w:eastAsia="Times New Roman"/>
          <w:vanish/>
        </w:rPr>
        <w:t>-gaap:PropertyPlantAndEquipmentAndFinanceLeaseRightOfUseAssetAfterAccumulatedDepreciationAndAmortizationus-gaap:PropertyPlantAndEquipmentAndFinanceLeaseRightOfUseAssetAfterAccumulatedDepreciationAndAmortizationus-gaap:AccruedLiabilitiesCurrentus-gaap:Accru</w:t>
      </w:r>
      <w:r>
        <w:rPr>
          <w:rFonts w:eastAsia="Times New Roman"/>
          <w:vanish/>
        </w:rPr>
        <w:t>edLiabilitiesCurrentus-gaap:LongTermDebtAndCapitalLeaseObligationsCurrentus-gaap:LongTermDebtAndCapitalLeaseObligationsCurrent00007894602020-01-012020-12-31iso4217:USD00007894602020-06-30xbrli:shares00007894602021-02-1900007894602020-12-3100007894602019-12</w:t>
      </w:r>
      <w:r>
        <w:rPr>
          <w:rFonts w:eastAsia="Times New Roman"/>
          <w:vanish/>
        </w:rPr>
        <w:t>-31iso4217:USDxbrli:shares00007894602019-01-012019-12-3100007894602018-01-012018-12-310000789460us-gaap:CommonStockMember2017-12-310000789460us-gaap:AdditionalPaidInCapitalMember2017-12-310000789460us-gaap:RetainedEarningsMember2017-12-310000789460us-gaap:</w:t>
      </w:r>
      <w:r>
        <w:rPr>
          <w:rFonts w:eastAsia="Times New Roman"/>
          <w:vanish/>
        </w:rPr>
        <w:t>AccumulatedOtherComprehensiveIncomeMember2017-12-310000789460us-gaap:ParentMember2017-12-310000789460us-gaap:NoncontrollingInterestMember2017-12-3100007894602017-12-310000789460us-gaap:RetainedEarningsMember2018-01-012018-12-310000789460us-gaap:ParentMembe</w:t>
      </w:r>
      <w:r>
        <w:rPr>
          <w:rFonts w:eastAsia="Times New Roman"/>
          <w:vanish/>
        </w:rPr>
        <w:t>r2018-01-012018-12-310000789460us-gaap:NoncontrollingInterestMember2018-01-012018-12-310000789460us-gaap:AdditionalPaidInCapitalMember2018-01-012018-12-310000789460us-gaap:CommonStockMember2018-01-012018-12-310000789460us-gaap:AccumulatedOtherComprehensive</w:t>
      </w:r>
      <w:r>
        <w:rPr>
          <w:rFonts w:eastAsia="Times New Roman"/>
          <w:vanish/>
        </w:rPr>
        <w:t>IncomeMember2018-01-012018-12-310000789460us-gaap:CommonStockMember2018-12-310000789460us-gaap:AdditionalPaidInCapitalMember2018-12-310000789460us-gaap:RetainedEarningsMember2018-12-310000789460us-gaap:AccumulatedOtherComprehensiveIncomeMember2018-12-31000</w:t>
      </w:r>
      <w:r>
        <w:rPr>
          <w:rFonts w:eastAsia="Times New Roman"/>
          <w:vanish/>
        </w:rPr>
        <w:t>0789460us-gaap:ParentMember2018-12-310000789460us-gaap:NoncontrollingInterestMember2018-12-3100007894602018-12-310000789460us-gaap:RetainedEarningsMember2019-01-012019-12-310000789460us-gaap:ParentMember2019-01-012019-12-310000789460us-gaap:NoncontrollingI</w:t>
      </w:r>
      <w:r>
        <w:rPr>
          <w:rFonts w:eastAsia="Times New Roman"/>
          <w:vanish/>
        </w:rPr>
        <w:t>nterestMember2019-01-012019-12-310000789460us-gaap:AdditionalPaidInCapitalMember2019-01-012019-12-310000789460us-gaap:CommonStockMember2019-01-012019-12-31xbrli:pure0000789460us-gaap:AccumulatedOtherComprehensiveIncomeMember2019-01-012019-12-310000789460us</w:t>
      </w:r>
      <w:r>
        <w:rPr>
          <w:rFonts w:eastAsia="Times New Roman"/>
          <w:vanish/>
        </w:rPr>
        <w:t>-gaap:CommonStockMember2019-12-310000789460us-gaap:AdditionalPaidInCapitalMember2019-12-310000789460us-gaap:RetainedEarningsMember2019-12-310000789460us-gaap:AccumulatedOtherComprehensiveIncomeMember2019-12-310000789460us-gaap:ParentMember2019-12-310000789</w:t>
      </w:r>
      <w:r>
        <w:rPr>
          <w:rFonts w:eastAsia="Times New Roman"/>
          <w:vanish/>
        </w:rPr>
        <w:t>460us-gaap:NoncontrollingInterestMember2019-12-310000789460us-gaap:RetainedEarningsMember2020-01-012020-12-310000789460us-gaap:ParentMember2020-01-012020-12-310000789460us-gaap:NoncontrollingInterestMember2020-01-012020-12-310000789460srt:CumulativeEffectP</w:t>
      </w:r>
      <w:r>
        <w:rPr>
          <w:rFonts w:eastAsia="Times New Roman"/>
          <w:vanish/>
        </w:rPr>
        <w:t>eriodOfAdoptionAdjustmentMemberus-gaap:RetainedEarningsMember2019-12-310000789460us-gaap:ParentMembersrt:CumulativeEffectPeriodOfAdoptionAdjustmentMember2019-12-310000789460srt:CumulativeEffectPeriodOfAdoptionAdjustmentMember2019-12-310000789460us-gaap:Add</w:t>
      </w:r>
      <w:r>
        <w:rPr>
          <w:rFonts w:eastAsia="Times New Roman"/>
          <w:vanish/>
        </w:rPr>
        <w:t>itionalPaidInCapitalMember2020-01-012020-12-310000789460us-gaap:CommonStockMember2020-01-012020-12-310000789460us-gaap:AccumulatedOtherComprehensiveIncomeMember2020-01-012020-12-310000789460us-gaap:CommonStockMember2020-12-310000789460us-gaap:AdditionalPai</w:t>
      </w:r>
      <w:r>
        <w:rPr>
          <w:rFonts w:eastAsia="Times New Roman"/>
          <w:vanish/>
        </w:rPr>
        <w:t>dInCapitalMember2020-12-310000789460us-gaap:RetainedEarningsMember2020-12-310000789460us-gaap:AccumulatedOtherComprehensiveIncomeMember2020-12-310000789460us-gaap:ParentMember2020-12-310000789460us-gaap:NoncontrollingInterestMember2020-12-310000789460int:A</w:t>
      </w:r>
      <w:r>
        <w:rPr>
          <w:rFonts w:eastAsia="Times New Roman"/>
          <w:vanish/>
        </w:rPr>
        <w:t>vinodeGroupABMember2019-12-310000789460srt:CumulativeEffectPeriodOfAdoptionAdjustedBalanceMember2019-12-310000789460srt:MaximumMember2020-03-310000789460srt:MinimumMemberus-gaap:LondonInterbankOfferedRateLIBORMember2020-12-310000789460srt:MaximumMemberus-g</w:t>
      </w:r>
      <w:r>
        <w:rPr>
          <w:rFonts w:eastAsia="Times New Roman"/>
          <w:vanish/>
        </w:rPr>
        <w:t>aap:LondonInterbankOfferedRateLIBORMember2020-12-310000789460int:MultiServicePaymentSolutionsMemberus-gaap:DisposalGroupNotDiscontinuedOperationsMember2020-01-012020-12-310000789460int:MultiServicePaymentSolutionsMemberus-gaap:DisposalGroupNotDiscontinuedO</w:t>
      </w:r>
      <w:r>
        <w:rPr>
          <w:rFonts w:eastAsia="Times New Roman"/>
          <w:vanish/>
        </w:rPr>
        <w:t>perationsMember2020-09-302020-09-300000789460int:MultiServicePaymentSolutionsMemberus-gaap:DisposalGroupNotDiscontinuedOperationsMember2020-09-300000789460int:UniversalWeatherAndAviationIncMember2020-01-012020-12-310000789460int:UniversalWeatherAndAviation</w:t>
      </w:r>
      <w:r>
        <w:rPr>
          <w:rFonts w:eastAsia="Times New Roman"/>
          <w:vanish/>
        </w:rPr>
        <w:t>IncMember2020-12-310000789460int:UniversalWeatherAndAviationIncMemberus-gaap:CustomerRelationshipsMember2020-01-012020-12-31int:acquisition0000789460int:UniversalWeatherAndAviationIncMember2018-01-012018-12-310000789460us-gaap:InterestRateSwapMember2020-03</w:t>
      </w:r>
      <w:r>
        <w:rPr>
          <w:rFonts w:eastAsia="Times New Roman"/>
          <w:vanish/>
        </w:rPr>
        <w:t>-310000789460us-gaap:CommodityContractMemberus-gaap:DesignatedAsHedgingInstrumentMemberint:ShortTermDerivativeAssetsNetMember2020-12-310000789460us-gaap:CommodityContractMemberus-gaap:DesignatedAsHedgingInstrumentMemberint:ShortTermDerivativeAssetsNetMembe</w:t>
      </w:r>
      <w:r>
        <w:rPr>
          <w:rFonts w:eastAsia="Times New Roman"/>
          <w:vanish/>
        </w:rPr>
        <w:t>r2019-12-310000789460int:AccruedExpensesAndOtherCurrentLiabilitiesMemberus-gaap:CommodityContractMemberus-gaap:DesignatedAsHedgingInstrumentMember2020-12-310000789460int:AccruedExpensesAndOtherCurrentLiabilitiesMemberus-gaap:CommodityContractMemberus-gaap:</w:t>
      </w:r>
      <w:r>
        <w:rPr>
          <w:rFonts w:eastAsia="Times New Roman"/>
          <w:vanish/>
        </w:rPr>
        <w:t>DesignatedAsHedgingInstrumentMember2019-12-310000789460us-gaap:CommodityContractMemberus-gaap:DesignatedAsHedgingInstrumentMemberus-gaap:OtherNoncurrentLiabilitiesMember2020-12-310000789460us-gaap:CommodityContractMemberus-gaap:DesignatedAsHedgingInstrumen</w:t>
      </w:r>
      <w:r>
        <w:rPr>
          <w:rFonts w:eastAsia="Times New Roman"/>
          <w:vanish/>
        </w:rPr>
        <w:t>tMemberus-gaap:OtherNoncurrentLiabilitiesMember2019-12-310000789460us-gaap:CommodityContractMemberus-gaap:DesignatedAsHedgingInstrumentMember2020-12-310000789460us-gaap:CommodityContractMemberus-gaap:DesignatedAsHedgingInstrumentMember2019-12-310000789460i</w:t>
      </w:r>
      <w:r>
        <w:rPr>
          <w:rFonts w:eastAsia="Times New Roman"/>
          <w:vanish/>
        </w:rPr>
        <w:t>nt:AccruedExpensesAndOtherCurrentLiabilitiesMemberus-gaap:DesignatedAsHedgingInstrumentMemberus-gaap:InterestRateContractMember2020-12-310000789460int:AccruedExpensesAndOtherCurrentLiabilitiesMemberus-gaap:DesignatedAsHedgingInstrumentMemberus-gaap:Interes</w:t>
      </w:r>
      <w:r>
        <w:rPr>
          <w:rFonts w:eastAsia="Times New Roman"/>
          <w:vanish/>
        </w:rPr>
        <w:t>tRateContractMember2019-12-310000789460us-gaap:DesignatedAsHedgingInstrumentMemberus-gaap:OtherNoncurrentLiabilitiesMemberus-gaap:InterestRateContractMember2020-12-310000789460us-gaap:DesignatedAsHedgingInstrumentMemberus-gaap:OtherNoncurrentLiabilitiesMem</w:t>
      </w:r>
      <w:r>
        <w:rPr>
          <w:rFonts w:eastAsia="Times New Roman"/>
          <w:vanish/>
        </w:rPr>
        <w:t>berus-gaap:InterestRateContractMember2019-12-310000789460us-gaap:DesignatedAsHedgingInstrumentMemberus-gaap:InterestRateContractMember2020-12-310000789460us-gaap:DesignatedAsHedgingInstrumentMemberus-gaap:InterestRateContractMember2019-12-310000789460us-ga</w:t>
      </w:r>
      <w:r>
        <w:rPr>
          <w:rFonts w:eastAsia="Times New Roman"/>
          <w:vanish/>
        </w:rPr>
        <w:t>ap:DesignatedAsHedgingInstrumentMember2020-12-310000789460us-gaap:DesignatedAsHedgingInstrumentMember2019-12-310000789460us-gaap:CommodityContractMemberus-gaap:NondesignatedMemberint:ShortTermDerivativeAssetsNetMember2020-12-310000789460us-gaap:CommodityCo</w:t>
      </w:r>
      <w:r>
        <w:rPr>
          <w:rFonts w:eastAsia="Times New Roman"/>
          <w:vanish/>
        </w:rPr>
        <w:t>ntractMemberus-gaap:NondesignatedMemberint:ShortTermDerivativeAssetsNetMember2019-12-310000789460int:IdentifiableIntangibleAndOtherNonCurrentAssetsMemberus-gaap:CommodityContractMemberus-gaap:NondesignatedMember2020-12-310000789460int:IdentifiableIntangibl</w:t>
      </w:r>
      <w:r>
        <w:rPr>
          <w:rFonts w:eastAsia="Times New Roman"/>
          <w:vanish/>
        </w:rPr>
        <w:t>eAndOtherNonCurrentAssetsMemberus-gaap:CommodityContractMemberus-gaap:NondesignatedMember2019-12-310000789460int:AccruedExpensesAndOtherCurrentLiabilitiesMemberus-gaap:CommodityContractMemberus-gaap:NondesignatedMember2020-12-310000789460int:AccruedExpense</w:t>
      </w:r>
      <w:r>
        <w:rPr>
          <w:rFonts w:eastAsia="Times New Roman"/>
          <w:vanish/>
        </w:rPr>
        <w:t>sAndOtherCurrentLiabilitiesMemberus-gaap:CommodityContractMemberus-gaap:NondesignatedMember2019-12-310000789460us-gaap:CommodityContractMemberus-gaap:NondesignatedMemberus-gaap:OtherNoncurrentLiabilitiesMember2020-12-310000789460us-gaap:CommodityContractMe</w:t>
      </w:r>
      <w:r>
        <w:rPr>
          <w:rFonts w:eastAsia="Times New Roman"/>
          <w:vanish/>
        </w:rPr>
        <w:t>mberus-gaap:NondesignatedMemberus-gaap:OtherNoncurrentLiabilitiesMember2019-12-310000789460us-gaap:CommodityContractMemberus-gaap:NondesignatedMember2020-12-310000789460us-gaap:CommodityContractMemberus-gaap:NondesignatedMember2019-12-310000789460us-gaap:F</w:t>
      </w:r>
      <w:r>
        <w:rPr>
          <w:rFonts w:eastAsia="Times New Roman"/>
          <w:vanish/>
        </w:rPr>
        <w:t>oreignExchangeContractMemberus-gaap:NondesignatedMemberint:ShortTermDerivativeAssetsNetMember2020-12-310000789460us-gaap:ForeignExchangeContractMemberus-gaap:NondesignatedMemberint:ShortTermDerivativeAssetsNetMember2019-12-310000789460int:AccruedExpensesAn</w:t>
      </w:r>
      <w:r>
        <w:rPr>
          <w:rFonts w:eastAsia="Times New Roman"/>
          <w:vanish/>
        </w:rPr>
        <w:t>dOtherCurrentLiabilitiesMemberus-gaap:ForeignExchangeContractMemberus-gaap:NondesignatedMember2020-12-310000789460int:AccruedExpensesAndOtherCurrentLiabilitiesMemberus-gaap:ForeignExchangeContractMemberus-gaap:NondesignatedMember2019-12-310000789460us-gaap</w:t>
      </w:r>
      <w:r>
        <w:rPr>
          <w:rFonts w:eastAsia="Times New Roman"/>
          <w:vanish/>
        </w:rPr>
        <w:t>:ForeignExchangeContractMemberus-gaap:NondesignatedMemberus-gaap:OtherNoncurrentLiabilitiesMember2020-12-310000789460us-gaap:ForeignExchangeContractMemberus-gaap:NondesignatedMemberus-gaap:OtherNoncurrentLiabilitiesMember2019-12-310000789460us-gaap:Foreign</w:t>
      </w:r>
      <w:r>
        <w:rPr>
          <w:rFonts w:eastAsia="Times New Roman"/>
          <w:vanish/>
        </w:rPr>
        <w:t>ExchangeContractMemberus-gaap:NondesignatedMember2020-12-310000789460us-gaap:ForeignExchangeContractMemberus-gaap:NondesignatedMember2019-12-310000789460us-gaap:NondesignatedMember2020-12-310000789460us-gaap:NondesignatedMember2019-12-31utr:bbl0000789460us</w:t>
      </w:r>
      <w:r>
        <w:rPr>
          <w:rFonts w:eastAsia="Times New Roman"/>
          <w:vanish/>
        </w:rPr>
        <w:t>-gaap:LongMemberus-gaap:CommodityContractMember2020-01-012020-12-310000789460us-gaap:ShortMemberus-gaap:CommodityContractMember2020-01-012020-12-310000789460us-gaap:ShortMembercurrency:USDus-gaap:ForeignExchangeContractMember2020-12-310000789460currency:US</w:t>
      </w:r>
      <w:r>
        <w:rPr>
          <w:rFonts w:eastAsia="Times New Roman"/>
          <w:vanish/>
        </w:rPr>
        <w:t>Dus-gaap:LongMemberus-gaap:ForeignExchangeContractMember2020-12-310000789460us-gaap:SalesMember2020-01-012020-12-310000789460us-gaap:CostOfSalesMember2020-01-012020-12-310000789460int:InterestExpenseAndOtherFinancingCostsMember2020-01-012020-12-31000078946</w:t>
      </w:r>
      <w:r>
        <w:rPr>
          <w:rFonts w:eastAsia="Times New Roman"/>
          <w:vanish/>
        </w:rPr>
        <w:t>0us-gaap:SalesMember2019-01-012019-12-310000789460us-gaap:CostOfSalesMember2019-01-012019-12-310000789460us-gaap:SalesMember2018-01-012018-12-310000789460us-gaap:CostOfSalesMember2018-01-012018-12-310000789460us-gaap:SalesMemberus-gaap:CommodityContractMem</w:t>
      </w:r>
      <w:r>
        <w:rPr>
          <w:rFonts w:eastAsia="Times New Roman"/>
          <w:vanish/>
        </w:rPr>
        <w:t>ber2020-01-012020-12-310000789460us-gaap:CommodityContractMemberus-gaap:CostOfSalesMember2020-01-012020-12-310000789460us-gaap:CommodityContractMemberint:InterestExpenseAndOtherFinancingCostsMember2020-01-012020-12-310000789460us-gaap:SalesMemberus-gaap:Co</w:t>
      </w:r>
      <w:r>
        <w:rPr>
          <w:rFonts w:eastAsia="Times New Roman"/>
          <w:vanish/>
        </w:rPr>
        <w:t>mmodityContractMember2019-01-012019-12-310000789460us-gaap:CommodityContractMemberus-gaap:CostOfSalesMember2019-01-012019-12-310000789460us-gaap:SalesMemberus-gaap:CommodityContractMember2018-01-012018-12-310000789460us-gaap:CommodityContractMemberus-gaap:</w:t>
      </w:r>
      <w:r>
        <w:rPr>
          <w:rFonts w:eastAsia="Times New Roman"/>
          <w:vanish/>
        </w:rPr>
        <w:t>CostOfSalesMember2018-01-012018-12-310000789460us-gaap:SalesMemberus-gaap:InterestRateContractMember2020-01-012020-12-310000789460us-gaap:InterestRateContractMemberus-gaap:CostOfSalesMember2020-01-012020-12-310000789460int:InterestExpenseAndOtherFinancingC</w:t>
      </w:r>
      <w:r>
        <w:rPr>
          <w:rFonts w:eastAsia="Times New Roman"/>
          <w:vanish/>
        </w:rPr>
        <w:t>ostsMemberus-gaap:InterestRateContractMember2020-01-012020-12-310000789460us-gaap:SalesMemberus-gaap:InterestRateContractMember2019-01-012019-12-310000789460us-gaap:InterestRateContractMemberus-gaap:CostOfSalesMember2019-01-012019-12-310000789460us-gaap:Sa</w:t>
      </w:r>
      <w:r>
        <w:rPr>
          <w:rFonts w:eastAsia="Times New Roman"/>
          <w:vanish/>
        </w:rPr>
        <w:t>lesMemberus-gaap:InterestRateContractMember2018-01-012018-12-310000789460us-gaap:InterestRateContractMemberus-gaap:CostOfSalesMember2018-01-012018-12-310000789460us-gaap:SalesMemberus-gaap:CommodityContractMemberus-gaap:DesignatedAsHedgingInstrumentMember2</w:t>
      </w:r>
      <w:r>
        <w:rPr>
          <w:rFonts w:eastAsia="Times New Roman"/>
          <w:vanish/>
        </w:rPr>
        <w:t>020-01-012020-12-310000789460us-gaap:SalesMemberus-gaap:CommodityContractMemberus-gaap:DesignatedAsHedgingInstrumentMember2019-01-012019-12-310000789460us-gaap:SalesMemberus-gaap:CommodityContractMemberus-gaap:DesignatedAsHedgingInstrumentMember2018-01-012</w:t>
      </w:r>
      <w:r>
        <w:rPr>
          <w:rFonts w:eastAsia="Times New Roman"/>
          <w:vanish/>
        </w:rPr>
        <w:t>018-12-310000789460us-gaap:CommodityContractMemberus-gaap:DesignatedAsHedgingInstrumentMemberus-gaap:CostOfSalesMember2020-01-012020-12-310000789460us-gaap:CommodityContractMemberus-gaap:DesignatedAsHedgingInstrumentMemberus-gaap:CostOfSalesMember2019-01-0</w:t>
      </w:r>
      <w:r>
        <w:rPr>
          <w:rFonts w:eastAsia="Times New Roman"/>
          <w:vanish/>
        </w:rPr>
        <w:t>12019-12-310000789460us-gaap:CommodityContractMemberus-gaap:DesignatedAsHedgingInstrumentMemberus-gaap:CostOfSalesMember2018-01-012018-12-310000789460us-gaap:DesignatedAsHedgingInstrumentMemberint:InterestExpenseAndOtherFinancingCostsMemberus-gaap:Interest</w:t>
      </w:r>
      <w:r>
        <w:rPr>
          <w:rFonts w:eastAsia="Times New Roman"/>
          <w:vanish/>
        </w:rPr>
        <w:t>RateContractMember2020-01-012020-12-310000789460us-gaap:DesignatedAsHedgingInstrumentMemberint:InterestExpenseAndOtherFinancingCostsMemberus-gaap:InterestRateContractMember2019-01-012019-12-310000789460us-gaap:DesignatedAsHedgingInstrumentMemberint:Interes</w:t>
      </w:r>
      <w:r>
        <w:rPr>
          <w:rFonts w:eastAsia="Times New Roman"/>
          <w:vanish/>
        </w:rPr>
        <w:t>tExpenseAndOtherFinancingCostsMemberus-gaap:InterestRateContractMember2018-01-012018-12-310000789460us-gaap:ForeignExchangeContractMemberus-gaap:DesignatedAsHedgingInstrumentMemberint:InterestExpenseAndOtherFinancingCostsMember2020-01-012020-12-31000078946</w:t>
      </w:r>
      <w:r>
        <w:rPr>
          <w:rFonts w:eastAsia="Times New Roman"/>
          <w:vanish/>
        </w:rPr>
        <w:t>0us-gaap:ForeignExchangeContractMemberus-gaap:DesignatedAsHedgingInstrumentMemberint:InterestExpenseAndOtherFinancingCostsMember2019-01-012019-12-310000789460us-gaap:ForeignExchangeContractMemberus-gaap:DesignatedAsHedgingInstrumentMemberint:InterestExpens</w:t>
      </w:r>
      <w:r>
        <w:rPr>
          <w:rFonts w:eastAsia="Times New Roman"/>
          <w:vanish/>
        </w:rPr>
        <w:t>eAndOtherFinancingCostsMember2018-01-012018-12-310000789460us-gaap:DesignatedAsHedgingInstrumentMember2020-01-012020-12-310000789460us-gaap:DesignatedAsHedgingInstrumentMember2019-01-012019-12-310000789460us-gaap:DesignatedAsHedgingInstrumentMember2018-01-</w:t>
      </w:r>
      <w:r>
        <w:rPr>
          <w:rFonts w:eastAsia="Times New Roman"/>
          <w:vanish/>
        </w:rPr>
        <w:t>012018-12-310000789460us-gaap:ReclassificationOutOfAccumulatedOtherComprehensiveIncomeMember2020-01-012020-12-310000789460us-gaap:ReclassificationOutOfAccumulatedOtherComprehensiveIncomeMember2019-01-012019-12-310000789460us-gaap:ReclassificationOutOfAccum</w:t>
      </w:r>
      <w:r>
        <w:rPr>
          <w:rFonts w:eastAsia="Times New Roman"/>
          <w:vanish/>
        </w:rPr>
        <w:t>ulatedOtherComprehensiveIncomeMember2018-01-012018-12-310000789460us-gaap:SalesMemberus-gaap:CommodityContractMemberus-gaap:NondesignatedMember2020-01-012020-12-310000789460us-gaap:SalesMemberus-gaap:CommodityContractMemberus-gaap:NondesignatedMember2019-0</w:t>
      </w:r>
      <w:r>
        <w:rPr>
          <w:rFonts w:eastAsia="Times New Roman"/>
          <w:vanish/>
        </w:rPr>
        <w:t>1-012019-12-310000789460us-gaap:SalesMemberus-gaap:CommodityContractMemberus-gaap:NondesignatedMember2018-01-012018-12-310000789460us-gaap:CommodityContractMemberus-gaap:NondesignatedMemberus-gaap:CostOfSalesMember2020-01-012020-12-310000789460us-gaap:Comm</w:t>
      </w:r>
      <w:r>
        <w:rPr>
          <w:rFonts w:eastAsia="Times New Roman"/>
          <w:vanish/>
        </w:rPr>
        <w:t>odityContractMemberus-gaap:NondesignatedMemberus-gaap:CostOfSalesMember2019-01-012019-12-310000789460us-gaap:CommodityContractMemberus-gaap:NondesignatedMemberus-gaap:CostOfSalesMember2018-01-012018-12-310000789460us-gaap:CommodityContractMemberus-gaap:Non</w:t>
      </w:r>
      <w:r>
        <w:rPr>
          <w:rFonts w:eastAsia="Times New Roman"/>
          <w:vanish/>
        </w:rPr>
        <w:t>designatedMember2020-01-012020-12-310000789460us-gaap:CommodityContractMemberus-gaap:NondesignatedMember2019-01-012019-12-310000789460us-gaap:CommodityContractMemberus-gaap:NondesignatedMember2018-01-012018-12-310000789460us-gaap:SalesMemberus-gaap:Foreign</w:t>
      </w:r>
      <w:r>
        <w:rPr>
          <w:rFonts w:eastAsia="Times New Roman"/>
          <w:vanish/>
        </w:rPr>
        <w:t>ExchangeContractMemberus-gaap:NondesignatedMember2020-01-012020-12-310000789460us-gaap:SalesMemberus-gaap:ForeignExchangeContractMemberus-gaap:NondesignatedMember2019-01-012019-12-310000789460us-gaap:SalesMemberus-gaap:ForeignExchangeContractMemberus-gaap:</w:t>
      </w:r>
      <w:r>
        <w:rPr>
          <w:rFonts w:eastAsia="Times New Roman"/>
          <w:vanish/>
        </w:rPr>
        <w:t>NondesignatedMember2018-01-012018-12-310000789460us-gaap:ForeignExchangeContractMemberus-gaap:NondesignatedMemberint:InterestExpenseAndOtherFinancingCostsMember2020-01-012020-12-310000789460us-gaap:ForeignExchangeContractMemberus-gaap:NondesignatedMemberin</w:t>
      </w:r>
      <w:r>
        <w:rPr>
          <w:rFonts w:eastAsia="Times New Roman"/>
          <w:vanish/>
        </w:rPr>
        <w:t>t:InterestExpenseAndOtherFinancingCostsMember2019-01-012019-12-310000789460us-gaap:ForeignExchangeContractMemberus-gaap:NondesignatedMemberint:InterestExpenseAndOtherFinancingCostsMember2018-01-012018-12-310000789460us-gaap:ForeignExchangeContractMemberus-</w:t>
      </w:r>
      <w:r>
        <w:rPr>
          <w:rFonts w:eastAsia="Times New Roman"/>
          <w:vanish/>
        </w:rPr>
        <w:t>gaap:NondesignatedMember2020-01-012020-12-310000789460us-gaap:ForeignExchangeContractMemberus-gaap:NondesignatedMember2019-01-012019-12-310000789460us-gaap:ForeignExchangeContractMemberus-gaap:NondesignatedMember2018-01-012018-12-310000789460us-gaap:Nondes</w:t>
      </w:r>
      <w:r>
        <w:rPr>
          <w:rFonts w:eastAsia="Times New Roman"/>
          <w:vanish/>
        </w:rPr>
        <w:t>ignatedMember2020-01-012020-12-310000789460us-gaap:NondesignatedMember2019-01-012019-12-310000789460us-gaap:NondesignatedMember2018-01-012018-12-310000789460int:Restructuring2020InitiativeMember2020-01-012020-12-310000789460int:Restructuring2020InitiativeM</w:t>
      </w:r>
      <w:r>
        <w:rPr>
          <w:rFonts w:eastAsia="Times New Roman"/>
          <w:vanish/>
        </w:rPr>
        <w:t>emberint:AviationSegmentMemberus-gaap:OperatingSegmentsMember2018-12-310000789460int:Restructuring2020InitiativeMemberint:LandSegmentMemberus-gaap:OperatingSegmentsMember2018-12-310000789460int:MarineSegmentMemberint:Restructuring2020InitiativeMemberus-gaa</w:t>
      </w:r>
      <w:r>
        <w:rPr>
          <w:rFonts w:eastAsia="Times New Roman"/>
          <w:vanish/>
        </w:rPr>
        <w:t>p:OperatingSegmentsMember2018-12-310000789460us-gaap:CorporateNonSegmentMemberint:Restructuring2020InitiativeMember2018-12-310000789460int:Restructuring2020InitiativeMember2018-12-310000789460int:Restructuring2020InitiativeMemberint:AviationSegmentMemberus</w:t>
      </w:r>
      <w:r>
        <w:rPr>
          <w:rFonts w:eastAsia="Times New Roman"/>
          <w:vanish/>
        </w:rPr>
        <w:t>-gaap:OperatingSegmentsMember2019-01-012019-12-310000789460int:Restructuring2020InitiativeMemberint:LandSegmentMemberus-gaap:OperatingSegmentsMember2019-01-012019-12-310000789460int:MarineSegmentMemberint:Restructuring2020InitiativeMemberus-gaap:OperatingS</w:t>
      </w:r>
      <w:r>
        <w:rPr>
          <w:rFonts w:eastAsia="Times New Roman"/>
          <w:vanish/>
        </w:rPr>
        <w:t>egmentsMember2019-01-012019-12-310000789460us-gaap:CorporateNonSegmentMemberint:Restructuring2020InitiativeMember2019-01-012019-12-310000789460int:Restructuring2020InitiativeMember2019-01-012019-12-310000789460int:Restructuring2020InitiativeMemberint:Aviat</w:t>
      </w:r>
      <w:r>
        <w:rPr>
          <w:rFonts w:eastAsia="Times New Roman"/>
          <w:vanish/>
        </w:rPr>
        <w:t>ionSegmentMemberus-gaap:OperatingSegmentsMember2019-12-310000789460int:Restructuring2020InitiativeMemberint:LandSegmentMemberus-gaap:OperatingSegmentsMember2019-12-310000789460int:MarineSegmentMemberint:Restructuring2020InitiativeMemberus-gaap:OperatingSeg</w:t>
      </w:r>
      <w:r>
        <w:rPr>
          <w:rFonts w:eastAsia="Times New Roman"/>
          <w:vanish/>
        </w:rPr>
        <w:t>mentsMember2019-12-310000789460us-gaap:CorporateNonSegmentMemberint:Restructuring2020InitiativeMember2019-12-310000789460int:Restructuring2020InitiativeMember2019-12-310000789460int:Restructuring2020InitiativeMemberint:AviationSegmentMemberus-gaap:Operatin</w:t>
      </w:r>
      <w:r>
        <w:rPr>
          <w:rFonts w:eastAsia="Times New Roman"/>
          <w:vanish/>
        </w:rPr>
        <w:t>gSegmentsMember2020-01-012020-12-310000789460int:Restructuring2020InitiativeMemberint:LandSegmentMemberus-gaap:OperatingSegmentsMember2020-01-012020-12-310000789460int:MarineSegmentMemberint:Restructuring2020InitiativeMemberus-gaap:OperatingSegmentsMember2</w:t>
      </w:r>
      <w:r>
        <w:rPr>
          <w:rFonts w:eastAsia="Times New Roman"/>
          <w:vanish/>
        </w:rPr>
        <w:t>020-01-012020-12-310000789460us-gaap:CorporateNonSegmentMemberint:Restructuring2020InitiativeMember2020-01-012020-12-310000789460int:Restructuring2020InitiativeMemberint:AviationSegmentMemberus-gaap:OperatingSegmentsMember2020-12-310000789460int:Restructur</w:t>
      </w:r>
      <w:r>
        <w:rPr>
          <w:rFonts w:eastAsia="Times New Roman"/>
          <w:vanish/>
        </w:rPr>
        <w:t>ing2020InitiativeMemberint:LandSegmentMemberus-gaap:OperatingSegmentsMember2020-12-310000789460int:MarineSegmentMemberint:Restructuring2020InitiativeMemberus-gaap:OperatingSegmentsMember2020-12-310000789460us-gaap:CorporateNonSegmentMemberint:Restructuring</w:t>
      </w:r>
      <w:r>
        <w:rPr>
          <w:rFonts w:eastAsia="Times New Roman"/>
          <w:vanish/>
        </w:rPr>
        <w:t>2020InitiativeMember2020-12-310000789460int:Restructuring2020InitiativeMember2020-12-310000789460int:Restructuring2020InitiativeMember2020-04-012020-06-300000789460us-gaap:LandMember2020-12-310000789460us-gaap:LandMember2019-12-310000789460us-gaap:Building</w:t>
      </w:r>
      <w:r>
        <w:rPr>
          <w:rFonts w:eastAsia="Times New Roman"/>
          <w:vanish/>
        </w:rPr>
        <w:t>AndBuildingImprovementsMember2020-12-310000789460us-gaap:BuildingAndBuildingImprovementsMember2019-12-310000789460srt:MinimumMemberus-gaap:BuildingAndBuildingImprovementsMember2020-01-012020-12-310000789460srt:MaximumMemberus-gaap:BuildingAndBuildingImprov</w:t>
      </w:r>
      <w:r>
        <w:rPr>
          <w:rFonts w:eastAsia="Times New Roman"/>
          <w:vanish/>
        </w:rPr>
        <w:t>ementsMember2020-01-012020-12-310000789460int:OfficeEquipmentFurnitureAndFixturesMember2020-12-310000789460int:OfficeEquipmentFurnitureAndFixturesMember2019-12-310000789460srt:MinimumMemberint:OfficeEquipmentFurnitureAndFixturesMember2020-01-012020-12-3100</w:t>
      </w:r>
      <w:r>
        <w:rPr>
          <w:rFonts w:eastAsia="Times New Roman"/>
          <w:vanish/>
        </w:rPr>
        <w:t>00789460srt:MaximumMemberint:OfficeEquipmentFurnitureAndFixturesMember2020-01-012020-12-310000789460int:ComputerEquipmentAndSoftwareCostsMember2020-12-310000789460int:ComputerEquipmentAndSoftwareCostsMember2019-12-310000789460int:ComputerEquipmentAndSoftwa</w:t>
      </w:r>
      <w:r>
        <w:rPr>
          <w:rFonts w:eastAsia="Times New Roman"/>
          <w:vanish/>
        </w:rPr>
        <w:t>reCostsMembersrt:MinimumMember2020-01-012020-12-310000789460int:ComputerEquipmentAndSoftwareCostsMembersrt:MaximumMember2020-01-012020-12-310000789460us-gaap:MachineryAndEquipmentMember2020-12-310000789460us-gaap:MachineryAndEquipmentMember2019-12-31000078</w:t>
      </w:r>
      <w:r>
        <w:rPr>
          <w:rFonts w:eastAsia="Times New Roman"/>
          <w:vanish/>
        </w:rPr>
        <w:t>9460us-gaap:MachineryAndEquipmentMembersrt:MinimumMember2020-01-012020-12-310000789460us-gaap:MachineryAndEquipmentMembersrt:MaximumMember2020-01-012020-12-310000789460int:SoftwareDevelopmentInProgressMember2020-12-310000789460int:SoftwareDevelopmentInProg</w:t>
      </w:r>
      <w:r>
        <w:rPr>
          <w:rFonts w:eastAsia="Times New Roman"/>
          <w:vanish/>
        </w:rPr>
        <w:t>ressMember2019-12-310000789460int:AviationSegmentMember2018-12-310000789460int:LandSegmentMember2018-12-310000789460int:AviationSegmentMember2019-01-012019-12-310000789460int:LandSegmentMember2019-01-012019-12-310000789460int:AviationSegmentMember2019-12-3</w:t>
      </w:r>
      <w:r>
        <w:rPr>
          <w:rFonts w:eastAsia="Times New Roman"/>
          <w:vanish/>
        </w:rPr>
        <w:t>10000789460int:LandSegmentMember2019-12-310000789460int:AviationSegmentMember2020-01-012020-12-310000789460int:LandSegmentMember2020-01-012020-12-310000789460int:AviationSegmentMember2020-12-310000789460int:LandSegmentMember2020-12-310000789460us-gaap:Cust</w:t>
      </w:r>
      <w:r>
        <w:rPr>
          <w:rFonts w:eastAsia="Times New Roman"/>
          <w:vanish/>
        </w:rPr>
        <w:t>omerRelationshipsMember2020-12-310000789460us-gaap:CustomerRelationshipsMember2019-12-310000789460int:SupplierAgreementsMember2020-12-310000789460int:SupplierAgreementsMember2019-12-310000789460us-gaap:OtherIntangibleAssetsMember2020-12-310000789460us-gaap</w:t>
      </w:r>
      <w:r>
        <w:rPr>
          <w:rFonts w:eastAsia="Times New Roman"/>
          <w:vanish/>
        </w:rPr>
        <w:t>:OtherIntangibleAssetsMember2019-12-310000789460us-gaap:TrademarksAndTradeNamesMember2020-12-310000789460us-gaap:TrademarksAndTradeNamesMember2019-12-310000789460us-gaap:RevolvingCreditFacilityMemberus-gaap:LineOfCreditMember2019-07-310000789460us-gaap:Sen</w:t>
      </w:r>
      <w:r>
        <w:rPr>
          <w:rFonts w:eastAsia="Times New Roman"/>
          <w:vanish/>
        </w:rPr>
        <w:t>iorNotesMemberint:TermLoansMember2019-07-310000789460us-gaap:RevolvingCreditFacilityMemberint:AmendedCreditFacilityMember2020-12-310000789460us-gaap:RevolvingCreditFacilityMember2020-12-310000789460us-gaap:RevolvingCreditFacilityMember2019-12-310000789460i</w:t>
      </w:r>
      <w:r>
        <w:rPr>
          <w:rFonts w:eastAsia="Times New Roman"/>
          <w:vanish/>
        </w:rPr>
        <w:t>nt:LettersOfCreditAndBankersAcceptanceMember2020-12-310000789460int:LettersOfCreditAndBankersAcceptanceMember2019-12-310000789460us-gaap:SeniorNotesMember2020-12-310000789460us-gaap:SeniorNotesMember2019-12-310000789460us-gaap:BaseRateMemberus-gaap:SeniorN</w:t>
      </w:r>
      <w:r>
        <w:rPr>
          <w:rFonts w:eastAsia="Times New Roman"/>
          <w:vanish/>
        </w:rPr>
        <w:t>otesMember2020-01-012020-12-310000789460us-gaap:SeniorNotesMemberus-gaap:EurodollarMember2020-01-012020-12-310000789460int:OtherUncommittedCreditLinesMember2020-12-310000789460int:OtherUncommittedCreditLinesMember2019-12-310000789460us-gaap:RevolvingCredit</w:t>
      </w:r>
      <w:r>
        <w:rPr>
          <w:rFonts w:eastAsia="Times New Roman"/>
          <w:vanish/>
        </w:rPr>
        <w:t>FacilityMemberus-gaap:LineOfCreditMember2020-12-310000789460us-gaap:RevolvingCreditFacilityMemberus-gaap:LineOfCreditMember2019-12-310000789460us-gaap:SeniorNotesMemberint:TermLoansMember2020-12-310000789460us-gaap:SeniorNotesMemberint:TermLoansMember2019-</w:t>
      </w:r>
      <w:r>
        <w:rPr>
          <w:rFonts w:eastAsia="Times New Roman"/>
          <w:vanish/>
        </w:rPr>
        <w:t>12-310000789460int:OtherDebtMember2020-12-310000789460int:OtherDebtMember2019-12-310000789460us-gaap:SecuredDebtMember2019-12-31iso4217:EUR0000789460srt:MinimumMemberint:AviationFuelMember2020-01-012020-12-310000789460int:AviationFuelMembersrt:MaximumMembe</w:t>
      </w:r>
      <w:r>
        <w:rPr>
          <w:rFonts w:eastAsia="Times New Roman"/>
          <w:vanish/>
        </w:rPr>
        <w:t>r2020-01-012020-12-310000789460int:KasbarAgreementMember2020-01-012020-12-310000789460int:AgreementsWithExecutiveOfficersAndKeyEmployeesMember2020-12-310000789460us-gaap:OtherNoncurrentLiabilitiesMember2020-12-310000789460us-gaap:OtherNoncurrentLiabilities</w:t>
      </w:r>
      <w:r>
        <w:rPr>
          <w:rFonts w:eastAsia="Times New Roman"/>
          <w:vanish/>
        </w:rPr>
        <w:t>Member2019-12-310000789460int:EnvironmentalAssessmentAndRemediationExpensesMember2020-12-310000789460int:EnvironmentalAssessmentAndRemediationExpensesMember2019-12-310000789460us-gaap:ForeignCountryMemberint:TaxAuthorityAssessmentMemberint:TaxAuthoritySout</w:t>
      </w:r>
      <w:r>
        <w:rPr>
          <w:rFonts w:eastAsia="Times New Roman"/>
          <w:vanish/>
        </w:rPr>
        <w:t>hKoreaSRTOMember2017-01-012017-12-31iso4217:KRW0000789460int:TaxAuthorityAssessmentMemberint:TaxAuthoritySouthKoreaSRTOMember2016-10-012016-12-310000789460int:TaxAuthorityAdditionalAssessmentMemberint:TaxAuthoritySouthKoreaSRTOMember2017-04-012017-06-30000</w:t>
      </w:r>
      <w:r>
        <w:rPr>
          <w:rFonts w:eastAsia="Times New Roman"/>
          <w:vanish/>
        </w:rPr>
        <w:t>0789460int:StateAndMunicipalTaxAuthoritiesAndSecretariatOfTheFederalRevenueBureauOfBrazilMemberint:TaxAuthorityAssessmentMember2020-12-31iso4217:BRL00007894602017-10-3100007894602019-05-310000789460int:A2016OmnibusPlanMember2020-01-012020-12-310000789460in</w:t>
      </w:r>
      <w:r>
        <w:rPr>
          <w:rFonts w:eastAsia="Times New Roman"/>
          <w:vanish/>
        </w:rPr>
        <w:t>t:A2016OmnibusPlanMember2020-12-310000789460int:Omnibus2006PlanMember2020-12-310000789460int:A2016OmnibusPlanMemberus-gaap:RestrictedStockMember2020-12-310000789460int:A2016OmnibusPlanMemberus-gaap:RestrictedStockUnitsRSUMember2020-12-310000789460int:A2016</w:t>
      </w:r>
      <w:r>
        <w:rPr>
          <w:rFonts w:eastAsia="Times New Roman"/>
          <w:vanish/>
        </w:rPr>
        <w:t>OmnibusPlanMemberus-gaap:StockAppreciationRightsSARSMember2020-12-310000789460int:Omnibus2006PlanMemberus-gaap:RestrictedStockMember2020-12-310000789460int:Omnibus2006PlanMemberus-gaap:RestrictedStockUnitsRSUMember2020-12-310000789460int:Omnibus2006PlanMem</w:t>
      </w:r>
      <w:r>
        <w:rPr>
          <w:rFonts w:eastAsia="Times New Roman"/>
          <w:vanish/>
        </w:rPr>
        <w:t>berus-gaap:StockAppreciationRightsSARSMember2020-12-310000789460us-gaap:RestrictedStockMember2017-12-310000789460us-gaap:RestrictedStockMember2017-01-012017-12-310000789460us-gaap:RestrictedStockMember2018-01-012018-12-310000789460us-gaap:RestrictedStockMe</w:t>
      </w:r>
      <w:r>
        <w:rPr>
          <w:rFonts w:eastAsia="Times New Roman"/>
          <w:vanish/>
        </w:rPr>
        <w:t>mber2018-12-310000789460us-gaap:RestrictedStockMember2019-01-012019-12-310000789460us-gaap:RestrictedStockMember2019-12-310000789460us-gaap:RestrictedStockMember2020-01-012020-12-310000789460us-gaap:RestrictedStockMember2020-12-310000789460us-gaap:Restrict</w:t>
      </w:r>
      <w:r>
        <w:rPr>
          <w:rFonts w:eastAsia="Times New Roman"/>
          <w:vanish/>
        </w:rPr>
        <w:t>edStockUnitsRSUMember2017-12-310000789460us-gaap:RestrictedStockUnitsRSUMember2017-01-012017-12-310000789460us-gaap:RestrictedStockUnitsRSUMember2018-01-012018-12-310000789460us-gaap:RestrictedStockUnitsRSUMember2018-12-310000789460us-gaap:RestrictedStockU</w:t>
      </w:r>
      <w:r>
        <w:rPr>
          <w:rFonts w:eastAsia="Times New Roman"/>
          <w:vanish/>
        </w:rPr>
        <w:t>nitsRSUMember2019-01-012019-12-310000789460us-gaap:RestrictedStockUnitsRSUMember2019-12-310000789460us-gaap:RestrictedStockUnitsRSUMember2020-01-012020-12-310000789460us-gaap:RestrictedStockUnitsRSUMember2020-12-310000789460us-gaap:StockAppreciationRightsS</w:t>
      </w:r>
      <w:r>
        <w:rPr>
          <w:rFonts w:eastAsia="Times New Roman"/>
          <w:vanish/>
        </w:rPr>
        <w:t>ARSMember2017-12-310000789460us-gaap:StockAppreciationRightsSARSMember2017-01-012017-12-310000789460us-gaap:StockAppreciationRightsSARSMember2018-01-012018-12-310000789460us-gaap:StockAppreciationRightsSARSMember2018-12-310000789460us-gaap:StockAppreciatio</w:t>
      </w:r>
      <w:r>
        <w:rPr>
          <w:rFonts w:eastAsia="Times New Roman"/>
          <w:vanish/>
        </w:rPr>
        <w:t>nRightsSARSMember2019-01-012019-12-310000789460us-gaap:StockAppreciationRightsSARSMember2019-12-310000789460us-gaap:StockAppreciationRightsSARSMember2020-01-012020-12-310000789460us-gaap:StockAppreciationRightsSARSMember2020-12-310000789460us-gaap:Accumula</w:t>
      </w:r>
      <w:r>
        <w:rPr>
          <w:rFonts w:eastAsia="Times New Roman"/>
          <w:vanish/>
        </w:rPr>
        <w:t>tedTranslationAdjustmentMember2018-12-310000789460us-gaap:AccumulatedGainLossNetCashFlowHedgeParentMember2018-12-310000789460us-gaap:AccumulatedTranslationAdjustmentMember2019-01-012019-12-310000789460us-gaap:AccumulatedGainLossNetCashFlowHedgeParentMember</w:t>
      </w:r>
      <w:r>
        <w:rPr>
          <w:rFonts w:eastAsia="Times New Roman"/>
          <w:vanish/>
        </w:rPr>
        <w:t>2019-01-012019-12-310000789460us-gaap:AccumulatedTranslationAdjustmentMember2019-12-310000789460us-gaap:AccumulatedGainLossNetCashFlowHedgeParentMember2019-12-310000789460us-gaap:AccumulatedTranslationAdjustmentMember2020-01-012020-12-310000789460us-gaap:A</w:t>
      </w:r>
      <w:r>
        <w:rPr>
          <w:rFonts w:eastAsia="Times New Roman"/>
          <w:vanish/>
        </w:rPr>
        <w:t>ccumulatedGainLossNetCashFlowHedgeParentMember2020-01-012020-12-310000789460us-gaap:AccumulatedTranslationAdjustmentMember2020-12-310000789460us-gaap:AccumulatedGainLossNetCashFlowHedgeParentMember2020-12-3100007894602017-01-012017-12-310000789460srt:ProFo</w:t>
      </w:r>
      <w:r>
        <w:rPr>
          <w:rFonts w:eastAsia="Times New Roman"/>
          <w:vanish/>
        </w:rPr>
        <w:t>rmaMember2018-01-012018-12-310000789460int:IntangibleAssetsNetExcludingGoodwillAndOtherAssetsNoncurrentMember2020-12-310000789460int:IntangibleAssetsNetExcludingGoodwillAndOtherAssetsNoncurrentMember2019-12-310000789460int:AccruedIncomeTaxesNoncurrentMembe</w:t>
      </w:r>
      <w:r>
        <w:rPr>
          <w:rFonts w:eastAsia="Times New Roman"/>
          <w:vanish/>
        </w:rPr>
        <w:t>r2020-12-310000789460int:AccruedIncomeTaxesNoncurrentMember2019-12-310000789460int:ExpirationDecember2021To2040Member2020-12-310000789460int:IndefiniteMember2020-12-310000789460int:ExpirationDecember2022To2040Member2020-12-3100007894602018-01-012018-01-010</w:t>
      </w:r>
      <w:r>
        <w:rPr>
          <w:rFonts w:eastAsia="Times New Roman"/>
          <w:vanish/>
        </w:rPr>
        <w:t>000789460us-gaap:TaxYear2013Memberus-gaap:SubsequentEventMemberus-gaap:ForeignCountryMemberint:DanishTaxAuthorityMember2021-01-012021-01-31iso4217:DKK0000789460us-gaap:SubsequentEventMemberus-gaap:ForeignCountryMemberint:DanishTaxAuthorityMemberus-gaap:Tax</w:t>
      </w:r>
      <w:r>
        <w:rPr>
          <w:rFonts w:eastAsia="Times New Roman"/>
          <w:vanish/>
        </w:rPr>
        <w:t>Year2014Member2021-01-012021-01-310000789460us-gaap:FairValueMeasurementsRecurringMember2020-12-310000789460us-gaap:FairValueMeasurementsRecurringMemberus-gaap:FairValueInputsLevel2Member2019-12-310000789460us-gaap:FairValueMeasurementsRecurringMemberus-ga</w:t>
      </w:r>
      <w:r>
        <w:rPr>
          <w:rFonts w:eastAsia="Times New Roman"/>
          <w:vanish/>
        </w:rPr>
        <w:t>ap:FairValueInputsLevel2Member2020-12-310000789460us-gaap:FairValueMeasurementsRecurringMemberus-gaap:FairValueInputsLevel1Memberus-gaap:CommodityContractMember2020-12-310000789460us-gaap:FairValueMeasurementsRecurringMemberus-gaap:CommodityContractMemberu</w:t>
      </w:r>
      <w:r>
        <w:rPr>
          <w:rFonts w:eastAsia="Times New Roman"/>
          <w:vanish/>
        </w:rPr>
        <w:t>s-gaap:FairValueInputsLevel2Member2020-12-310000789460us-gaap:FairValueInputsLevel3Memberus-gaap:FairValueMeasurementsRecurringMemberus-gaap:CommodityContractMember2020-12-310000789460us-gaap:FairValueMeasurementsRecurringMemberus-gaap:CommodityContractMem</w:t>
      </w:r>
      <w:r>
        <w:rPr>
          <w:rFonts w:eastAsia="Times New Roman"/>
          <w:vanish/>
        </w:rPr>
        <w:t>ber2020-12-310000789460us-gaap:FairValueMeasurementsRecurringMemberus-gaap:ForeignExchangeContractMemberus-gaap:FairValueInputsLevel1Member2020-12-310000789460us-gaap:FairValueMeasurementsRecurringMemberus-gaap:ForeignExchangeContractMemberus-gaap:FairValu</w:t>
      </w:r>
      <w:r>
        <w:rPr>
          <w:rFonts w:eastAsia="Times New Roman"/>
          <w:vanish/>
        </w:rPr>
        <w:t>eInputsLevel2Member2020-12-310000789460us-gaap:FairValueInputsLevel3Memberus-gaap:FairValueMeasurementsRecurringMemberus-gaap:ForeignExchangeContractMember2020-12-310000789460us-gaap:FairValueMeasurementsRecurringMemberus-gaap:ForeignExchangeContractMember</w:t>
      </w:r>
      <w:r>
        <w:rPr>
          <w:rFonts w:eastAsia="Times New Roman"/>
          <w:vanish/>
        </w:rPr>
        <w:t>2020-12-310000789460us-gaap:FairValueMeasurementsRecurringMemberus-gaap:FairValueInputsLevel1Memberus-gaap:CashSurrenderValueMember2020-12-310000789460us-gaap:FairValueMeasurementsRecurringMemberus-gaap:CashSurrenderValueMemberus-gaap:FairValueInputsLevel2</w:t>
      </w:r>
      <w:r>
        <w:rPr>
          <w:rFonts w:eastAsia="Times New Roman"/>
          <w:vanish/>
        </w:rPr>
        <w:t>Member2020-12-310000789460us-gaap:FairValueInputsLevel3Memberus-gaap:FairValueMeasurementsRecurringMemberus-gaap:CashSurrenderValueMember2020-12-310000789460us-gaap:FairValueMeasurementsRecurringMemberus-gaap:CashSurrenderValueMember2020-12-310000789460us-</w:t>
      </w:r>
      <w:r>
        <w:rPr>
          <w:rFonts w:eastAsia="Times New Roman"/>
          <w:vanish/>
        </w:rPr>
        <w:t>gaap:FairValueMeasurementsRecurringMemberus-gaap:FairValueInputsLevel1Member2020-12-310000789460us-gaap:FairValueInputsLevel3Memberus-gaap:FairValueMeasurementsRecurringMember2020-12-310000789460us-gaap:InterestRateContractMemberus-gaap:FairValueInputsLeve</w:t>
      </w:r>
      <w:r>
        <w:rPr>
          <w:rFonts w:eastAsia="Times New Roman"/>
          <w:vanish/>
        </w:rPr>
        <w:t>l1Member2020-12-310000789460us-gaap:InterestRateContractMemberus-gaap:FairValueInputsLevel2Member2020-12-310000789460us-gaap:FairValueInputsLevel3Memberus-gaap:InterestRateContractMember2020-12-310000789460us-gaap:InterestRateContractMember2020-12-31000078</w:t>
      </w:r>
      <w:r>
        <w:rPr>
          <w:rFonts w:eastAsia="Times New Roman"/>
          <w:vanish/>
        </w:rPr>
        <w:t>9460us-gaap:FairValueMeasurementsRecurringMemberus-gaap:FairValueInputsLevel1Memberus-gaap:CommodityContractMember2019-12-310000789460us-gaap:FairValueMeasurementsRecurringMemberus-gaap:CommodityContractMemberus-gaap:FairValueInputsLevel2Member2019-12-3100</w:t>
      </w:r>
      <w:r>
        <w:rPr>
          <w:rFonts w:eastAsia="Times New Roman"/>
          <w:vanish/>
        </w:rPr>
        <w:t>00789460us-gaap:FairValueInputsLevel3Memberus-gaap:FairValueMeasurementsRecurringMemberus-gaap:CommodityContractMember2019-12-310000789460us-gaap:FairValueMeasurementsRecurringMemberus-gaap:CommodityContractMember2019-12-310000789460us-gaap:FairValueMeasur</w:t>
      </w:r>
      <w:r>
        <w:rPr>
          <w:rFonts w:eastAsia="Times New Roman"/>
          <w:vanish/>
        </w:rPr>
        <w:t>ementsRecurringMemberus-gaap:ForeignExchangeContractMemberus-gaap:FairValueInputsLevel1Member2019-12-310000789460us-gaap:FairValueMeasurementsRecurringMemberus-gaap:ForeignExchangeContractMemberus-gaap:FairValueInputsLevel2Member2019-12-310000789460us-gaap</w:t>
      </w:r>
      <w:r>
        <w:rPr>
          <w:rFonts w:eastAsia="Times New Roman"/>
          <w:vanish/>
        </w:rPr>
        <w:t>:FairValueInputsLevel3Memberus-gaap:FairValueMeasurementsRecurringMemberus-gaap:ForeignExchangeContractMember2019-12-310000789460us-gaap:FairValueMeasurementsRecurringMemberus-gaap:ForeignExchangeContractMember2019-12-310000789460us-gaap:FairValueMeasureme</w:t>
      </w:r>
      <w:r>
        <w:rPr>
          <w:rFonts w:eastAsia="Times New Roman"/>
          <w:vanish/>
        </w:rPr>
        <w:t>ntsRecurringMemberus-gaap:FairValueInputsLevel1Memberus-gaap:CashSurrenderValueMember2019-12-310000789460us-gaap:FairValueMeasurementsRecurringMemberus-gaap:CashSurrenderValueMemberus-gaap:FairValueInputsLevel2Member2019-12-310000789460us-gaap:FairValueInp</w:t>
      </w:r>
      <w:r>
        <w:rPr>
          <w:rFonts w:eastAsia="Times New Roman"/>
          <w:vanish/>
        </w:rPr>
        <w:t>utsLevel3Memberus-gaap:FairValueMeasurementsRecurringMemberus-gaap:CashSurrenderValueMember2019-12-310000789460us-gaap:FairValueMeasurementsRecurringMemberus-gaap:CashSurrenderValueMember2019-12-310000789460us-gaap:FairValueMeasurementsRecurringMemberus-ga</w:t>
      </w:r>
      <w:r>
        <w:rPr>
          <w:rFonts w:eastAsia="Times New Roman"/>
          <w:vanish/>
        </w:rPr>
        <w:t>ap:FairValueInputsLevel1Member2019-12-310000789460us-gaap:FairValueInputsLevel3Memberus-gaap:FairValueMeasurementsRecurringMember2019-12-310000789460us-gaap:FairValueMeasurementsRecurringMember2019-12-310000789460us-gaap:CommodityContractMember2020-12-3100</w:t>
      </w:r>
      <w:r>
        <w:rPr>
          <w:rFonts w:eastAsia="Times New Roman"/>
          <w:vanish/>
        </w:rPr>
        <w:t>00789460us-gaap:ForeignExchangeContractMember2020-12-310000789460us-gaap:InterestRateContractMember2020-12-310000789460us-gaap:CommodityContractMember2019-12-310000789460us-gaap:ForeignExchangeContractMember2019-12-31int:segment0000789460int:AviationSegmen</w:t>
      </w:r>
      <w:r>
        <w:rPr>
          <w:rFonts w:eastAsia="Times New Roman"/>
          <w:vanish/>
        </w:rPr>
        <w:t>tMember2018-01-012018-12-310000789460int:LandSegmentMember2018-01-012018-12-310000789460int:MarineSegmentMember2020-01-012020-12-310000789460int:MarineSegmentMember2019-01-012019-12-310000789460int:MarineSegmentMember2018-01-012018-12-310000789460int:Aviat</w:t>
      </w:r>
      <w:r>
        <w:rPr>
          <w:rFonts w:eastAsia="Times New Roman"/>
          <w:vanish/>
        </w:rPr>
        <w:t>ionSegmentMemberus-gaap:OperatingSegmentsMember2020-01-012020-12-310000789460int:AviationSegmentMemberus-gaap:OperatingSegmentsMember2019-01-012019-12-310000789460int:AviationSegmentMemberus-gaap:OperatingSegmentsMember2018-01-012018-12-310000789460int:Lan</w:t>
      </w:r>
      <w:r>
        <w:rPr>
          <w:rFonts w:eastAsia="Times New Roman"/>
          <w:vanish/>
        </w:rPr>
        <w:t>dSegmentMemberus-gaap:OperatingSegmentsMember2020-01-012020-12-310000789460int:LandSegmentMemberus-gaap:OperatingSegmentsMember2019-01-012019-12-310000789460int:LandSegmentMemberus-gaap:OperatingSegmentsMember2018-01-012018-12-310000789460int:MarineSegment</w:t>
      </w:r>
      <w:r>
        <w:rPr>
          <w:rFonts w:eastAsia="Times New Roman"/>
          <w:vanish/>
        </w:rPr>
        <w:t>Memberus-gaap:OperatingSegmentsMember2020-01-012020-12-310000789460int:MarineSegmentMemberus-gaap:OperatingSegmentsMember2019-01-012019-12-310000789460int:MarineSegmentMemberus-gaap:OperatingSegmentsMember2018-01-012018-12-310000789460us-gaap:OperatingSegm</w:t>
      </w:r>
      <w:r>
        <w:rPr>
          <w:rFonts w:eastAsia="Times New Roman"/>
          <w:vanish/>
        </w:rPr>
        <w:t>entsMember2020-01-012020-12-310000789460us-gaap:OperatingSegmentsMember2019-01-012019-12-310000789460us-gaap:OperatingSegmentsMember2018-01-012018-12-310000789460us-gaap:CorporateNonSegmentMember2020-01-012020-12-310000789460us-gaap:CorporateNonSegmentMemb</w:t>
      </w:r>
      <w:r>
        <w:rPr>
          <w:rFonts w:eastAsia="Times New Roman"/>
          <w:vanish/>
        </w:rPr>
        <w:t>er2019-01-012019-12-310000789460us-gaap:CorporateNonSegmentMember2018-01-012018-12-310000789460int:MarineSegmentMember2020-12-310000789460int:MarineSegmentMember2019-12-310000789460int:AviationSegmentMemberus-gaap:OperatingSegmentsMember2020-12-31000078946</w:t>
      </w:r>
      <w:r>
        <w:rPr>
          <w:rFonts w:eastAsia="Times New Roman"/>
          <w:vanish/>
        </w:rPr>
        <w:t>0int:AviationSegmentMemberus-gaap:OperatingSegmentsMember2019-12-310000789460int:LandSegmentMemberus-gaap:OperatingSegmentsMember2020-12-310000789460int:LandSegmentMemberus-gaap:OperatingSegmentsMember2019-12-310000789460int:MarineSegmentMemberus-gaap:Oper</w:t>
      </w:r>
      <w:r>
        <w:rPr>
          <w:rFonts w:eastAsia="Times New Roman"/>
          <w:vanish/>
        </w:rPr>
        <w:t>atingSegmentsMember2020-12-310000789460int:MarineSegmentMemberus-gaap:OperatingSegmentsMember2019-12-310000789460us-gaap:CorporateNonSegmentMember2020-12-310000789460us-gaap:CorporateNonSegmentMember2019-12-310000789460country:US2020-01-012020-12-310000789</w:t>
      </w:r>
      <w:r>
        <w:rPr>
          <w:rFonts w:eastAsia="Times New Roman"/>
          <w:vanish/>
        </w:rPr>
        <w:t>460country:US2019-01-012019-12-310000789460country:US2018-01-012018-12-310000789460us-gaap:EMEAMember2020-01-012020-12-310000789460us-gaap:EMEAMember2019-01-012019-12-310000789460us-gaap:EMEAMember2018-01-012018-12-310000789460srt:AsiaPacificMember2020-01-</w:t>
      </w:r>
      <w:r>
        <w:rPr>
          <w:rFonts w:eastAsia="Times New Roman"/>
          <w:vanish/>
        </w:rPr>
        <w:t>012020-12-310000789460srt:AsiaPacificMember2019-01-012019-12-310000789460srt:AsiaPacificMember2018-01-012018-12-310000789460int:AmericasExcludingUnitedStatesMember2020-01-012020-12-310000789460int:AmericasExcludingUnitedStatesMember2019-01-012019-12-310000</w:t>
      </w:r>
      <w:r>
        <w:rPr>
          <w:rFonts w:eastAsia="Times New Roman"/>
          <w:vanish/>
        </w:rPr>
        <w:t>789460int:AmericasExcludingUnitedStatesMember2018-01-012018-12-310000789460country:US2020-12-310000789460country:US2019-12-310000789460us-gaap:EMEAMember2020-12-310000789460us-gaap:EMEAMember2019-12-310000789460srt:AsiaPacificMember2020-12-310000789460srt:</w:t>
      </w:r>
      <w:r>
        <w:rPr>
          <w:rFonts w:eastAsia="Times New Roman"/>
          <w:vanish/>
        </w:rPr>
        <w:t>AsiaPacificMember2019-12-310000789460int:AmericasExcludingUnitedStatesMember2020-12-310000789460int:AmericasExcludingUnitedStatesMember2019-12-310000789460country:GB2020-01-012020-12-310000789460country:GB2019-01-012019-12-310000789460country:GB2018-01-012</w:t>
      </w:r>
      <w:r>
        <w:rPr>
          <w:rFonts w:eastAsia="Times New Roman"/>
          <w:vanish/>
        </w:rPr>
        <w:t>018-12-310000789460country:SG2020-01-012020-12-310000789460country:SG2019-01-012019-12-310000789460country:SG2018-01-012018-12-310000789460srt:AsiaPacificMemberint:AviationSegmentMember2020-01-012020-12-310000789460srt:AsiaPacificMemberint:AviationSegmentM</w:t>
      </w:r>
      <w:r>
        <w:rPr>
          <w:rFonts w:eastAsia="Times New Roman"/>
          <w:vanish/>
        </w:rPr>
        <w:t>ember2019-01-012019-12-310000789460srt:AsiaPacificMemberint:AviationSegmentMember2018-01-012018-12-310000789460srt:AsiaPacificMemberint:LandSegmentMember2020-01-012020-12-310000789460srt:AsiaPacificMemberint:LandSegmentMember2019-01-012019-12-310000789460s</w:t>
      </w:r>
      <w:r>
        <w:rPr>
          <w:rFonts w:eastAsia="Times New Roman"/>
          <w:vanish/>
        </w:rPr>
        <w:t>rt:AsiaPacificMemberint:LandSegmentMember2018-01-012018-12-310000789460int:MarineSegmentMembersrt:AsiaPacificMember2020-01-012020-12-310000789460int:MarineSegmentMembersrt:AsiaPacificMember2019-01-012019-12-310000789460int:MarineSegmentMembersrt:AsiaPacifi</w:t>
      </w:r>
      <w:r>
        <w:rPr>
          <w:rFonts w:eastAsia="Times New Roman"/>
          <w:vanish/>
        </w:rPr>
        <w:t>cMember2018-01-012018-12-310000789460int:AviationSegmentMemberus-gaap:EMEAMember2020-01-012020-12-310000789460int:AviationSegmentMemberus-gaap:EMEAMember2019-01-012019-12-310000789460int:AviationSegmentMemberus-gaap:EMEAMember2018-01-012018-12-310000789460</w:t>
      </w:r>
      <w:r>
        <w:rPr>
          <w:rFonts w:eastAsia="Times New Roman"/>
          <w:vanish/>
        </w:rPr>
        <w:t>int:LandSegmentMemberus-gaap:EMEAMember2020-01-012020-12-310000789460int:LandSegmentMemberus-gaap:EMEAMember2019-01-012019-12-310000789460int:LandSegmentMemberus-gaap:EMEAMember2018-01-012018-12-310000789460int:MarineSegmentMemberus-gaap:EMEAMember2020-01-</w:t>
      </w:r>
      <w:r>
        <w:rPr>
          <w:rFonts w:eastAsia="Times New Roman"/>
          <w:vanish/>
        </w:rPr>
        <w:t>012020-12-310000789460int:MarineSegmentMemberus-gaap:EMEAMember2019-01-012019-12-310000789460int:MarineSegmentMemberus-gaap:EMEAMember2018-01-012018-12-310000789460srt:LatinAmericaMemberint:AviationSegmentMember2020-01-012020-12-310000789460srt:LatinAmeric</w:t>
      </w:r>
      <w:r>
        <w:rPr>
          <w:rFonts w:eastAsia="Times New Roman"/>
          <w:vanish/>
        </w:rPr>
        <w:t>aMemberint:AviationSegmentMember2019-01-012019-12-310000789460srt:LatinAmericaMemberint:AviationSegmentMember2018-01-012018-12-310000789460srt:LatinAmericaMemberint:LandSegmentMember2020-01-012020-12-310000789460srt:LatinAmericaMemberint:LandSegmentMember2</w:t>
      </w:r>
      <w:r>
        <w:rPr>
          <w:rFonts w:eastAsia="Times New Roman"/>
          <w:vanish/>
        </w:rPr>
        <w:t>019-01-012019-12-310000789460srt:LatinAmericaMemberint:LandSegmentMember2018-01-012018-12-310000789460int:MarineSegmentMembersrt:LatinAmericaMember2020-01-012020-12-310000789460int:MarineSegmentMembersrt:LatinAmericaMember2019-01-012019-12-310000789460int:</w:t>
      </w:r>
      <w:r>
        <w:rPr>
          <w:rFonts w:eastAsia="Times New Roman"/>
          <w:vanish/>
        </w:rPr>
        <w:t>MarineSegmentMembersrt:LatinAmericaMember2018-01-012018-12-310000789460srt:LatinAmericaMember2020-01-012020-12-310000789460srt:LatinAmericaMember2019-01-012019-12-310000789460srt:LatinAmericaMember2018-01-012018-12-310000789460srt:NorthAmericaMemberint:Avi</w:t>
      </w:r>
      <w:r>
        <w:rPr>
          <w:rFonts w:eastAsia="Times New Roman"/>
          <w:vanish/>
        </w:rPr>
        <w:t>ationSegmentMember2020-01-012020-12-310000789460srt:NorthAmericaMemberint:AviationSegmentMember2019-01-012019-12-310000789460srt:NorthAmericaMemberint:AviationSegmentMember2018-01-012018-12-310000789460srt:NorthAmericaMemberint:LandSegmentMember2020-01-012</w:t>
      </w:r>
      <w:r>
        <w:rPr>
          <w:rFonts w:eastAsia="Times New Roman"/>
          <w:vanish/>
        </w:rPr>
        <w:t>020-12-310000789460srt:NorthAmericaMemberint:LandSegmentMember2019-01-012019-12-310000789460srt:NorthAmericaMemberint:LandSegmentMember2018-01-012018-12-310000789460int:MarineSegmentMembersrt:NorthAmericaMember2020-01-012020-12-310000789460int:MarineSegmen</w:t>
      </w:r>
      <w:r>
        <w:rPr>
          <w:rFonts w:eastAsia="Times New Roman"/>
          <w:vanish/>
        </w:rPr>
        <w:t>tMembersrt:NorthAmericaMember2019-01-012019-12-310000789460int:MarineSegmentMembersrt:NorthAmericaMember2018-01-012018-12-310000789460srt:NorthAmericaMember2020-01-012020-12-310000789460srt:NorthAmericaMember2019-01-012019-12-310000789460srt:NorthAmericaMe</w:t>
      </w:r>
      <w:r>
        <w:rPr>
          <w:rFonts w:eastAsia="Times New Roman"/>
          <w:vanish/>
        </w:rPr>
        <w:t>mber2018-01-012018-12-3100007894602020-01-012020-03-3100007894602020-04-012020-06-3000007894602020-07-012020-09-3000007894602020-10-012020-12-3100007894602019-01-012019-03-3100007894602019-04-012019-06-3000007894602019-07-012019-09-3000007894602019-10-0120</w:t>
      </w:r>
      <w:r>
        <w:rPr>
          <w:rFonts w:eastAsia="Times New Roman"/>
          <w:vanish/>
        </w:rPr>
        <w:t>19-12-31</w:t>
      </w:r>
    </w:p>
    <w:p w14:paraId="0B225477" w14:textId="77777777" w:rsidR="00000000" w:rsidRDefault="00C01C43">
      <w:pPr>
        <w:divId w:val="1469935692"/>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3F0F139A" w14:textId="77777777" w:rsidR="00000000" w:rsidRDefault="00C01C43">
      <w:pPr>
        <w:jc w:val="both"/>
        <w:rPr>
          <w:rFonts w:eastAsia="Times New Roman"/>
        </w:rPr>
      </w:pPr>
      <w:r>
        <w:rPr>
          <w:rFonts w:ascii="Arial" w:eastAsia="Times New Roman" w:hAnsi="Arial" w:cs="Arial"/>
          <w:b/>
          <w:bCs/>
          <w:color w:val="000000"/>
          <w:sz w:val="22"/>
          <w:szCs w:val="22"/>
        </w:rPr>
        <w:t>UNITED STATES SECURITIES AND EXCHANGE COMMISSION</w:t>
      </w:r>
    </w:p>
    <w:p w14:paraId="406FC187" w14:textId="77777777" w:rsidR="00000000" w:rsidRDefault="00C01C43">
      <w:pPr>
        <w:jc w:val="both"/>
        <w:divId w:val="769207136"/>
        <w:rPr>
          <w:rFonts w:eastAsia="Times New Roman"/>
        </w:rPr>
      </w:pPr>
      <w:r>
        <w:rPr>
          <w:rFonts w:ascii="Arial" w:eastAsia="Times New Roman" w:hAnsi="Arial" w:cs="Arial"/>
          <w:b/>
          <w:bCs/>
          <w:color w:val="000000"/>
          <w:sz w:val="18"/>
          <w:szCs w:val="18"/>
        </w:rPr>
        <w:t>Washington, DC 20549</w:t>
      </w:r>
    </w:p>
    <w:p w14:paraId="1A6035EE" w14:textId="77777777" w:rsidR="00000000" w:rsidRDefault="00C01C43">
      <w:pPr>
        <w:jc w:val="both"/>
        <w:rPr>
          <w:rFonts w:eastAsia="Times New Roman"/>
        </w:rPr>
      </w:pPr>
      <w:r>
        <w:rPr>
          <w:rFonts w:ascii="Arial" w:eastAsia="Times New Roman" w:hAnsi="Arial" w:cs="Arial"/>
          <w:b/>
          <w:bCs/>
          <w:color w:val="000000"/>
          <w:sz w:val="22"/>
          <w:szCs w:val="22"/>
        </w:rPr>
        <w:t xml:space="preserve">FORM 10-K </w:t>
      </w:r>
    </w:p>
    <w:tbl>
      <w:tblPr>
        <w:tblW w:w="4941" w:type="pct"/>
        <w:tblCellMar>
          <w:top w:w="15" w:type="dxa"/>
          <w:left w:w="15" w:type="dxa"/>
          <w:bottom w:w="15" w:type="dxa"/>
          <w:right w:w="15" w:type="dxa"/>
        </w:tblCellMar>
        <w:tblLook w:val="04A0" w:firstRow="1" w:lastRow="0" w:firstColumn="1" w:lastColumn="0" w:noHBand="0" w:noVBand="1"/>
      </w:tblPr>
      <w:tblGrid>
        <w:gridCol w:w="67"/>
        <w:gridCol w:w="1193"/>
        <w:gridCol w:w="36"/>
        <w:gridCol w:w="67"/>
        <w:gridCol w:w="902"/>
        <w:gridCol w:w="39"/>
        <w:gridCol w:w="68"/>
        <w:gridCol w:w="902"/>
        <w:gridCol w:w="38"/>
        <w:gridCol w:w="68"/>
        <w:gridCol w:w="4791"/>
        <w:gridCol w:w="37"/>
      </w:tblGrid>
      <w:tr w:rsidR="00000000" w14:paraId="0F268A88" w14:textId="77777777">
        <w:trPr>
          <w:divId w:val="2043705292"/>
        </w:trPr>
        <w:tc>
          <w:tcPr>
            <w:tcW w:w="50" w:type="pct"/>
            <w:vAlign w:val="center"/>
            <w:hideMark/>
          </w:tcPr>
          <w:p w14:paraId="7801B5C9" w14:textId="77777777" w:rsidR="00000000" w:rsidRDefault="00C01C43">
            <w:pPr>
              <w:jc w:val="both"/>
              <w:rPr>
                <w:rFonts w:eastAsia="Times New Roman"/>
              </w:rPr>
            </w:pPr>
          </w:p>
        </w:tc>
        <w:tc>
          <w:tcPr>
            <w:tcW w:w="736" w:type="pct"/>
            <w:vAlign w:val="center"/>
            <w:hideMark/>
          </w:tcPr>
          <w:p w14:paraId="74A7E769" w14:textId="77777777" w:rsidR="00000000" w:rsidRDefault="00C01C43">
            <w:pPr>
              <w:rPr>
                <w:rFonts w:eastAsia="Times New Roman"/>
                <w:sz w:val="20"/>
                <w:szCs w:val="20"/>
              </w:rPr>
            </w:pPr>
          </w:p>
        </w:tc>
        <w:tc>
          <w:tcPr>
            <w:tcW w:w="5" w:type="pct"/>
            <w:vAlign w:val="center"/>
            <w:hideMark/>
          </w:tcPr>
          <w:p w14:paraId="6865B009" w14:textId="77777777" w:rsidR="00000000" w:rsidRDefault="00C01C43">
            <w:pPr>
              <w:rPr>
                <w:rFonts w:eastAsia="Times New Roman"/>
                <w:sz w:val="20"/>
                <w:szCs w:val="20"/>
              </w:rPr>
            </w:pPr>
          </w:p>
        </w:tc>
        <w:tc>
          <w:tcPr>
            <w:tcW w:w="50" w:type="pct"/>
            <w:vAlign w:val="center"/>
            <w:hideMark/>
          </w:tcPr>
          <w:p w14:paraId="201F4414" w14:textId="77777777" w:rsidR="00000000" w:rsidRDefault="00C01C43">
            <w:pPr>
              <w:rPr>
                <w:rFonts w:eastAsia="Times New Roman"/>
                <w:sz w:val="20"/>
                <w:szCs w:val="20"/>
              </w:rPr>
            </w:pPr>
          </w:p>
        </w:tc>
        <w:tc>
          <w:tcPr>
            <w:tcW w:w="558" w:type="pct"/>
            <w:vAlign w:val="center"/>
            <w:hideMark/>
          </w:tcPr>
          <w:p w14:paraId="6A8381F0" w14:textId="77777777" w:rsidR="00000000" w:rsidRDefault="00C01C43">
            <w:pPr>
              <w:rPr>
                <w:rFonts w:eastAsia="Times New Roman"/>
                <w:sz w:val="20"/>
                <w:szCs w:val="20"/>
              </w:rPr>
            </w:pPr>
          </w:p>
        </w:tc>
        <w:tc>
          <w:tcPr>
            <w:tcW w:w="5" w:type="pct"/>
            <w:vAlign w:val="center"/>
            <w:hideMark/>
          </w:tcPr>
          <w:p w14:paraId="521CC9C0" w14:textId="77777777" w:rsidR="00000000" w:rsidRDefault="00C01C43">
            <w:pPr>
              <w:rPr>
                <w:rFonts w:eastAsia="Times New Roman"/>
                <w:sz w:val="20"/>
                <w:szCs w:val="20"/>
              </w:rPr>
            </w:pPr>
          </w:p>
        </w:tc>
        <w:tc>
          <w:tcPr>
            <w:tcW w:w="50" w:type="pct"/>
            <w:vAlign w:val="center"/>
            <w:hideMark/>
          </w:tcPr>
          <w:p w14:paraId="3574A45D" w14:textId="77777777" w:rsidR="00000000" w:rsidRDefault="00C01C43">
            <w:pPr>
              <w:rPr>
                <w:rFonts w:eastAsia="Times New Roman"/>
                <w:sz w:val="20"/>
                <w:szCs w:val="20"/>
              </w:rPr>
            </w:pPr>
          </w:p>
        </w:tc>
        <w:tc>
          <w:tcPr>
            <w:tcW w:w="558" w:type="pct"/>
            <w:vAlign w:val="center"/>
            <w:hideMark/>
          </w:tcPr>
          <w:p w14:paraId="56D266EA" w14:textId="77777777" w:rsidR="00000000" w:rsidRDefault="00C01C43">
            <w:pPr>
              <w:rPr>
                <w:rFonts w:eastAsia="Times New Roman"/>
                <w:sz w:val="20"/>
                <w:szCs w:val="20"/>
              </w:rPr>
            </w:pPr>
          </w:p>
        </w:tc>
        <w:tc>
          <w:tcPr>
            <w:tcW w:w="5" w:type="pct"/>
            <w:vAlign w:val="center"/>
            <w:hideMark/>
          </w:tcPr>
          <w:p w14:paraId="60C304C2" w14:textId="77777777" w:rsidR="00000000" w:rsidRDefault="00C01C43">
            <w:pPr>
              <w:rPr>
                <w:rFonts w:eastAsia="Times New Roman"/>
                <w:sz w:val="20"/>
                <w:szCs w:val="20"/>
              </w:rPr>
            </w:pPr>
          </w:p>
        </w:tc>
        <w:tc>
          <w:tcPr>
            <w:tcW w:w="50" w:type="pct"/>
            <w:vAlign w:val="center"/>
            <w:hideMark/>
          </w:tcPr>
          <w:p w14:paraId="349A79F1" w14:textId="77777777" w:rsidR="00000000" w:rsidRDefault="00C01C43">
            <w:pPr>
              <w:rPr>
                <w:rFonts w:eastAsia="Times New Roman"/>
                <w:sz w:val="20"/>
                <w:szCs w:val="20"/>
              </w:rPr>
            </w:pPr>
          </w:p>
        </w:tc>
        <w:tc>
          <w:tcPr>
            <w:tcW w:w="2925" w:type="pct"/>
            <w:vAlign w:val="center"/>
            <w:hideMark/>
          </w:tcPr>
          <w:p w14:paraId="2544E8DF" w14:textId="77777777" w:rsidR="00000000" w:rsidRDefault="00C01C43">
            <w:pPr>
              <w:rPr>
                <w:rFonts w:eastAsia="Times New Roman"/>
                <w:sz w:val="20"/>
                <w:szCs w:val="20"/>
              </w:rPr>
            </w:pPr>
          </w:p>
        </w:tc>
        <w:tc>
          <w:tcPr>
            <w:tcW w:w="5" w:type="pct"/>
            <w:vAlign w:val="center"/>
            <w:hideMark/>
          </w:tcPr>
          <w:p w14:paraId="5FA67014" w14:textId="77777777" w:rsidR="00000000" w:rsidRDefault="00C01C43">
            <w:pPr>
              <w:rPr>
                <w:rFonts w:eastAsia="Times New Roman"/>
                <w:sz w:val="20"/>
                <w:szCs w:val="20"/>
              </w:rPr>
            </w:pPr>
          </w:p>
        </w:tc>
      </w:tr>
      <w:tr w:rsidR="00000000" w14:paraId="1BA9AE3A" w14:textId="77777777">
        <w:trPr>
          <w:divId w:val="2043705292"/>
        </w:trPr>
        <w:tc>
          <w:tcPr>
            <w:tcW w:w="0" w:type="auto"/>
            <w:gridSpan w:val="3"/>
            <w:tcMar>
              <w:top w:w="30" w:type="dxa"/>
              <w:left w:w="20" w:type="dxa"/>
              <w:bottom w:w="30" w:type="dxa"/>
              <w:right w:w="20" w:type="dxa"/>
            </w:tcMar>
            <w:vAlign w:val="bottom"/>
            <w:hideMark/>
          </w:tcPr>
          <w:p w14:paraId="549D4006" w14:textId="77777777" w:rsidR="00000000" w:rsidRDefault="00C01C43">
            <w:pPr>
              <w:rPr>
                <w:rFonts w:eastAsia="Times New Roman"/>
              </w:rPr>
            </w:pPr>
            <w:r>
              <w:rPr>
                <w:rFonts w:ascii="Arial" w:eastAsia="Times New Roman" w:hAnsi="Arial" w:cs="Arial"/>
                <w:color w:val="000000"/>
                <w:sz w:val="18"/>
                <w:szCs w:val="18"/>
              </w:rPr>
              <w:t>(Mark One)</w:t>
            </w:r>
          </w:p>
        </w:tc>
        <w:tc>
          <w:tcPr>
            <w:tcW w:w="0" w:type="auto"/>
            <w:gridSpan w:val="3"/>
            <w:tcMar>
              <w:top w:w="0" w:type="dxa"/>
              <w:left w:w="20" w:type="dxa"/>
              <w:bottom w:w="0" w:type="dxa"/>
              <w:right w:w="20" w:type="dxa"/>
            </w:tcMar>
            <w:vAlign w:val="center"/>
            <w:hideMark/>
          </w:tcPr>
          <w:p w14:paraId="2FADFDFF"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40F5F4FB"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36C416C1" w14:textId="77777777" w:rsidR="00000000" w:rsidRDefault="00C01C43">
            <w:pPr>
              <w:rPr>
                <w:rFonts w:eastAsia="Times New Roman"/>
                <w:sz w:val="20"/>
                <w:szCs w:val="20"/>
              </w:rPr>
            </w:pPr>
          </w:p>
        </w:tc>
      </w:tr>
      <w:tr w:rsidR="00000000" w14:paraId="373DD490" w14:textId="77777777">
        <w:trPr>
          <w:divId w:val="2043705292"/>
        </w:trPr>
        <w:tc>
          <w:tcPr>
            <w:tcW w:w="0" w:type="auto"/>
            <w:gridSpan w:val="3"/>
            <w:tcMar>
              <w:top w:w="30" w:type="dxa"/>
              <w:left w:w="20" w:type="dxa"/>
              <w:bottom w:w="30" w:type="dxa"/>
              <w:right w:w="20" w:type="dxa"/>
            </w:tcMar>
            <w:vAlign w:val="bottom"/>
            <w:hideMark/>
          </w:tcPr>
          <w:p w14:paraId="578D9ED1" w14:textId="77777777" w:rsidR="00000000" w:rsidRDefault="00C01C43">
            <w:pPr>
              <w:jc w:val="center"/>
              <w:rPr>
                <w:rFonts w:eastAsia="Times New Roman"/>
              </w:rPr>
            </w:pPr>
            <w:r>
              <w:rPr>
                <w:rFonts w:ascii="Segoe UI Symbol" w:eastAsia="Times New Roman" w:hAnsi="Segoe UI Symbol" w:cs="Segoe UI Symbol"/>
                <w:color w:val="000000"/>
                <w:sz w:val="18"/>
                <w:szCs w:val="18"/>
              </w:rPr>
              <w:t>☒</w:t>
            </w:r>
          </w:p>
        </w:tc>
        <w:tc>
          <w:tcPr>
            <w:tcW w:w="0" w:type="auto"/>
            <w:gridSpan w:val="9"/>
            <w:tcMar>
              <w:top w:w="30" w:type="dxa"/>
              <w:left w:w="20" w:type="dxa"/>
              <w:bottom w:w="30" w:type="dxa"/>
              <w:right w:w="20" w:type="dxa"/>
            </w:tcMar>
            <w:vAlign w:val="bottom"/>
            <w:hideMark/>
          </w:tcPr>
          <w:p w14:paraId="6F129728" w14:textId="77777777" w:rsidR="00000000" w:rsidRDefault="00C01C43">
            <w:pPr>
              <w:rPr>
                <w:rFonts w:eastAsia="Times New Roman"/>
              </w:rPr>
            </w:pPr>
            <w:r>
              <w:rPr>
                <w:rFonts w:ascii="Arial" w:eastAsia="Times New Roman" w:hAnsi="Arial" w:cs="Arial"/>
                <w:color w:val="000000"/>
                <w:sz w:val="18"/>
                <w:szCs w:val="18"/>
              </w:rPr>
              <w:t>ANNUAL REPORT PURSUANT TO SECTION 13 OR 15(d) OF THE SECURITIES EXCHANGE ACT OF 1934</w:t>
            </w:r>
          </w:p>
        </w:tc>
      </w:tr>
      <w:tr w:rsidR="00000000" w14:paraId="0F2C4921" w14:textId="77777777">
        <w:trPr>
          <w:divId w:val="2043705292"/>
        </w:trPr>
        <w:tc>
          <w:tcPr>
            <w:tcW w:w="0" w:type="auto"/>
            <w:gridSpan w:val="3"/>
            <w:tcMar>
              <w:top w:w="0" w:type="dxa"/>
              <w:left w:w="20" w:type="dxa"/>
              <w:bottom w:w="0" w:type="dxa"/>
              <w:right w:w="20" w:type="dxa"/>
            </w:tcMar>
            <w:vAlign w:val="center"/>
            <w:hideMark/>
          </w:tcPr>
          <w:p w14:paraId="5A107C0A" w14:textId="77777777" w:rsidR="00000000" w:rsidRDefault="00C01C43">
            <w:pPr>
              <w:rPr>
                <w:rFonts w:eastAsia="Times New Roman"/>
              </w:rPr>
            </w:pPr>
          </w:p>
        </w:tc>
        <w:tc>
          <w:tcPr>
            <w:tcW w:w="0" w:type="auto"/>
            <w:gridSpan w:val="6"/>
            <w:tcMar>
              <w:top w:w="30" w:type="dxa"/>
              <w:left w:w="20" w:type="dxa"/>
              <w:bottom w:w="30" w:type="dxa"/>
              <w:right w:w="20" w:type="dxa"/>
            </w:tcMar>
            <w:vAlign w:val="center"/>
            <w:hideMark/>
          </w:tcPr>
          <w:p w14:paraId="457382C5" w14:textId="77777777" w:rsidR="00000000" w:rsidRDefault="00C01C43">
            <w:pPr>
              <w:rPr>
                <w:rFonts w:eastAsia="Times New Roman"/>
              </w:rPr>
            </w:pPr>
            <w:r>
              <w:rPr>
                <w:rFonts w:ascii="Arial" w:eastAsia="Times New Roman" w:hAnsi="Arial" w:cs="Arial"/>
                <w:color w:val="000000"/>
                <w:sz w:val="18"/>
                <w:szCs w:val="18"/>
              </w:rPr>
              <w:t>For the fiscal year ended</w:t>
            </w:r>
          </w:p>
        </w:tc>
        <w:tc>
          <w:tcPr>
            <w:tcW w:w="0" w:type="auto"/>
            <w:gridSpan w:val="3"/>
            <w:tcMar>
              <w:top w:w="30" w:type="dxa"/>
              <w:left w:w="20" w:type="dxa"/>
              <w:bottom w:w="30" w:type="dxa"/>
              <w:right w:w="20" w:type="dxa"/>
            </w:tcMar>
            <w:vAlign w:val="center"/>
            <w:hideMark/>
          </w:tcPr>
          <w:p w14:paraId="7B6C920F" w14:textId="77777777" w:rsidR="00000000" w:rsidRDefault="00C01C43">
            <w:pPr>
              <w:rPr>
                <w:rFonts w:eastAsia="Times New Roman"/>
              </w:rPr>
            </w:pPr>
            <w:r>
              <w:rPr>
                <w:rFonts w:ascii="Arial" w:eastAsia="Times New Roman" w:hAnsi="Arial" w:cs="Arial"/>
                <w:color w:val="000000"/>
                <w:sz w:val="18"/>
                <w:szCs w:val="18"/>
              </w:rPr>
              <w:t>December 31, 2020</w:t>
            </w:r>
          </w:p>
        </w:tc>
      </w:tr>
      <w:tr w:rsidR="00000000" w14:paraId="5718BD74" w14:textId="77777777">
        <w:trPr>
          <w:divId w:val="2043705292"/>
        </w:trPr>
        <w:tc>
          <w:tcPr>
            <w:tcW w:w="0" w:type="auto"/>
            <w:gridSpan w:val="6"/>
            <w:tcMar>
              <w:top w:w="0" w:type="dxa"/>
              <w:left w:w="20" w:type="dxa"/>
              <w:bottom w:w="0" w:type="dxa"/>
              <w:right w:w="20" w:type="dxa"/>
            </w:tcMar>
            <w:vAlign w:val="center"/>
            <w:hideMark/>
          </w:tcPr>
          <w:p w14:paraId="30FE3E3F"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24A6C6C3"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center"/>
            <w:hideMark/>
          </w:tcPr>
          <w:p w14:paraId="2D23F272" w14:textId="77777777" w:rsidR="00000000" w:rsidRDefault="00C01C43">
            <w:pPr>
              <w:rPr>
                <w:rFonts w:eastAsia="Times New Roman"/>
              </w:rPr>
            </w:pPr>
            <w:r>
              <w:rPr>
                <w:rFonts w:ascii="Arial" w:eastAsia="Times New Roman" w:hAnsi="Arial" w:cs="Arial"/>
                <w:color w:val="000000"/>
                <w:sz w:val="18"/>
                <w:szCs w:val="18"/>
              </w:rPr>
              <w:t>OR</w:t>
            </w:r>
          </w:p>
        </w:tc>
      </w:tr>
      <w:tr w:rsidR="00000000" w14:paraId="485F06CB" w14:textId="77777777">
        <w:trPr>
          <w:divId w:val="2043705292"/>
        </w:trPr>
        <w:tc>
          <w:tcPr>
            <w:tcW w:w="0" w:type="auto"/>
            <w:gridSpan w:val="3"/>
            <w:tcMar>
              <w:top w:w="30" w:type="dxa"/>
              <w:left w:w="20" w:type="dxa"/>
              <w:bottom w:w="30" w:type="dxa"/>
              <w:right w:w="20" w:type="dxa"/>
            </w:tcMar>
            <w:vAlign w:val="bottom"/>
            <w:hideMark/>
          </w:tcPr>
          <w:p w14:paraId="6B28F443" w14:textId="77777777" w:rsidR="00000000" w:rsidRDefault="00C01C43">
            <w:pPr>
              <w:jc w:val="center"/>
              <w:rPr>
                <w:rFonts w:eastAsia="Times New Roman"/>
              </w:rPr>
            </w:pPr>
            <w:r>
              <w:rPr>
                <w:rFonts w:ascii="Segoe UI Symbol" w:eastAsia="Times New Roman" w:hAnsi="Segoe UI Symbol" w:cs="Segoe UI Symbol"/>
                <w:color w:val="000000"/>
                <w:sz w:val="18"/>
                <w:szCs w:val="18"/>
              </w:rPr>
              <w:t>☐</w:t>
            </w:r>
          </w:p>
        </w:tc>
        <w:tc>
          <w:tcPr>
            <w:tcW w:w="0" w:type="auto"/>
            <w:gridSpan w:val="9"/>
            <w:tcMar>
              <w:top w:w="30" w:type="dxa"/>
              <w:left w:w="20" w:type="dxa"/>
              <w:bottom w:w="30" w:type="dxa"/>
              <w:right w:w="20" w:type="dxa"/>
            </w:tcMar>
            <w:vAlign w:val="bottom"/>
            <w:hideMark/>
          </w:tcPr>
          <w:p w14:paraId="1D2FA87A" w14:textId="77777777" w:rsidR="00000000" w:rsidRDefault="00C01C43">
            <w:pPr>
              <w:rPr>
                <w:rFonts w:eastAsia="Times New Roman"/>
              </w:rPr>
            </w:pPr>
            <w:r>
              <w:rPr>
                <w:rFonts w:ascii="Arial" w:eastAsia="Times New Roman" w:hAnsi="Arial" w:cs="Arial"/>
                <w:color w:val="000000"/>
                <w:sz w:val="18"/>
                <w:szCs w:val="18"/>
              </w:rPr>
              <w:t>TRANSITION REPORT PURSUANT TO SECTION </w:t>
            </w:r>
            <w:r>
              <w:rPr>
                <w:rFonts w:ascii="Arial" w:eastAsia="Times New Roman" w:hAnsi="Arial" w:cs="Arial"/>
                <w:color w:val="000000"/>
                <w:sz w:val="18"/>
                <w:szCs w:val="18"/>
              </w:rPr>
              <w:t>13 OR 15(d) OF THE SECURITIES EXCHANGE ACT OF 1934</w:t>
            </w:r>
          </w:p>
        </w:tc>
      </w:tr>
      <w:tr w:rsidR="00000000" w14:paraId="301036B3" w14:textId="77777777">
        <w:trPr>
          <w:divId w:val="2043705292"/>
        </w:trPr>
        <w:tc>
          <w:tcPr>
            <w:tcW w:w="0" w:type="auto"/>
            <w:gridSpan w:val="3"/>
            <w:tcMar>
              <w:top w:w="0" w:type="dxa"/>
              <w:left w:w="20" w:type="dxa"/>
              <w:bottom w:w="0" w:type="dxa"/>
              <w:right w:w="20" w:type="dxa"/>
            </w:tcMar>
            <w:vAlign w:val="center"/>
            <w:hideMark/>
          </w:tcPr>
          <w:p w14:paraId="0094759D" w14:textId="77777777" w:rsidR="00000000" w:rsidRDefault="00C01C43">
            <w:pPr>
              <w:rPr>
                <w:rFonts w:eastAsia="Times New Roman"/>
              </w:rPr>
            </w:pPr>
          </w:p>
        </w:tc>
        <w:tc>
          <w:tcPr>
            <w:tcW w:w="0" w:type="auto"/>
            <w:gridSpan w:val="9"/>
            <w:tcMar>
              <w:top w:w="30" w:type="dxa"/>
              <w:left w:w="20" w:type="dxa"/>
              <w:bottom w:w="30" w:type="dxa"/>
              <w:right w:w="20" w:type="dxa"/>
            </w:tcMar>
            <w:vAlign w:val="bottom"/>
            <w:hideMark/>
          </w:tcPr>
          <w:p w14:paraId="5A70AFAC" w14:textId="77777777" w:rsidR="00000000" w:rsidRDefault="00C01C43">
            <w:pPr>
              <w:divId w:val="205066512"/>
              <w:rPr>
                <w:rFonts w:eastAsia="Times New Roman"/>
              </w:rPr>
            </w:pPr>
            <w:r>
              <w:rPr>
                <w:rFonts w:ascii="Arial" w:eastAsia="Times New Roman" w:hAnsi="Arial" w:cs="Arial"/>
                <w:color w:val="000000"/>
                <w:sz w:val="18"/>
                <w:szCs w:val="18"/>
              </w:rPr>
              <w:t xml:space="preserve">For the transition period from  </w:t>
            </w:r>
            <w:r>
              <w:rPr>
                <w:rFonts w:ascii="Arial" w:eastAsia="Times New Roman" w:hAnsi="Arial" w:cs="Arial"/>
                <w:color w:val="000000"/>
                <w:sz w:val="18"/>
                <w:szCs w:val="18"/>
                <w:u w:val="single"/>
              </w:rPr>
              <w:t>   </w:t>
            </w:r>
            <w:r>
              <w:rPr>
                <w:rFonts w:ascii="Arial" w:eastAsia="Times New Roman" w:hAnsi="Arial" w:cs="Arial"/>
                <w:color w:val="000000"/>
                <w:sz w:val="18"/>
                <w:szCs w:val="18"/>
              </w:rPr>
              <w:t xml:space="preserve"> to  </w:t>
            </w:r>
            <w:r>
              <w:rPr>
                <w:rFonts w:ascii="Arial" w:eastAsia="Times New Roman" w:hAnsi="Arial" w:cs="Arial"/>
                <w:color w:val="000000"/>
                <w:sz w:val="18"/>
                <w:szCs w:val="18"/>
                <w:u w:val="single"/>
              </w:rPr>
              <w:t>   </w:t>
            </w:r>
          </w:p>
        </w:tc>
      </w:tr>
      <w:tr w:rsidR="00000000" w14:paraId="60F944F5" w14:textId="77777777">
        <w:trPr>
          <w:divId w:val="2043705292"/>
        </w:trPr>
        <w:tc>
          <w:tcPr>
            <w:tcW w:w="0" w:type="auto"/>
            <w:gridSpan w:val="3"/>
            <w:tcMar>
              <w:top w:w="0" w:type="dxa"/>
              <w:left w:w="20" w:type="dxa"/>
              <w:bottom w:w="0" w:type="dxa"/>
              <w:right w:w="20" w:type="dxa"/>
            </w:tcMar>
            <w:vAlign w:val="center"/>
            <w:hideMark/>
          </w:tcPr>
          <w:p w14:paraId="790F2E77" w14:textId="77777777" w:rsidR="00000000" w:rsidRDefault="00C01C43">
            <w:pPr>
              <w:rPr>
                <w:rFonts w:eastAsia="Times New Roman"/>
              </w:rPr>
            </w:pPr>
          </w:p>
        </w:tc>
        <w:tc>
          <w:tcPr>
            <w:tcW w:w="0" w:type="auto"/>
            <w:gridSpan w:val="6"/>
            <w:tcMar>
              <w:top w:w="30" w:type="dxa"/>
              <w:left w:w="20" w:type="dxa"/>
              <w:bottom w:w="30" w:type="dxa"/>
              <w:right w:w="20" w:type="dxa"/>
            </w:tcMar>
            <w:vAlign w:val="bottom"/>
            <w:hideMark/>
          </w:tcPr>
          <w:p w14:paraId="56768955" w14:textId="77777777" w:rsidR="00000000" w:rsidRDefault="00C01C43">
            <w:pPr>
              <w:jc w:val="right"/>
              <w:rPr>
                <w:rFonts w:eastAsia="Times New Roman"/>
              </w:rPr>
            </w:pPr>
            <w:r>
              <w:rPr>
                <w:rFonts w:ascii="Arial" w:eastAsia="Times New Roman" w:hAnsi="Arial" w:cs="Arial"/>
                <w:color w:val="000000"/>
                <w:sz w:val="18"/>
                <w:szCs w:val="18"/>
              </w:rPr>
              <w:t>COMMISSION FILE NUMBER</w:t>
            </w:r>
          </w:p>
        </w:tc>
        <w:tc>
          <w:tcPr>
            <w:tcW w:w="0" w:type="auto"/>
            <w:gridSpan w:val="3"/>
            <w:tcMar>
              <w:top w:w="30" w:type="dxa"/>
              <w:left w:w="20" w:type="dxa"/>
              <w:bottom w:w="30" w:type="dxa"/>
              <w:right w:w="20" w:type="dxa"/>
            </w:tcMar>
            <w:vAlign w:val="center"/>
            <w:hideMark/>
          </w:tcPr>
          <w:p w14:paraId="1C7F76B2" w14:textId="77777777" w:rsidR="00000000" w:rsidRDefault="00C01C43">
            <w:pPr>
              <w:jc w:val="both"/>
              <w:rPr>
                <w:rFonts w:eastAsia="Times New Roman"/>
              </w:rPr>
            </w:pPr>
            <w:r>
              <w:rPr>
                <w:rFonts w:ascii="Arial" w:eastAsia="Times New Roman" w:hAnsi="Arial" w:cs="Arial"/>
                <w:color w:val="000000"/>
                <w:sz w:val="18"/>
                <w:szCs w:val="18"/>
              </w:rPr>
              <w:t>001-09533</w:t>
            </w:r>
          </w:p>
        </w:tc>
      </w:tr>
    </w:tbl>
    <w:p w14:paraId="55D750FB" w14:textId="77777777" w:rsidR="00000000" w:rsidRDefault="00C01C43">
      <w:pPr>
        <w:jc w:val="both"/>
        <w:rPr>
          <w:rFonts w:eastAsia="Times New Roman"/>
        </w:rPr>
      </w:pPr>
      <w:r>
        <w:rPr>
          <w:rFonts w:eastAsia="Times New Roman"/>
          <w:noProof/>
        </w:rPr>
        <w:drawing>
          <wp:inline distT="0" distB="0" distL="0" distR="0" wp14:anchorId="1ECCF7D4" wp14:editId="384C4F71">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04A8F31" w14:textId="77777777" w:rsidR="00000000" w:rsidRDefault="00C01C43">
      <w:pPr>
        <w:jc w:val="both"/>
        <w:rPr>
          <w:rFonts w:eastAsia="Times New Roman"/>
        </w:rPr>
      </w:pPr>
      <w:r>
        <w:rPr>
          <w:rFonts w:ascii="Arial" w:eastAsia="Times New Roman" w:hAnsi="Arial" w:cs="Arial"/>
          <w:color w:val="000000"/>
          <w:sz w:val="18"/>
          <w:szCs w:val="18"/>
        </w:rPr>
        <w:t xml:space="preserve">WORLD FUEL SERVICES CORPORATION </w:t>
      </w:r>
    </w:p>
    <w:p w14:paraId="076414C2" w14:textId="77777777" w:rsidR="00000000" w:rsidRDefault="00C01C43">
      <w:pPr>
        <w:jc w:val="both"/>
        <w:rPr>
          <w:rFonts w:eastAsia="Times New Roman"/>
        </w:rPr>
      </w:pPr>
      <w:r>
        <w:rPr>
          <w:rFonts w:ascii="Arial" w:eastAsia="Times New Roman" w:hAnsi="Arial" w:cs="Arial"/>
          <w:color w:val="000000"/>
          <w:sz w:val="18"/>
          <w:szCs w:val="18"/>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42"/>
        <w:gridCol w:w="2068"/>
        <w:gridCol w:w="36"/>
        <w:gridCol w:w="37"/>
        <w:gridCol w:w="1194"/>
        <w:gridCol w:w="37"/>
        <w:gridCol w:w="37"/>
        <w:gridCol w:w="162"/>
        <w:gridCol w:w="37"/>
        <w:gridCol w:w="87"/>
        <w:gridCol w:w="245"/>
        <w:gridCol w:w="37"/>
        <w:gridCol w:w="36"/>
        <w:gridCol w:w="68"/>
        <w:gridCol w:w="36"/>
        <w:gridCol w:w="95"/>
        <w:gridCol w:w="553"/>
        <w:gridCol w:w="36"/>
        <w:gridCol w:w="94"/>
        <w:gridCol w:w="571"/>
        <w:gridCol w:w="36"/>
        <w:gridCol w:w="94"/>
        <w:gridCol w:w="437"/>
        <w:gridCol w:w="36"/>
        <w:gridCol w:w="41"/>
        <w:gridCol w:w="2118"/>
        <w:gridCol w:w="36"/>
      </w:tblGrid>
      <w:tr w:rsidR="00000000" w14:paraId="3EEF8FEA" w14:textId="77777777">
        <w:trPr>
          <w:divId w:val="1115059262"/>
        </w:trPr>
        <w:tc>
          <w:tcPr>
            <w:tcW w:w="50" w:type="pct"/>
            <w:vAlign w:val="center"/>
            <w:hideMark/>
          </w:tcPr>
          <w:p w14:paraId="257D14AB" w14:textId="77777777" w:rsidR="00000000" w:rsidRDefault="00C01C43">
            <w:pPr>
              <w:jc w:val="both"/>
              <w:rPr>
                <w:rFonts w:eastAsia="Times New Roman"/>
              </w:rPr>
            </w:pPr>
          </w:p>
        </w:tc>
        <w:tc>
          <w:tcPr>
            <w:tcW w:w="1300" w:type="pct"/>
            <w:vAlign w:val="center"/>
            <w:hideMark/>
          </w:tcPr>
          <w:p w14:paraId="4A8EB4D2" w14:textId="77777777" w:rsidR="00000000" w:rsidRDefault="00C01C43">
            <w:pPr>
              <w:rPr>
                <w:rFonts w:eastAsia="Times New Roman"/>
                <w:sz w:val="20"/>
                <w:szCs w:val="20"/>
              </w:rPr>
            </w:pPr>
          </w:p>
        </w:tc>
        <w:tc>
          <w:tcPr>
            <w:tcW w:w="5" w:type="pct"/>
            <w:vAlign w:val="center"/>
            <w:hideMark/>
          </w:tcPr>
          <w:p w14:paraId="5FBBA7D1" w14:textId="77777777" w:rsidR="00000000" w:rsidRDefault="00C01C43">
            <w:pPr>
              <w:rPr>
                <w:rFonts w:eastAsia="Times New Roman"/>
                <w:sz w:val="20"/>
                <w:szCs w:val="20"/>
              </w:rPr>
            </w:pPr>
          </w:p>
        </w:tc>
        <w:tc>
          <w:tcPr>
            <w:tcW w:w="50" w:type="pct"/>
            <w:vAlign w:val="center"/>
            <w:hideMark/>
          </w:tcPr>
          <w:p w14:paraId="3D21DA5D" w14:textId="77777777" w:rsidR="00000000" w:rsidRDefault="00C01C43">
            <w:pPr>
              <w:rPr>
                <w:rFonts w:eastAsia="Times New Roman"/>
                <w:sz w:val="20"/>
                <w:szCs w:val="20"/>
              </w:rPr>
            </w:pPr>
          </w:p>
        </w:tc>
        <w:tc>
          <w:tcPr>
            <w:tcW w:w="771" w:type="pct"/>
            <w:vAlign w:val="center"/>
            <w:hideMark/>
          </w:tcPr>
          <w:p w14:paraId="56C2E8AB" w14:textId="77777777" w:rsidR="00000000" w:rsidRDefault="00C01C43">
            <w:pPr>
              <w:rPr>
                <w:rFonts w:eastAsia="Times New Roman"/>
                <w:sz w:val="20"/>
                <w:szCs w:val="20"/>
              </w:rPr>
            </w:pPr>
          </w:p>
        </w:tc>
        <w:tc>
          <w:tcPr>
            <w:tcW w:w="5" w:type="pct"/>
            <w:vAlign w:val="center"/>
            <w:hideMark/>
          </w:tcPr>
          <w:p w14:paraId="0E64BB85" w14:textId="77777777" w:rsidR="00000000" w:rsidRDefault="00C01C43">
            <w:pPr>
              <w:rPr>
                <w:rFonts w:eastAsia="Times New Roman"/>
                <w:sz w:val="20"/>
                <w:szCs w:val="20"/>
              </w:rPr>
            </w:pPr>
          </w:p>
        </w:tc>
        <w:tc>
          <w:tcPr>
            <w:tcW w:w="5" w:type="pct"/>
            <w:vAlign w:val="center"/>
            <w:hideMark/>
          </w:tcPr>
          <w:p w14:paraId="497A9729" w14:textId="77777777" w:rsidR="00000000" w:rsidRDefault="00C01C43">
            <w:pPr>
              <w:rPr>
                <w:rFonts w:eastAsia="Times New Roman"/>
                <w:sz w:val="20"/>
                <w:szCs w:val="20"/>
              </w:rPr>
            </w:pPr>
          </w:p>
        </w:tc>
        <w:tc>
          <w:tcPr>
            <w:tcW w:w="138" w:type="pct"/>
            <w:vAlign w:val="center"/>
            <w:hideMark/>
          </w:tcPr>
          <w:p w14:paraId="7F05E26C" w14:textId="77777777" w:rsidR="00000000" w:rsidRDefault="00C01C43">
            <w:pPr>
              <w:rPr>
                <w:rFonts w:eastAsia="Times New Roman"/>
                <w:sz w:val="20"/>
                <w:szCs w:val="20"/>
              </w:rPr>
            </w:pPr>
          </w:p>
        </w:tc>
        <w:tc>
          <w:tcPr>
            <w:tcW w:w="5" w:type="pct"/>
            <w:vAlign w:val="center"/>
            <w:hideMark/>
          </w:tcPr>
          <w:p w14:paraId="1FCC43F8" w14:textId="77777777" w:rsidR="00000000" w:rsidRDefault="00C01C43">
            <w:pPr>
              <w:rPr>
                <w:rFonts w:eastAsia="Times New Roman"/>
                <w:sz w:val="20"/>
                <w:szCs w:val="20"/>
              </w:rPr>
            </w:pPr>
          </w:p>
        </w:tc>
        <w:tc>
          <w:tcPr>
            <w:tcW w:w="50" w:type="pct"/>
            <w:vAlign w:val="center"/>
            <w:hideMark/>
          </w:tcPr>
          <w:p w14:paraId="7A5848F2" w14:textId="77777777" w:rsidR="00000000" w:rsidRDefault="00C01C43">
            <w:pPr>
              <w:rPr>
                <w:rFonts w:eastAsia="Times New Roman"/>
                <w:sz w:val="20"/>
                <w:szCs w:val="20"/>
              </w:rPr>
            </w:pPr>
          </w:p>
        </w:tc>
        <w:tc>
          <w:tcPr>
            <w:tcW w:w="142" w:type="pct"/>
            <w:vAlign w:val="center"/>
            <w:hideMark/>
          </w:tcPr>
          <w:p w14:paraId="27F37389" w14:textId="77777777" w:rsidR="00000000" w:rsidRDefault="00C01C43">
            <w:pPr>
              <w:rPr>
                <w:rFonts w:eastAsia="Times New Roman"/>
                <w:sz w:val="20"/>
                <w:szCs w:val="20"/>
              </w:rPr>
            </w:pPr>
          </w:p>
        </w:tc>
        <w:tc>
          <w:tcPr>
            <w:tcW w:w="5" w:type="pct"/>
            <w:vAlign w:val="center"/>
            <w:hideMark/>
          </w:tcPr>
          <w:p w14:paraId="41A41FEB" w14:textId="77777777" w:rsidR="00000000" w:rsidRDefault="00C01C43">
            <w:pPr>
              <w:rPr>
                <w:rFonts w:eastAsia="Times New Roman"/>
                <w:sz w:val="20"/>
                <w:szCs w:val="20"/>
              </w:rPr>
            </w:pPr>
          </w:p>
        </w:tc>
        <w:tc>
          <w:tcPr>
            <w:tcW w:w="5" w:type="pct"/>
            <w:vAlign w:val="center"/>
            <w:hideMark/>
          </w:tcPr>
          <w:p w14:paraId="50694958" w14:textId="77777777" w:rsidR="00000000" w:rsidRDefault="00C01C43">
            <w:pPr>
              <w:rPr>
                <w:rFonts w:eastAsia="Times New Roman"/>
                <w:sz w:val="20"/>
                <w:szCs w:val="20"/>
              </w:rPr>
            </w:pPr>
          </w:p>
        </w:tc>
        <w:tc>
          <w:tcPr>
            <w:tcW w:w="81" w:type="pct"/>
            <w:vAlign w:val="center"/>
            <w:hideMark/>
          </w:tcPr>
          <w:p w14:paraId="722FA00A" w14:textId="77777777" w:rsidR="00000000" w:rsidRDefault="00C01C43">
            <w:pPr>
              <w:rPr>
                <w:rFonts w:eastAsia="Times New Roman"/>
                <w:sz w:val="20"/>
                <w:szCs w:val="20"/>
              </w:rPr>
            </w:pPr>
          </w:p>
        </w:tc>
        <w:tc>
          <w:tcPr>
            <w:tcW w:w="5" w:type="pct"/>
            <w:vAlign w:val="center"/>
            <w:hideMark/>
          </w:tcPr>
          <w:p w14:paraId="281B8F21" w14:textId="77777777" w:rsidR="00000000" w:rsidRDefault="00C01C43">
            <w:pPr>
              <w:rPr>
                <w:rFonts w:eastAsia="Times New Roman"/>
                <w:sz w:val="20"/>
                <w:szCs w:val="20"/>
              </w:rPr>
            </w:pPr>
          </w:p>
        </w:tc>
        <w:tc>
          <w:tcPr>
            <w:tcW w:w="50" w:type="pct"/>
            <w:vAlign w:val="center"/>
            <w:hideMark/>
          </w:tcPr>
          <w:p w14:paraId="444EA341" w14:textId="77777777" w:rsidR="00000000" w:rsidRDefault="00C01C43">
            <w:pPr>
              <w:rPr>
                <w:rFonts w:eastAsia="Times New Roman"/>
                <w:sz w:val="20"/>
                <w:szCs w:val="20"/>
              </w:rPr>
            </w:pPr>
          </w:p>
        </w:tc>
        <w:tc>
          <w:tcPr>
            <w:tcW w:w="291" w:type="pct"/>
            <w:vAlign w:val="center"/>
            <w:hideMark/>
          </w:tcPr>
          <w:p w14:paraId="17D9CC48" w14:textId="77777777" w:rsidR="00000000" w:rsidRDefault="00C01C43">
            <w:pPr>
              <w:rPr>
                <w:rFonts w:eastAsia="Times New Roman"/>
                <w:sz w:val="20"/>
                <w:szCs w:val="20"/>
              </w:rPr>
            </w:pPr>
          </w:p>
        </w:tc>
        <w:tc>
          <w:tcPr>
            <w:tcW w:w="5" w:type="pct"/>
            <w:vAlign w:val="center"/>
            <w:hideMark/>
          </w:tcPr>
          <w:p w14:paraId="197EAD91" w14:textId="77777777" w:rsidR="00000000" w:rsidRDefault="00C01C43">
            <w:pPr>
              <w:rPr>
                <w:rFonts w:eastAsia="Times New Roman"/>
                <w:sz w:val="20"/>
                <w:szCs w:val="20"/>
              </w:rPr>
            </w:pPr>
          </w:p>
        </w:tc>
        <w:tc>
          <w:tcPr>
            <w:tcW w:w="50" w:type="pct"/>
            <w:vAlign w:val="center"/>
            <w:hideMark/>
          </w:tcPr>
          <w:p w14:paraId="2BD54B20" w14:textId="77777777" w:rsidR="00000000" w:rsidRDefault="00C01C43">
            <w:pPr>
              <w:rPr>
                <w:rFonts w:eastAsia="Times New Roman"/>
                <w:sz w:val="20"/>
                <w:szCs w:val="20"/>
              </w:rPr>
            </w:pPr>
          </w:p>
        </w:tc>
        <w:tc>
          <w:tcPr>
            <w:tcW w:w="305" w:type="pct"/>
            <w:vAlign w:val="center"/>
            <w:hideMark/>
          </w:tcPr>
          <w:p w14:paraId="30AFCDFD" w14:textId="77777777" w:rsidR="00000000" w:rsidRDefault="00C01C43">
            <w:pPr>
              <w:rPr>
                <w:rFonts w:eastAsia="Times New Roman"/>
                <w:sz w:val="20"/>
                <w:szCs w:val="20"/>
              </w:rPr>
            </w:pPr>
          </w:p>
        </w:tc>
        <w:tc>
          <w:tcPr>
            <w:tcW w:w="5" w:type="pct"/>
            <w:vAlign w:val="center"/>
            <w:hideMark/>
          </w:tcPr>
          <w:p w14:paraId="637E21B3" w14:textId="77777777" w:rsidR="00000000" w:rsidRDefault="00C01C43">
            <w:pPr>
              <w:rPr>
                <w:rFonts w:eastAsia="Times New Roman"/>
                <w:sz w:val="20"/>
                <w:szCs w:val="20"/>
              </w:rPr>
            </w:pPr>
          </w:p>
        </w:tc>
        <w:tc>
          <w:tcPr>
            <w:tcW w:w="50" w:type="pct"/>
            <w:vAlign w:val="center"/>
            <w:hideMark/>
          </w:tcPr>
          <w:p w14:paraId="78DFB21B" w14:textId="77777777" w:rsidR="00000000" w:rsidRDefault="00C01C43">
            <w:pPr>
              <w:rPr>
                <w:rFonts w:eastAsia="Times New Roman"/>
                <w:sz w:val="20"/>
                <w:szCs w:val="20"/>
              </w:rPr>
            </w:pPr>
          </w:p>
        </w:tc>
        <w:tc>
          <w:tcPr>
            <w:tcW w:w="234" w:type="pct"/>
            <w:vAlign w:val="center"/>
            <w:hideMark/>
          </w:tcPr>
          <w:p w14:paraId="38C0AD18" w14:textId="77777777" w:rsidR="00000000" w:rsidRDefault="00C01C43">
            <w:pPr>
              <w:rPr>
                <w:rFonts w:eastAsia="Times New Roman"/>
                <w:sz w:val="20"/>
                <w:szCs w:val="20"/>
              </w:rPr>
            </w:pPr>
          </w:p>
        </w:tc>
        <w:tc>
          <w:tcPr>
            <w:tcW w:w="5" w:type="pct"/>
            <w:vAlign w:val="center"/>
            <w:hideMark/>
          </w:tcPr>
          <w:p w14:paraId="52BD5227" w14:textId="77777777" w:rsidR="00000000" w:rsidRDefault="00C01C43">
            <w:pPr>
              <w:rPr>
                <w:rFonts w:eastAsia="Times New Roman"/>
                <w:sz w:val="20"/>
                <w:szCs w:val="20"/>
              </w:rPr>
            </w:pPr>
          </w:p>
        </w:tc>
        <w:tc>
          <w:tcPr>
            <w:tcW w:w="50" w:type="pct"/>
            <w:vAlign w:val="center"/>
            <w:hideMark/>
          </w:tcPr>
          <w:p w14:paraId="4405733E" w14:textId="77777777" w:rsidR="00000000" w:rsidRDefault="00C01C43">
            <w:pPr>
              <w:rPr>
                <w:rFonts w:eastAsia="Times New Roman"/>
                <w:sz w:val="20"/>
                <w:szCs w:val="20"/>
              </w:rPr>
            </w:pPr>
          </w:p>
        </w:tc>
        <w:tc>
          <w:tcPr>
            <w:tcW w:w="1329" w:type="pct"/>
            <w:vAlign w:val="center"/>
            <w:hideMark/>
          </w:tcPr>
          <w:p w14:paraId="2022D988" w14:textId="77777777" w:rsidR="00000000" w:rsidRDefault="00C01C43">
            <w:pPr>
              <w:rPr>
                <w:rFonts w:eastAsia="Times New Roman"/>
                <w:sz w:val="20"/>
                <w:szCs w:val="20"/>
              </w:rPr>
            </w:pPr>
          </w:p>
        </w:tc>
        <w:tc>
          <w:tcPr>
            <w:tcW w:w="5" w:type="pct"/>
            <w:vAlign w:val="center"/>
            <w:hideMark/>
          </w:tcPr>
          <w:p w14:paraId="73FFFF3C" w14:textId="77777777" w:rsidR="00000000" w:rsidRDefault="00C01C43">
            <w:pPr>
              <w:rPr>
                <w:rFonts w:eastAsia="Times New Roman"/>
                <w:sz w:val="20"/>
                <w:szCs w:val="20"/>
              </w:rPr>
            </w:pPr>
          </w:p>
        </w:tc>
      </w:tr>
      <w:tr w:rsidR="00000000" w14:paraId="17662018" w14:textId="77777777">
        <w:trPr>
          <w:divId w:val="1115059262"/>
        </w:trPr>
        <w:tc>
          <w:tcPr>
            <w:tcW w:w="0" w:type="auto"/>
            <w:gridSpan w:val="3"/>
            <w:tcMar>
              <w:top w:w="30" w:type="dxa"/>
              <w:left w:w="20" w:type="dxa"/>
              <w:bottom w:w="30" w:type="dxa"/>
              <w:right w:w="20" w:type="dxa"/>
            </w:tcMar>
            <w:vAlign w:val="center"/>
            <w:hideMark/>
          </w:tcPr>
          <w:p w14:paraId="0770EC3D" w14:textId="77777777" w:rsidR="00000000" w:rsidRDefault="00C01C43">
            <w:pPr>
              <w:jc w:val="center"/>
              <w:rPr>
                <w:rFonts w:eastAsia="Times New Roman"/>
              </w:rPr>
            </w:pPr>
            <w:r>
              <w:rPr>
                <w:rFonts w:eastAsia="Times New Roman"/>
                <w:b/>
                <w:bCs/>
                <w:color w:val="000000"/>
                <w:sz w:val="20"/>
                <w:szCs w:val="20"/>
              </w:rPr>
              <w:t>Florida</w:t>
            </w:r>
          </w:p>
        </w:tc>
        <w:tc>
          <w:tcPr>
            <w:tcW w:w="0" w:type="auto"/>
            <w:gridSpan w:val="12"/>
            <w:tcMar>
              <w:top w:w="30" w:type="dxa"/>
              <w:left w:w="20" w:type="dxa"/>
              <w:bottom w:w="30" w:type="dxa"/>
              <w:right w:w="20" w:type="dxa"/>
            </w:tcMar>
            <w:vAlign w:val="center"/>
            <w:hideMark/>
          </w:tcPr>
          <w:p w14:paraId="122386AD" w14:textId="77777777" w:rsidR="00000000" w:rsidRDefault="00C01C43">
            <w:pPr>
              <w:jc w:val="right"/>
              <w:rPr>
                <w:rFonts w:eastAsia="Times New Roman"/>
              </w:rPr>
            </w:pPr>
            <w:r>
              <w:rPr>
                <w:rFonts w:eastAsia="Times New Roman"/>
                <w:b/>
                <w:bCs/>
                <w:color w:val="000000"/>
                <w:sz w:val="20"/>
                <w:szCs w:val="20"/>
              </w:rPr>
              <w:t>9800 N.W. 41st Street,</w:t>
            </w:r>
          </w:p>
        </w:tc>
        <w:tc>
          <w:tcPr>
            <w:tcW w:w="0" w:type="auto"/>
            <w:gridSpan w:val="3"/>
            <w:tcMar>
              <w:top w:w="30" w:type="dxa"/>
              <w:left w:w="20" w:type="dxa"/>
              <w:bottom w:w="30" w:type="dxa"/>
              <w:right w:w="20" w:type="dxa"/>
            </w:tcMar>
            <w:vAlign w:val="center"/>
            <w:hideMark/>
          </w:tcPr>
          <w:p w14:paraId="77F25C42" w14:textId="77777777" w:rsidR="00000000" w:rsidRDefault="00C01C43">
            <w:pPr>
              <w:jc w:val="center"/>
              <w:rPr>
                <w:rFonts w:eastAsia="Times New Roman"/>
              </w:rPr>
            </w:pPr>
            <w:r>
              <w:rPr>
                <w:rFonts w:eastAsia="Times New Roman"/>
                <w:b/>
                <w:bCs/>
                <w:color w:val="000000"/>
                <w:sz w:val="20"/>
                <w:szCs w:val="20"/>
              </w:rPr>
              <w:t>Miami,</w:t>
            </w:r>
          </w:p>
        </w:tc>
        <w:tc>
          <w:tcPr>
            <w:tcW w:w="0" w:type="auto"/>
            <w:gridSpan w:val="3"/>
            <w:tcMar>
              <w:top w:w="30" w:type="dxa"/>
              <w:left w:w="20" w:type="dxa"/>
              <w:bottom w:w="30" w:type="dxa"/>
              <w:right w:w="20" w:type="dxa"/>
            </w:tcMar>
            <w:vAlign w:val="center"/>
            <w:hideMark/>
          </w:tcPr>
          <w:p w14:paraId="27CA3FC5" w14:textId="77777777" w:rsidR="00000000" w:rsidRDefault="00C01C43">
            <w:pPr>
              <w:rPr>
                <w:rFonts w:eastAsia="Times New Roman"/>
              </w:rPr>
            </w:pPr>
            <w:r>
              <w:rPr>
                <w:rFonts w:eastAsia="Times New Roman"/>
                <w:b/>
                <w:bCs/>
                <w:color w:val="000000"/>
                <w:sz w:val="20"/>
                <w:szCs w:val="20"/>
              </w:rPr>
              <w:t>Florida</w:t>
            </w:r>
          </w:p>
        </w:tc>
        <w:tc>
          <w:tcPr>
            <w:tcW w:w="0" w:type="auto"/>
            <w:gridSpan w:val="3"/>
            <w:tcMar>
              <w:top w:w="30" w:type="dxa"/>
              <w:left w:w="20" w:type="dxa"/>
              <w:bottom w:w="30" w:type="dxa"/>
              <w:right w:w="20" w:type="dxa"/>
            </w:tcMar>
            <w:vAlign w:val="center"/>
            <w:hideMark/>
          </w:tcPr>
          <w:p w14:paraId="14FD42B5" w14:textId="77777777" w:rsidR="00000000" w:rsidRDefault="00C01C43">
            <w:pPr>
              <w:rPr>
                <w:rFonts w:eastAsia="Times New Roman"/>
              </w:rPr>
            </w:pPr>
            <w:r>
              <w:rPr>
                <w:rFonts w:eastAsia="Times New Roman"/>
                <w:b/>
                <w:bCs/>
                <w:color w:val="000000"/>
                <w:sz w:val="20"/>
                <w:szCs w:val="20"/>
              </w:rPr>
              <w:t>33178</w:t>
            </w:r>
          </w:p>
        </w:tc>
        <w:tc>
          <w:tcPr>
            <w:tcW w:w="0" w:type="auto"/>
            <w:gridSpan w:val="3"/>
            <w:tcMar>
              <w:top w:w="30" w:type="dxa"/>
              <w:left w:w="20" w:type="dxa"/>
              <w:bottom w:w="30" w:type="dxa"/>
              <w:right w:w="20" w:type="dxa"/>
            </w:tcMar>
            <w:vAlign w:val="center"/>
            <w:hideMark/>
          </w:tcPr>
          <w:p w14:paraId="52F4E0EF" w14:textId="77777777" w:rsidR="00000000" w:rsidRDefault="00C01C43">
            <w:pPr>
              <w:jc w:val="center"/>
              <w:rPr>
                <w:rFonts w:eastAsia="Times New Roman"/>
              </w:rPr>
            </w:pPr>
            <w:r>
              <w:rPr>
                <w:rFonts w:eastAsia="Times New Roman"/>
                <w:b/>
                <w:bCs/>
                <w:color w:val="000000"/>
                <w:sz w:val="20"/>
                <w:szCs w:val="20"/>
              </w:rPr>
              <w:t>59-2459427</w:t>
            </w:r>
          </w:p>
        </w:tc>
      </w:tr>
      <w:tr w:rsidR="00000000" w14:paraId="4ADE0505" w14:textId="77777777">
        <w:trPr>
          <w:divId w:val="1115059262"/>
        </w:trPr>
        <w:tc>
          <w:tcPr>
            <w:tcW w:w="0" w:type="auto"/>
            <w:gridSpan w:val="3"/>
            <w:tcMar>
              <w:top w:w="30" w:type="dxa"/>
              <w:left w:w="20" w:type="dxa"/>
              <w:bottom w:w="30" w:type="dxa"/>
              <w:right w:w="20" w:type="dxa"/>
            </w:tcMar>
            <w:vAlign w:val="center"/>
            <w:hideMark/>
          </w:tcPr>
          <w:p w14:paraId="43EA0871" w14:textId="77777777" w:rsidR="00000000" w:rsidRDefault="00C01C43">
            <w:pPr>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t>incorporation or organization)</w:t>
            </w:r>
          </w:p>
        </w:tc>
        <w:tc>
          <w:tcPr>
            <w:tcW w:w="0" w:type="auto"/>
            <w:gridSpan w:val="21"/>
            <w:tcMar>
              <w:top w:w="30" w:type="dxa"/>
              <w:left w:w="20" w:type="dxa"/>
              <w:bottom w:w="30" w:type="dxa"/>
              <w:right w:w="20" w:type="dxa"/>
            </w:tcMar>
            <w:vAlign w:val="center"/>
            <w:hideMark/>
          </w:tcPr>
          <w:p w14:paraId="0452BB16" w14:textId="77777777" w:rsidR="00000000" w:rsidRDefault="00C01C43">
            <w:pPr>
              <w:jc w:val="center"/>
              <w:rPr>
                <w:rFonts w:eastAsia="Times New Roman"/>
              </w:rPr>
            </w:pPr>
            <w:r>
              <w:rPr>
                <w:rFonts w:eastAsia="Times New Roman"/>
                <w:color w:val="000000"/>
                <w:sz w:val="20"/>
                <w:szCs w:val="20"/>
              </w:rPr>
              <w:t>(Address of Principal Executive Offices) (Zip Code)</w:t>
            </w:r>
          </w:p>
        </w:tc>
        <w:tc>
          <w:tcPr>
            <w:tcW w:w="0" w:type="auto"/>
            <w:gridSpan w:val="3"/>
            <w:tcMar>
              <w:top w:w="30" w:type="dxa"/>
              <w:left w:w="20" w:type="dxa"/>
              <w:bottom w:w="30" w:type="dxa"/>
              <w:right w:w="20" w:type="dxa"/>
            </w:tcMar>
            <w:vAlign w:val="center"/>
            <w:hideMark/>
          </w:tcPr>
          <w:p w14:paraId="74DFDAE9" w14:textId="77777777" w:rsidR="00000000" w:rsidRDefault="00C01C43">
            <w:pPr>
              <w:jc w:val="center"/>
              <w:rPr>
                <w:rFonts w:eastAsia="Times New Roman"/>
              </w:rPr>
            </w:pPr>
            <w:r>
              <w:rPr>
                <w:rFonts w:eastAsia="Times New Roman"/>
                <w:color w:val="000000"/>
                <w:sz w:val="20"/>
                <w:szCs w:val="20"/>
              </w:rPr>
              <w:t>(I.R.S. Employer</w:t>
            </w:r>
            <w:r>
              <w:rPr>
                <w:rFonts w:eastAsia="Times New Roman"/>
                <w:color w:val="000000"/>
                <w:sz w:val="20"/>
                <w:szCs w:val="20"/>
              </w:rPr>
              <w:br/>
            </w:r>
            <w:r>
              <w:rPr>
                <w:rFonts w:eastAsia="Times New Roman"/>
                <w:color w:val="000000"/>
                <w:sz w:val="20"/>
                <w:szCs w:val="20"/>
              </w:rPr>
              <w:t>Identification No.)</w:t>
            </w:r>
          </w:p>
        </w:tc>
      </w:tr>
      <w:tr w:rsidR="00000000" w14:paraId="4465F3B8" w14:textId="77777777">
        <w:trPr>
          <w:divId w:val="1115059262"/>
        </w:trPr>
        <w:tc>
          <w:tcPr>
            <w:tcW w:w="0" w:type="auto"/>
            <w:gridSpan w:val="3"/>
            <w:tcMar>
              <w:top w:w="30" w:type="dxa"/>
              <w:left w:w="20" w:type="dxa"/>
              <w:bottom w:w="30" w:type="dxa"/>
              <w:right w:w="20" w:type="dxa"/>
            </w:tcMar>
            <w:vAlign w:val="center"/>
            <w:hideMark/>
          </w:tcPr>
          <w:p w14:paraId="42736BB4" w14:textId="77777777" w:rsidR="00000000" w:rsidRDefault="00C01C43">
            <w:pPr>
              <w:jc w:val="center"/>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center"/>
            <w:hideMark/>
          </w:tcPr>
          <w:p w14:paraId="60F7BEE4" w14:textId="77777777" w:rsidR="00000000" w:rsidRDefault="00C01C43">
            <w:pPr>
              <w:jc w:val="center"/>
              <w:rPr>
                <w:rFonts w:eastAsia="Times New Roman"/>
              </w:rPr>
            </w:pPr>
            <w:r>
              <w:rPr>
                <w:rFonts w:eastAsia="Times New Roman"/>
                <w:color w:val="000000"/>
                <w:sz w:val="20"/>
                <w:szCs w:val="20"/>
                <w:u w:val="single"/>
              </w:rPr>
              <w:t>Registrant’s telephone number, including area code:</w:t>
            </w:r>
          </w:p>
        </w:tc>
        <w:tc>
          <w:tcPr>
            <w:tcW w:w="0" w:type="auto"/>
            <w:gridSpan w:val="3"/>
            <w:tcMar>
              <w:top w:w="30" w:type="dxa"/>
              <w:left w:w="20" w:type="dxa"/>
              <w:bottom w:w="30" w:type="dxa"/>
              <w:right w:w="20" w:type="dxa"/>
            </w:tcMar>
            <w:vAlign w:val="center"/>
            <w:hideMark/>
          </w:tcPr>
          <w:p w14:paraId="1B631D40" w14:textId="77777777" w:rsidR="00000000" w:rsidRDefault="00C01C43">
            <w:pPr>
              <w:jc w:val="center"/>
              <w:rPr>
                <w:rFonts w:eastAsia="Times New Roman"/>
              </w:rPr>
            </w:pPr>
            <w:r>
              <w:rPr>
                <w:rFonts w:eastAsia="Times New Roman"/>
                <w:color w:val="000000"/>
                <w:sz w:val="20"/>
                <w:szCs w:val="20"/>
              </w:rPr>
              <w:t> </w:t>
            </w:r>
          </w:p>
        </w:tc>
      </w:tr>
      <w:tr w:rsidR="00000000" w14:paraId="27EFC87B" w14:textId="77777777">
        <w:trPr>
          <w:divId w:val="1115059262"/>
        </w:trPr>
        <w:tc>
          <w:tcPr>
            <w:tcW w:w="0" w:type="auto"/>
            <w:gridSpan w:val="3"/>
            <w:tcMar>
              <w:top w:w="0" w:type="dxa"/>
              <w:left w:w="20" w:type="dxa"/>
              <w:bottom w:w="0" w:type="dxa"/>
              <w:right w:w="20" w:type="dxa"/>
            </w:tcMar>
            <w:vAlign w:val="center"/>
            <w:hideMark/>
          </w:tcPr>
          <w:p w14:paraId="1643C106"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4050BB3A"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center"/>
            <w:hideMark/>
          </w:tcPr>
          <w:p w14:paraId="742B74D0" w14:textId="77777777" w:rsidR="00000000" w:rsidRDefault="00C01C43">
            <w:pPr>
              <w:jc w:val="right"/>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vAlign w:val="center"/>
            <w:hideMark/>
          </w:tcPr>
          <w:p w14:paraId="422D3A1C" w14:textId="77777777" w:rsidR="00000000" w:rsidRDefault="00C01C43">
            <w:pPr>
              <w:jc w:val="center"/>
              <w:rPr>
                <w:rFonts w:eastAsia="Times New Roman"/>
              </w:rPr>
            </w:pPr>
            <w:r>
              <w:rPr>
                <w:rFonts w:eastAsia="Times New Roman"/>
                <w:b/>
                <w:bCs/>
                <w:color w:val="000000"/>
                <w:sz w:val="20"/>
                <w:szCs w:val="20"/>
              </w:rPr>
              <w:t>305</w:t>
            </w:r>
          </w:p>
        </w:tc>
        <w:tc>
          <w:tcPr>
            <w:tcW w:w="0" w:type="auto"/>
            <w:gridSpan w:val="3"/>
            <w:tcMar>
              <w:top w:w="30" w:type="dxa"/>
              <w:left w:w="20" w:type="dxa"/>
              <w:bottom w:w="30" w:type="dxa"/>
              <w:right w:w="20" w:type="dxa"/>
            </w:tcMar>
            <w:vAlign w:val="center"/>
            <w:hideMark/>
          </w:tcPr>
          <w:p w14:paraId="5C1B2966" w14:textId="77777777" w:rsidR="00000000" w:rsidRDefault="00C01C43">
            <w:pPr>
              <w:rPr>
                <w:rFonts w:eastAsia="Times New Roman"/>
              </w:rPr>
            </w:pPr>
            <w:r>
              <w:rPr>
                <w:rFonts w:eastAsia="Times New Roman"/>
                <w:b/>
                <w:bCs/>
                <w:color w:val="000000"/>
                <w:sz w:val="20"/>
                <w:szCs w:val="20"/>
              </w:rPr>
              <w:t>)</w:t>
            </w:r>
          </w:p>
        </w:tc>
        <w:tc>
          <w:tcPr>
            <w:tcW w:w="0" w:type="auto"/>
            <w:gridSpan w:val="9"/>
            <w:tcMar>
              <w:top w:w="30" w:type="dxa"/>
              <w:left w:w="20" w:type="dxa"/>
              <w:bottom w:w="30" w:type="dxa"/>
              <w:right w:w="20" w:type="dxa"/>
            </w:tcMar>
            <w:vAlign w:val="center"/>
            <w:hideMark/>
          </w:tcPr>
          <w:p w14:paraId="1910171B" w14:textId="77777777" w:rsidR="00000000" w:rsidRDefault="00C01C43">
            <w:pPr>
              <w:rPr>
                <w:rFonts w:eastAsia="Times New Roman"/>
              </w:rPr>
            </w:pPr>
            <w:r>
              <w:rPr>
                <w:rFonts w:eastAsia="Times New Roman"/>
                <w:b/>
                <w:bCs/>
                <w:color w:val="000000"/>
                <w:sz w:val="20"/>
                <w:szCs w:val="20"/>
              </w:rPr>
              <w:t>428-8000</w:t>
            </w:r>
          </w:p>
        </w:tc>
        <w:tc>
          <w:tcPr>
            <w:tcW w:w="0" w:type="auto"/>
            <w:gridSpan w:val="3"/>
            <w:tcMar>
              <w:top w:w="0" w:type="dxa"/>
              <w:left w:w="20" w:type="dxa"/>
              <w:bottom w:w="0" w:type="dxa"/>
              <w:right w:w="20" w:type="dxa"/>
            </w:tcMar>
            <w:vAlign w:val="center"/>
            <w:hideMark/>
          </w:tcPr>
          <w:p w14:paraId="1953339D" w14:textId="77777777" w:rsidR="00000000" w:rsidRDefault="00C01C43">
            <w:pPr>
              <w:rPr>
                <w:rFonts w:eastAsia="Times New Roman"/>
              </w:rPr>
            </w:pPr>
          </w:p>
        </w:tc>
      </w:tr>
      <w:tr w:rsidR="00000000" w14:paraId="543B3CF6" w14:textId="77777777">
        <w:trPr>
          <w:divId w:val="1115059262"/>
        </w:trPr>
        <w:tc>
          <w:tcPr>
            <w:tcW w:w="0" w:type="auto"/>
            <w:gridSpan w:val="3"/>
            <w:tcMar>
              <w:top w:w="0" w:type="dxa"/>
              <w:left w:w="20" w:type="dxa"/>
              <w:bottom w:w="0" w:type="dxa"/>
              <w:right w:w="20" w:type="dxa"/>
            </w:tcMar>
            <w:vAlign w:val="center"/>
            <w:hideMark/>
          </w:tcPr>
          <w:p w14:paraId="34EAE43C" w14:textId="77777777" w:rsidR="00000000" w:rsidRDefault="00C01C43">
            <w:pPr>
              <w:rPr>
                <w:rFonts w:eastAsia="Times New Roman"/>
                <w:sz w:val="20"/>
                <w:szCs w:val="20"/>
              </w:rPr>
            </w:pPr>
          </w:p>
        </w:tc>
        <w:tc>
          <w:tcPr>
            <w:tcW w:w="0" w:type="auto"/>
            <w:gridSpan w:val="21"/>
            <w:tcMar>
              <w:top w:w="30" w:type="dxa"/>
              <w:left w:w="20" w:type="dxa"/>
              <w:bottom w:w="30" w:type="dxa"/>
              <w:right w:w="20" w:type="dxa"/>
            </w:tcMar>
            <w:vAlign w:val="center"/>
            <w:hideMark/>
          </w:tcPr>
          <w:p w14:paraId="3242AB90" w14:textId="77777777" w:rsidR="00000000" w:rsidRDefault="00C01C43">
            <w:pPr>
              <w:jc w:val="center"/>
              <w:rPr>
                <w:rFonts w:eastAsia="Times New Roman"/>
              </w:rPr>
            </w:pPr>
            <w:r>
              <w:rPr>
                <w:rFonts w:eastAsia="Times New Roman"/>
                <w:color w:val="000000"/>
                <w:sz w:val="20"/>
                <w:szCs w:val="20"/>
              </w:rPr>
              <w:t>Securities registered pursuant to Section 12(b) of the Act</w:t>
            </w:r>
          </w:p>
        </w:tc>
        <w:tc>
          <w:tcPr>
            <w:tcW w:w="0" w:type="auto"/>
            <w:gridSpan w:val="3"/>
            <w:tcMar>
              <w:top w:w="0" w:type="dxa"/>
              <w:left w:w="20" w:type="dxa"/>
              <w:bottom w:w="0" w:type="dxa"/>
              <w:right w:w="20" w:type="dxa"/>
            </w:tcMar>
            <w:vAlign w:val="center"/>
            <w:hideMark/>
          </w:tcPr>
          <w:p w14:paraId="42BC7E04" w14:textId="77777777" w:rsidR="00000000" w:rsidRDefault="00C01C43">
            <w:pPr>
              <w:jc w:val="center"/>
              <w:rPr>
                <w:rFonts w:eastAsia="Times New Roman"/>
              </w:rPr>
            </w:pPr>
          </w:p>
        </w:tc>
      </w:tr>
      <w:tr w:rsidR="00000000" w14:paraId="546A3AC0" w14:textId="77777777">
        <w:trPr>
          <w:divId w:val="1115059262"/>
        </w:trPr>
        <w:tc>
          <w:tcPr>
            <w:tcW w:w="0" w:type="auto"/>
            <w:gridSpan w:val="3"/>
            <w:tcMar>
              <w:top w:w="30" w:type="dxa"/>
              <w:left w:w="20" w:type="dxa"/>
              <w:bottom w:w="30" w:type="dxa"/>
              <w:right w:w="20" w:type="dxa"/>
            </w:tcMar>
            <w:vAlign w:val="center"/>
            <w:hideMark/>
          </w:tcPr>
          <w:p w14:paraId="7F9E9D94" w14:textId="77777777" w:rsidR="00000000" w:rsidRDefault="00C01C43">
            <w:pPr>
              <w:jc w:val="center"/>
              <w:rPr>
                <w:rFonts w:eastAsia="Times New Roman"/>
              </w:rPr>
            </w:pPr>
            <w:r>
              <w:rPr>
                <w:rFonts w:eastAsia="Times New Roman"/>
                <w:color w:val="000000"/>
                <w:sz w:val="20"/>
                <w:szCs w:val="20"/>
                <w:u w:val="single"/>
              </w:rPr>
              <w:t>Title of each class</w:t>
            </w:r>
          </w:p>
        </w:tc>
        <w:tc>
          <w:tcPr>
            <w:tcW w:w="0" w:type="auto"/>
            <w:gridSpan w:val="21"/>
            <w:tcMar>
              <w:top w:w="30" w:type="dxa"/>
              <w:left w:w="20" w:type="dxa"/>
              <w:bottom w:w="30" w:type="dxa"/>
              <w:right w:w="20" w:type="dxa"/>
            </w:tcMar>
            <w:vAlign w:val="center"/>
            <w:hideMark/>
          </w:tcPr>
          <w:p w14:paraId="03102C68" w14:textId="77777777" w:rsidR="00000000" w:rsidRDefault="00C01C43">
            <w:pPr>
              <w:jc w:val="center"/>
              <w:rPr>
                <w:rFonts w:eastAsia="Times New Roman"/>
              </w:rPr>
            </w:pPr>
            <w:r>
              <w:rPr>
                <w:rFonts w:eastAsia="Times New Roman"/>
                <w:color w:val="000000"/>
                <w:sz w:val="20"/>
                <w:szCs w:val="20"/>
                <w:u w:val="single"/>
              </w:rPr>
              <w:t>Trading Symbol (s)</w:t>
            </w:r>
          </w:p>
        </w:tc>
        <w:tc>
          <w:tcPr>
            <w:tcW w:w="0" w:type="auto"/>
            <w:gridSpan w:val="3"/>
            <w:tcMar>
              <w:top w:w="30" w:type="dxa"/>
              <w:left w:w="20" w:type="dxa"/>
              <w:bottom w:w="30" w:type="dxa"/>
              <w:right w:w="20" w:type="dxa"/>
            </w:tcMar>
            <w:vAlign w:val="center"/>
            <w:hideMark/>
          </w:tcPr>
          <w:p w14:paraId="1E844C27" w14:textId="77777777" w:rsidR="00000000" w:rsidRDefault="00C01C43">
            <w:pPr>
              <w:jc w:val="center"/>
              <w:rPr>
                <w:rFonts w:eastAsia="Times New Roman"/>
              </w:rPr>
            </w:pPr>
            <w:r>
              <w:rPr>
                <w:rFonts w:eastAsia="Times New Roman"/>
                <w:color w:val="000000"/>
                <w:sz w:val="20"/>
                <w:szCs w:val="20"/>
                <w:u w:val="single"/>
              </w:rPr>
              <w:t>Name of each exchange on which registered</w:t>
            </w:r>
          </w:p>
        </w:tc>
      </w:tr>
      <w:tr w:rsidR="00000000" w14:paraId="0ECCC4C0" w14:textId="77777777">
        <w:trPr>
          <w:divId w:val="1115059262"/>
        </w:trPr>
        <w:tc>
          <w:tcPr>
            <w:tcW w:w="0" w:type="auto"/>
            <w:gridSpan w:val="3"/>
            <w:tcMar>
              <w:top w:w="30" w:type="dxa"/>
              <w:left w:w="20" w:type="dxa"/>
              <w:bottom w:w="30" w:type="dxa"/>
              <w:right w:w="20" w:type="dxa"/>
            </w:tcMar>
            <w:vAlign w:val="center"/>
            <w:hideMark/>
          </w:tcPr>
          <w:p w14:paraId="0A5CCCA4" w14:textId="77777777" w:rsidR="00000000" w:rsidRDefault="00C01C43">
            <w:pPr>
              <w:jc w:val="center"/>
              <w:rPr>
                <w:rFonts w:eastAsia="Times New Roman"/>
              </w:rPr>
            </w:pPr>
            <w:r>
              <w:rPr>
                <w:rFonts w:eastAsia="Times New Roman"/>
                <w:color w:val="000000"/>
                <w:sz w:val="20"/>
                <w:szCs w:val="20"/>
              </w:rPr>
              <w:t>Common Stock, $0.01 par value</w:t>
            </w:r>
          </w:p>
        </w:tc>
        <w:tc>
          <w:tcPr>
            <w:tcW w:w="0" w:type="auto"/>
            <w:gridSpan w:val="21"/>
            <w:tcMar>
              <w:top w:w="30" w:type="dxa"/>
              <w:left w:w="20" w:type="dxa"/>
              <w:bottom w:w="30" w:type="dxa"/>
              <w:right w:w="20" w:type="dxa"/>
            </w:tcMar>
            <w:vAlign w:val="center"/>
            <w:hideMark/>
          </w:tcPr>
          <w:p w14:paraId="252370D8" w14:textId="77777777" w:rsidR="00000000" w:rsidRDefault="00C01C43">
            <w:pPr>
              <w:jc w:val="center"/>
              <w:rPr>
                <w:rFonts w:eastAsia="Times New Roman"/>
              </w:rPr>
            </w:pPr>
            <w:r>
              <w:rPr>
                <w:rFonts w:eastAsia="Times New Roman"/>
                <w:color w:val="000000"/>
                <w:sz w:val="20"/>
                <w:szCs w:val="20"/>
              </w:rPr>
              <w:t>INT</w:t>
            </w:r>
          </w:p>
        </w:tc>
        <w:tc>
          <w:tcPr>
            <w:tcW w:w="0" w:type="auto"/>
            <w:gridSpan w:val="3"/>
            <w:tcMar>
              <w:top w:w="30" w:type="dxa"/>
              <w:left w:w="20" w:type="dxa"/>
              <w:bottom w:w="30" w:type="dxa"/>
              <w:right w:w="20" w:type="dxa"/>
            </w:tcMar>
            <w:vAlign w:val="center"/>
            <w:hideMark/>
          </w:tcPr>
          <w:p w14:paraId="5BACC9F6" w14:textId="77777777" w:rsidR="00000000" w:rsidRDefault="00C01C43">
            <w:pPr>
              <w:jc w:val="center"/>
              <w:rPr>
                <w:rFonts w:eastAsia="Times New Roman"/>
              </w:rPr>
            </w:pPr>
            <w:r>
              <w:rPr>
                <w:rFonts w:eastAsia="Times New Roman"/>
                <w:color w:val="000000"/>
                <w:sz w:val="20"/>
                <w:szCs w:val="20"/>
              </w:rPr>
              <w:t>New York Stock Exchange</w:t>
            </w:r>
          </w:p>
        </w:tc>
      </w:tr>
    </w:tbl>
    <w:p w14:paraId="60A4C02E" w14:textId="77777777" w:rsidR="00000000" w:rsidRDefault="00C01C43">
      <w:pPr>
        <w:jc w:val="both"/>
        <w:divId w:val="108938801"/>
        <w:rPr>
          <w:rFonts w:eastAsia="Times New Roman"/>
        </w:rPr>
      </w:pPr>
      <w:r>
        <w:rPr>
          <w:rFonts w:ascii="Arial" w:eastAsia="Times New Roman" w:hAnsi="Arial" w:cs="Arial"/>
          <w:b/>
          <w:bCs/>
          <w:color w:val="000000"/>
          <w:sz w:val="18"/>
          <w:szCs w:val="18"/>
        </w:rPr>
        <w:t>Securities registered pursuant to Section 12(g) of the Act: None</w:t>
      </w:r>
    </w:p>
    <w:p w14:paraId="2B6D9B06" w14:textId="77777777" w:rsidR="00000000" w:rsidRDefault="00C01C43">
      <w:pPr>
        <w:jc w:val="both"/>
        <w:divId w:val="1667899803"/>
        <w:rPr>
          <w:rFonts w:eastAsia="Times New Roman"/>
        </w:rPr>
      </w:pPr>
      <w:r>
        <w:rPr>
          <w:rFonts w:ascii="Arial" w:eastAsia="Times New Roman" w:hAnsi="Arial" w:cs="Arial"/>
          <w:color w:val="000000"/>
          <w:sz w:val="18"/>
          <w:szCs w:val="18"/>
        </w:rPr>
        <w:t>Indicate by check mark if the registrant is a well-known seasoned issuer, as defined in Rule 405 of the Securities Act. Yes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No </w:t>
      </w:r>
      <w:r>
        <w:rPr>
          <w:rFonts w:ascii="Segoe UI Symbol" w:eastAsia="Times New Roman" w:hAnsi="Segoe UI Symbol" w:cs="Segoe UI Symbol"/>
          <w:color w:val="000000"/>
          <w:sz w:val="18"/>
          <w:szCs w:val="18"/>
        </w:rPr>
        <w:t>☐</w:t>
      </w:r>
    </w:p>
    <w:p w14:paraId="26E107C1" w14:textId="77777777" w:rsidR="00000000" w:rsidRDefault="00C01C43">
      <w:pPr>
        <w:jc w:val="both"/>
        <w:divId w:val="1354844002"/>
        <w:rPr>
          <w:rFonts w:eastAsia="Times New Roman"/>
        </w:rPr>
      </w:pPr>
      <w:r>
        <w:rPr>
          <w:rFonts w:ascii="Arial" w:eastAsia="Times New Roman" w:hAnsi="Arial" w:cs="Arial"/>
          <w:color w:val="000000"/>
          <w:sz w:val="18"/>
          <w:szCs w:val="18"/>
        </w:rPr>
        <w:t xml:space="preserve">Indicate by check mark if the registrant is not required to file reports pursuant to Section 13 or Section 15(d) of the Act. </w:t>
      </w:r>
      <w:r>
        <w:rPr>
          <w:rFonts w:ascii="Arial" w:eastAsia="Times New Roman" w:hAnsi="Arial" w:cs="Arial"/>
          <w:color w:val="000000"/>
          <w:sz w:val="18"/>
          <w:szCs w:val="18"/>
        </w:rPr>
        <w:t>Yes </w:t>
      </w:r>
      <w:r>
        <w:rPr>
          <w:rFonts w:ascii="Segoe UI Symbol" w:eastAsia="Times New Roman" w:hAnsi="Segoe UI Symbol" w:cs="Segoe UI Symbol"/>
          <w:color w:val="000000"/>
          <w:sz w:val="18"/>
          <w:szCs w:val="18"/>
        </w:rPr>
        <w:t>☐</w:t>
      </w:r>
    </w:p>
    <w:p w14:paraId="21F33109" w14:textId="77777777" w:rsidR="00000000" w:rsidRDefault="00C01C43">
      <w:pPr>
        <w:jc w:val="both"/>
        <w:divId w:val="493573694"/>
        <w:rPr>
          <w:rFonts w:eastAsia="Times New Roman"/>
        </w:rPr>
      </w:pPr>
      <w:r>
        <w:rPr>
          <w:rFonts w:ascii="Arial" w:eastAsia="Times New Roman" w:hAnsi="Arial" w:cs="Arial"/>
          <w:color w:val="000000"/>
          <w:sz w:val="18"/>
          <w:szCs w:val="18"/>
        </w:rPr>
        <w:t> No </w:t>
      </w:r>
      <w:r>
        <w:rPr>
          <w:rFonts w:ascii="Segoe UI Symbol" w:eastAsia="Times New Roman" w:hAnsi="Segoe UI Symbol" w:cs="Segoe UI Symbol"/>
          <w:color w:val="000000"/>
          <w:sz w:val="18"/>
          <w:szCs w:val="18"/>
        </w:rPr>
        <w:t>☒</w:t>
      </w:r>
    </w:p>
    <w:p w14:paraId="09ACE969" w14:textId="77777777" w:rsidR="00000000" w:rsidRDefault="00C01C43">
      <w:pPr>
        <w:jc w:val="both"/>
        <w:divId w:val="983006671"/>
        <w:rPr>
          <w:rFonts w:eastAsia="Times New Roman"/>
        </w:rPr>
      </w:pPr>
      <w:r>
        <w:rPr>
          <w:rFonts w:ascii="Arial" w:eastAsia="Times New Roman" w:hAnsi="Arial" w:cs="Arial"/>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w:t>
      </w:r>
      <w:r>
        <w:rPr>
          <w:rFonts w:ascii="Arial" w:eastAsia="Times New Roman" w:hAnsi="Arial" w:cs="Arial"/>
          <w:color w:val="000000"/>
          <w:sz w:val="18"/>
          <w:szCs w:val="18"/>
        </w:rPr>
        <w:t>ed to file such reports), and (2) has been subject to such filing requirements for the past 90 days. Yes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No </w:t>
      </w:r>
      <w:r>
        <w:rPr>
          <w:rFonts w:ascii="Segoe UI Symbol" w:eastAsia="Times New Roman" w:hAnsi="Segoe UI Symbol" w:cs="Segoe UI Symbol"/>
          <w:color w:val="000000"/>
          <w:sz w:val="18"/>
          <w:szCs w:val="18"/>
        </w:rPr>
        <w:t>☐</w:t>
      </w:r>
    </w:p>
    <w:p w14:paraId="49830B07" w14:textId="77777777" w:rsidR="00000000" w:rsidRDefault="00C01C43">
      <w:pPr>
        <w:jc w:val="both"/>
        <w:divId w:val="649595773"/>
        <w:rPr>
          <w:rFonts w:eastAsia="Times New Roman"/>
        </w:rPr>
      </w:pPr>
      <w:r>
        <w:rPr>
          <w:rFonts w:ascii="Arial" w:eastAsia="Times New Roman" w:hAnsi="Arial" w:cs="Arial"/>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w:t>
      </w:r>
      <w:r>
        <w:rPr>
          <w:rFonts w:ascii="Arial" w:eastAsia="Times New Roman" w:hAnsi="Arial" w:cs="Arial"/>
          <w:color w:val="000000"/>
          <w:sz w:val="18"/>
          <w:szCs w:val="18"/>
        </w:rPr>
        <w:t>ed to submit and post such files). Yes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No </w:t>
      </w:r>
      <w:r>
        <w:rPr>
          <w:rFonts w:ascii="Segoe UI Symbol" w:eastAsia="Times New Roman" w:hAnsi="Segoe UI Symbol" w:cs="Segoe UI Symbol"/>
          <w:color w:val="000000"/>
          <w:sz w:val="18"/>
          <w:szCs w:val="18"/>
        </w:rPr>
        <w:t>☐</w:t>
      </w:r>
    </w:p>
    <w:p w14:paraId="434AF9FD" w14:textId="77777777" w:rsidR="00000000" w:rsidRDefault="00C01C43">
      <w:pPr>
        <w:jc w:val="both"/>
        <w:divId w:val="1194533088"/>
        <w:rPr>
          <w:rFonts w:eastAsia="Times New Roman"/>
        </w:rPr>
      </w:pPr>
      <w:r>
        <w:rPr>
          <w:rFonts w:ascii="Arial" w:eastAsia="Times New Roman" w:hAnsi="Arial" w:cs="Arial"/>
          <w:color w:val="000000"/>
          <w:sz w:val="18"/>
          <w:szCs w:val="18"/>
        </w:rPr>
        <w:t xml:space="preserve">Indicate by check mark whether the registrant is a large accelerated filer, an accelerated filer, a non-accelerated filer, a smaller reporting company or an "emerging growth company". See definitions of “large </w:t>
      </w:r>
      <w:r>
        <w:rPr>
          <w:rFonts w:ascii="Arial" w:eastAsia="Times New Roman" w:hAnsi="Arial" w:cs="Arial"/>
          <w:color w:val="000000"/>
          <w:sz w:val="18"/>
          <w:szCs w:val="18"/>
        </w:rPr>
        <w:t>accelerated filer,” “accelerated filer,” “smaller reporting company,” and "emerging growth company" in Rule 12b-2 of the Exchange Act.</w:t>
      </w:r>
    </w:p>
    <w:p w14:paraId="2E652EB6" w14:textId="77777777" w:rsidR="00000000" w:rsidRDefault="00C01C43">
      <w:pPr>
        <w:jc w:val="both"/>
        <w:divId w:val="859781594"/>
        <w:rPr>
          <w:rFonts w:eastAsia="Times New Roman"/>
        </w:rPr>
      </w:pPr>
      <w:r>
        <w:rPr>
          <w:rFonts w:ascii="Arial" w:eastAsia="Times New Roman" w:hAnsi="Arial" w:cs="Arial"/>
          <w:color w:val="000000"/>
          <w:sz w:val="18"/>
          <w:szCs w:val="18"/>
        </w:rPr>
        <w:t>Large accelerated filer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Accelerated filer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Non-accelerated filer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Smaller reporting company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Emerging growth company</w:t>
      </w:r>
      <w:r>
        <w:rPr>
          <w:rFonts w:ascii="Arial" w:eastAsia="Times New Roman" w:hAnsi="Arial" w:cs="Arial"/>
          <w:color w:val="000000"/>
          <w:sz w:val="18"/>
          <w:szCs w:val="18"/>
        </w:rPr>
        <w:t>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w:t>
      </w:r>
    </w:p>
    <w:p w14:paraId="7ABDC0C0" w14:textId="77777777" w:rsidR="00000000" w:rsidRDefault="00C01C43">
      <w:pPr>
        <w:jc w:val="both"/>
        <w:divId w:val="1747798990"/>
        <w:rPr>
          <w:rFonts w:eastAsia="Times New Roman"/>
        </w:rPr>
      </w:pPr>
      <w:r>
        <w:rPr>
          <w:rFonts w:ascii="Arial" w:eastAsia="Times New Roman" w:hAnsi="Arial" w:cs="Arial"/>
          <w:color w:val="000000"/>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w:t>
      </w:r>
    </w:p>
    <w:p w14:paraId="5C986E46" w14:textId="77777777" w:rsidR="00000000" w:rsidRDefault="00C01C43">
      <w:pPr>
        <w:jc w:val="both"/>
        <w:divId w:val="722171472"/>
        <w:rPr>
          <w:rFonts w:eastAsia="Times New Roman"/>
        </w:rPr>
      </w:pPr>
      <w:r>
        <w:rPr>
          <w:rFonts w:ascii="Arial" w:eastAsia="Times New Roman" w:hAnsi="Arial" w:cs="Arial"/>
          <w:color w:val="000000"/>
          <w:sz w:val="18"/>
          <w:szCs w:val="18"/>
        </w:rPr>
        <w:t>Indicate by check mark whether the registrant has filed a report on and attestation to its management’s assessment of the effectiveness of its internal control over financial reporting under Section 404(b) of the Sarbanes-Oxley Act (15 U.S.C. 7262(b)) by</w:t>
      </w:r>
      <w:r>
        <w:rPr>
          <w:rFonts w:ascii="Arial" w:eastAsia="Times New Roman" w:hAnsi="Arial" w:cs="Arial"/>
          <w:color w:val="000000"/>
          <w:sz w:val="18"/>
          <w:szCs w:val="18"/>
        </w:rPr>
        <w:t xml:space="preserve"> the registered public accounting firm that prepared or issued its audit report. </w:t>
      </w:r>
      <w:r>
        <w:rPr>
          <w:rFonts w:ascii="Segoe UI Symbol" w:eastAsia="Times New Roman" w:hAnsi="Segoe UI Symbol" w:cs="Segoe UI Symbol"/>
          <w:color w:val="000000"/>
          <w:sz w:val="18"/>
          <w:szCs w:val="18"/>
        </w:rPr>
        <w:t>☒</w:t>
      </w:r>
    </w:p>
    <w:p w14:paraId="5ECB5C41" w14:textId="77777777" w:rsidR="00000000" w:rsidRDefault="00C01C43">
      <w:pPr>
        <w:divId w:val="421991974"/>
        <w:rPr>
          <w:rFonts w:eastAsia="Times New Roman"/>
        </w:rPr>
      </w:pPr>
    </w:p>
    <w:p w14:paraId="3A9F07E0" w14:textId="77777777" w:rsidR="00000000" w:rsidRDefault="00C01C43">
      <w:pPr>
        <w:rPr>
          <w:rFonts w:eastAsia="Times New Roman"/>
        </w:rPr>
      </w:pPr>
      <w:r>
        <w:rPr>
          <w:rFonts w:eastAsia="Times New Roman"/>
        </w:rPr>
        <w:pict w14:anchorId="62906A34">
          <v:rect id="_x0000_i1026" style="width:0;height:1.5pt" o:hralign="center" o:hrstd="t" o:hr="t" fillcolor="#a0a0a0" stroked="f"/>
        </w:pict>
      </w:r>
    </w:p>
    <w:p w14:paraId="01FDE330" w14:textId="77777777" w:rsidR="00000000" w:rsidRDefault="00C01C43">
      <w:pPr>
        <w:divId w:val="1837381702"/>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04014E81" w14:textId="77777777" w:rsidR="00000000" w:rsidRDefault="00C01C43">
      <w:pPr>
        <w:jc w:val="both"/>
        <w:divId w:val="582573003"/>
        <w:rPr>
          <w:rFonts w:eastAsia="Times New Roman"/>
        </w:rPr>
      </w:pPr>
      <w:r>
        <w:rPr>
          <w:rFonts w:ascii="Arial" w:eastAsia="Times New Roman" w:hAnsi="Arial" w:cs="Arial"/>
          <w:color w:val="000000"/>
          <w:sz w:val="18"/>
          <w:szCs w:val="18"/>
        </w:rPr>
        <w:t>Indicate by check mark whether the registrant is a shell company (as defined in 12b-2 of the Exchange Act). Yes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No </w:t>
      </w:r>
      <w:r>
        <w:rPr>
          <w:rFonts w:ascii="Segoe UI Symbol" w:eastAsia="Times New Roman" w:hAnsi="Segoe UI Symbol" w:cs="Segoe UI Symbol"/>
          <w:color w:val="000000"/>
          <w:sz w:val="18"/>
          <w:szCs w:val="18"/>
        </w:rPr>
        <w:t>☒</w:t>
      </w:r>
    </w:p>
    <w:p w14:paraId="412D68D5" w14:textId="77777777" w:rsidR="00000000" w:rsidRDefault="00C01C43">
      <w:pPr>
        <w:jc w:val="both"/>
        <w:divId w:val="600838886"/>
        <w:rPr>
          <w:rFonts w:eastAsia="Times New Roman"/>
        </w:rPr>
      </w:pPr>
      <w:r>
        <w:rPr>
          <w:rFonts w:ascii="Arial" w:eastAsia="Times New Roman" w:hAnsi="Arial" w:cs="Arial"/>
          <w:color w:val="000000"/>
          <w:sz w:val="18"/>
          <w:szCs w:val="18"/>
        </w:rPr>
        <w:t xml:space="preserve">As of June 30, 2020, the </w:t>
      </w:r>
      <w:r>
        <w:rPr>
          <w:rFonts w:ascii="Arial" w:eastAsia="Times New Roman" w:hAnsi="Arial" w:cs="Arial"/>
          <w:color w:val="000000"/>
          <w:sz w:val="18"/>
          <w:szCs w:val="18"/>
        </w:rPr>
        <w:t>registrant’s most recently completed second fiscal quarter, the aggregate market value of the voting and non-voting common equity held by non-affiliates computed by reference to the market price at which the common equity was last sold was $1,600,695,540.</w:t>
      </w:r>
    </w:p>
    <w:p w14:paraId="061B862B" w14:textId="77777777" w:rsidR="00000000" w:rsidRDefault="00C01C43">
      <w:pPr>
        <w:jc w:val="both"/>
        <w:divId w:val="421343664"/>
        <w:rPr>
          <w:rFonts w:eastAsia="Times New Roman"/>
        </w:rPr>
      </w:pPr>
      <w:r>
        <w:rPr>
          <w:rFonts w:ascii="Arial" w:eastAsia="Times New Roman" w:hAnsi="Arial" w:cs="Arial"/>
          <w:color w:val="000000"/>
          <w:sz w:val="18"/>
          <w:szCs w:val="18"/>
        </w:rPr>
        <w:t>As of February 19, 2021, the registrant had approximately 63,124,580 shares of outstanding common stock, par value $0.01 per share.</w:t>
      </w:r>
    </w:p>
    <w:p w14:paraId="68F6DF28" w14:textId="77777777" w:rsidR="00000000" w:rsidRDefault="00C01C43">
      <w:pPr>
        <w:divId w:val="1000816763"/>
        <w:rPr>
          <w:rFonts w:eastAsia="Times New Roman"/>
        </w:rPr>
      </w:pPr>
    </w:p>
    <w:p w14:paraId="61DC02EE" w14:textId="77777777" w:rsidR="00000000" w:rsidRDefault="00C01C43">
      <w:pPr>
        <w:rPr>
          <w:rFonts w:eastAsia="Times New Roman"/>
        </w:rPr>
      </w:pPr>
      <w:r>
        <w:rPr>
          <w:rFonts w:eastAsia="Times New Roman"/>
        </w:rPr>
        <w:pict w14:anchorId="59474A05">
          <v:rect id="_x0000_i1027" style="width:0;height:1.5pt" o:hralign="center" o:hrstd="t" o:hr="t" fillcolor="#a0a0a0" stroked="f"/>
        </w:pict>
      </w:r>
    </w:p>
    <w:p w14:paraId="506958E6" w14:textId="77777777" w:rsidR="00000000" w:rsidRDefault="00C01C43">
      <w:pPr>
        <w:divId w:val="692078093"/>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48453BB" w14:textId="77777777" w:rsidR="00000000" w:rsidRDefault="00C01C43">
      <w:pPr>
        <w:jc w:val="both"/>
        <w:divId w:val="1242368209"/>
        <w:rPr>
          <w:rFonts w:eastAsia="Times New Roman"/>
        </w:rPr>
      </w:pPr>
      <w:r>
        <w:rPr>
          <w:rFonts w:ascii="Arial" w:eastAsia="Times New Roman" w:hAnsi="Arial" w:cs="Arial"/>
          <w:b/>
          <w:bCs/>
          <w:color w:val="000000"/>
        </w:rPr>
        <w:t>TABLE OF C</w:t>
      </w:r>
      <w:r>
        <w:rPr>
          <w:rFonts w:ascii="Arial" w:eastAsia="Times New Roman" w:hAnsi="Arial" w:cs="Arial"/>
          <w:b/>
          <w:bCs/>
          <w:color w:val="000000"/>
        </w:rPr>
        <w:t>ONTENTS</w:t>
      </w:r>
    </w:p>
    <w:tbl>
      <w:tblPr>
        <w:tblW w:w="4985" w:type="pct"/>
        <w:tblCellMar>
          <w:top w:w="15" w:type="dxa"/>
          <w:left w:w="15" w:type="dxa"/>
          <w:bottom w:w="15" w:type="dxa"/>
          <w:right w:w="15" w:type="dxa"/>
        </w:tblCellMar>
        <w:tblLook w:val="04A0" w:firstRow="1" w:lastRow="0" w:firstColumn="1" w:lastColumn="0" w:noHBand="0" w:noVBand="1"/>
      </w:tblPr>
      <w:tblGrid>
        <w:gridCol w:w="63"/>
        <w:gridCol w:w="656"/>
        <w:gridCol w:w="36"/>
        <w:gridCol w:w="59"/>
        <w:gridCol w:w="6892"/>
        <w:gridCol w:w="39"/>
        <w:gridCol w:w="85"/>
        <w:gridCol w:w="415"/>
        <w:gridCol w:w="36"/>
      </w:tblGrid>
      <w:tr w:rsidR="00000000" w14:paraId="57E5CBC7" w14:textId="77777777">
        <w:trPr>
          <w:divId w:val="1867668736"/>
        </w:trPr>
        <w:tc>
          <w:tcPr>
            <w:tcW w:w="50" w:type="pct"/>
            <w:vAlign w:val="center"/>
            <w:hideMark/>
          </w:tcPr>
          <w:p w14:paraId="138D2785" w14:textId="77777777" w:rsidR="00000000" w:rsidRDefault="00C01C43">
            <w:pPr>
              <w:jc w:val="both"/>
              <w:rPr>
                <w:rFonts w:eastAsia="Times New Roman"/>
              </w:rPr>
            </w:pPr>
          </w:p>
        </w:tc>
        <w:tc>
          <w:tcPr>
            <w:tcW w:w="414" w:type="pct"/>
            <w:vAlign w:val="center"/>
            <w:hideMark/>
          </w:tcPr>
          <w:p w14:paraId="2931D316" w14:textId="77777777" w:rsidR="00000000" w:rsidRDefault="00C01C43">
            <w:pPr>
              <w:rPr>
                <w:rFonts w:eastAsia="Times New Roman"/>
                <w:sz w:val="20"/>
                <w:szCs w:val="20"/>
              </w:rPr>
            </w:pPr>
          </w:p>
        </w:tc>
        <w:tc>
          <w:tcPr>
            <w:tcW w:w="5" w:type="pct"/>
            <w:vAlign w:val="center"/>
            <w:hideMark/>
          </w:tcPr>
          <w:p w14:paraId="777BCE8D" w14:textId="77777777" w:rsidR="00000000" w:rsidRDefault="00C01C43">
            <w:pPr>
              <w:rPr>
                <w:rFonts w:eastAsia="Times New Roman"/>
                <w:sz w:val="20"/>
                <w:szCs w:val="20"/>
              </w:rPr>
            </w:pPr>
          </w:p>
        </w:tc>
        <w:tc>
          <w:tcPr>
            <w:tcW w:w="50" w:type="pct"/>
            <w:vAlign w:val="center"/>
            <w:hideMark/>
          </w:tcPr>
          <w:p w14:paraId="63AFF613" w14:textId="77777777" w:rsidR="00000000" w:rsidRDefault="00C01C43">
            <w:pPr>
              <w:rPr>
                <w:rFonts w:eastAsia="Times New Roman"/>
                <w:sz w:val="20"/>
                <w:szCs w:val="20"/>
              </w:rPr>
            </w:pPr>
          </w:p>
        </w:tc>
        <w:tc>
          <w:tcPr>
            <w:tcW w:w="4175" w:type="pct"/>
            <w:vAlign w:val="center"/>
            <w:hideMark/>
          </w:tcPr>
          <w:p w14:paraId="708024AB" w14:textId="77777777" w:rsidR="00000000" w:rsidRDefault="00C01C43">
            <w:pPr>
              <w:rPr>
                <w:rFonts w:eastAsia="Times New Roman"/>
                <w:sz w:val="20"/>
                <w:szCs w:val="20"/>
              </w:rPr>
            </w:pPr>
          </w:p>
        </w:tc>
        <w:tc>
          <w:tcPr>
            <w:tcW w:w="5" w:type="pct"/>
            <w:vAlign w:val="center"/>
            <w:hideMark/>
          </w:tcPr>
          <w:p w14:paraId="7F0BB84B" w14:textId="77777777" w:rsidR="00000000" w:rsidRDefault="00C01C43">
            <w:pPr>
              <w:rPr>
                <w:rFonts w:eastAsia="Times New Roman"/>
                <w:sz w:val="20"/>
                <w:szCs w:val="20"/>
              </w:rPr>
            </w:pPr>
          </w:p>
        </w:tc>
        <w:tc>
          <w:tcPr>
            <w:tcW w:w="50" w:type="pct"/>
            <w:vAlign w:val="center"/>
            <w:hideMark/>
          </w:tcPr>
          <w:p w14:paraId="7FA9FEF7" w14:textId="77777777" w:rsidR="00000000" w:rsidRDefault="00C01C43">
            <w:pPr>
              <w:rPr>
                <w:rFonts w:eastAsia="Times New Roman"/>
                <w:sz w:val="20"/>
                <w:szCs w:val="20"/>
              </w:rPr>
            </w:pPr>
          </w:p>
        </w:tc>
        <w:tc>
          <w:tcPr>
            <w:tcW w:w="245" w:type="pct"/>
            <w:vAlign w:val="center"/>
            <w:hideMark/>
          </w:tcPr>
          <w:p w14:paraId="37A75553" w14:textId="77777777" w:rsidR="00000000" w:rsidRDefault="00C01C43">
            <w:pPr>
              <w:rPr>
                <w:rFonts w:eastAsia="Times New Roman"/>
                <w:sz w:val="20"/>
                <w:szCs w:val="20"/>
              </w:rPr>
            </w:pPr>
          </w:p>
        </w:tc>
        <w:tc>
          <w:tcPr>
            <w:tcW w:w="5" w:type="pct"/>
            <w:vAlign w:val="center"/>
            <w:hideMark/>
          </w:tcPr>
          <w:p w14:paraId="298113EA" w14:textId="77777777" w:rsidR="00000000" w:rsidRDefault="00C01C43">
            <w:pPr>
              <w:rPr>
                <w:rFonts w:eastAsia="Times New Roman"/>
                <w:sz w:val="20"/>
                <w:szCs w:val="20"/>
              </w:rPr>
            </w:pPr>
          </w:p>
        </w:tc>
      </w:tr>
      <w:tr w:rsidR="00000000" w14:paraId="411ECB0B" w14:textId="77777777">
        <w:trPr>
          <w:divId w:val="1867668736"/>
        </w:trPr>
        <w:tc>
          <w:tcPr>
            <w:tcW w:w="0" w:type="auto"/>
            <w:gridSpan w:val="3"/>
            <w:tcMar>
              <w:top w:w="0" w:type="dxa"/>
              <w:left w:w="20" w:type="dxa"/>
              <w:bottom w:w="0" w:type="dxa"/>
              <w:right w:w="20" w:type="dxa"/>
            </w:tcMar>
            <w:vAlign w:val="center"/>
            <w:hideMark/>
          </w:tcPr>
          <w:p w14:paraId="25C76DFB"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6ED3041B"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30517C6A" w14:textId="77777777" w:rsidR="00000000" w:rsidRDefault="00C01C43">
            <w:pPr>
              <w:jc w:val="center"/>
              <w:rPr>
                <w:rFonts w:eastAsia="Times New Roman"/>
              </w:rPr>
            </w:pPr>
            <w:r>
              <w:rPr>
                <w:rFonts w:ascii="Arial" w:eastAsia="Times New Roman" w:hAnsi="Arial" w:cs="Arial"/>
                <w:color w:val="000000"/>
                <w:sz w:val="20"/>
                <w:szCs w:val="20"/>
              </w:rPr>
              <w:t>Page</w:t>
            </w:r>
          </w:p>
        </w:tc>
      </w:tr>
      <w:tr w:rsidR="00000000" w14:paraId="2B4FF7A5" w14:textId="77777777">
        <w:trPr>
          <w:divId w:val="1867668736"/>
        </w:trPr>
        <w:tc>
          <w:tcPr>
            <w:tcW w:w="0" w:type="auto"/>
            <w:gridSpan w:val="3"/>
            <w:tcMar>
              <w:top w:w="30" w:type="dxa"/>
              <w:left w:w="20" w:type="dxa"/>
              <w:bottom w:w="30" w:type="dxa"/>
              <w:right w:w="20" w:type="dxa"/>
            </w:tcMar>
            <w:vAlign w:val="bottom"/>
            <w:hideMark/>
          </w:tcPr>
          <w:p w14:paraId="55604B59" w14:textId="77777777" w:rsidR="00000000" w:rsidRDefault="00C01C43">
            <w:pPr>
              <w:divId w:val="1445730916"/>
              <w:rPr>
                <w:rFonts w:eastAsia="Times New Roman"/>
              </w:rPr>
            </w:pPr>
            <w:hyperlink w:anchor="i39de2a441966435e8a888354900c7540_10" w:history="1">
              <w:r>
                <w:rPr>
                  <w:rStyle w:val="a3"/>
                  <w:rFonts w:ascii="Arial" w:eastAsia="Times New Roman" w:hAnsi="Arial" w:cs="Arial"/>
                  <w:b/>
                  <w:bCs/>
                  <w:sz w:val="20"/>
                  <w:szCs w:val="20"/>
                </w:rPr>
                <w:t>PART I.</w:t>
              </w:r>
            </w:hyperlink>
          </w:p>
        </w:tc>
        <w:tc>
          <w:tcPr>
            <w:tcW w:w="0" w:type="auto"/>
            <w:gridSpan w:val="3"/>
            <w:tcMar>
              <w:top w:w="0" w:type="dxa"/>
              <w:left w:w="20" w:type="dxa"/>
              <w:bottom w:w="0" w:type="dxa"/>
              <w:right w:w="20" w:type="dxa"/>
            </w:tcMar>
            <w:vAlign w:val="center"/>
            <w:hideMark/>
          </w:tcPr>
          <w:p w14:paraId="6A3773D0"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6C62F4A3" w14:textId="77777777" w:rsidR="00000000" w:rsidRDefault="00C01C43">
            <w:pPr>
              <w:rPr>
                <w:rFonts w:eastAsia="Times New Roman"/>
                <w:sz w:val="20"/>
                <w:szCs w:val="20"/>
              </w:rPr>
            </w:pPr>
          </w:p>
        </w:tc>
      </w:tr>
      <w:tr w:rsidR="00000000" w14:paraId="39BF7D52" w14:textId="77777777">
        <w:trPr>
          <w:divId w:val="1867668736"/>
        </w:trPr>
        <w:tc>
          <w:tcPr>
            <w:tcW w:w="0" w:type="auto"/>
            <w:gridSpan w:val="3"/>
            <w:tcMar>
              <w:top w:w="30" w:type="dxa"/>
              <w:left w:w="20" w:type="dxa"/>
              <w:bottom w:w="30" w:type="dxa"/>
              <w:right w:w="20" w:type="dxa"/>
            </w:tcMar>
            <w:vAlign w:val="bottom"/>
            <w:hideMark/>
          </w:tcPr>
          <w:p w14:paraId="35DC341B" w14:textId="77777777" w:rsidR="00000000" w:rsidRDefault="00C01C43">
            <w:pPr>
              <w:divId w:val="2045866857"/>
              <w:rPr>
                <w:rFonts w:eastAsia="Times New Roman"/>
              </w:rPr>
            </w:pPr>
            <w:hyperlink w:anchor="i39de2a441966435e8a888354900c7540_13" w:history="1">
              <w:r>
                <w:rPr>
                  <w:rStyle w:val="a3"/>
                  <w:rFonts w:ascii="Arial" w:eastAsia="Times New Roman" w:hAnsi="Arial" w:cs="Arial"/>
                  <w:sz w:val="20"/>
                  <w:szCs w:val="20"/>
                </w:rPr>
                <w:t>Item 1.</w:t>
              </w:r>
            </w:hyperlink>
          </w:p>
        </w:tc>
        <w:tc>
          <w:tcPr>
            <w:tcW w:w="0" w:type="auto"/>
            <w:gridSpan w:val="3"/>
            <w:tcMar>
              <w:top w:w="30" w:type="dxa"/>
              <w:left w:w="20" w:type="dxa"/>
              <w:bottom w:w="30" w:type="dxa"/>
              <w:right w:w="20" w:type="dxa"/>
            </w:tcMar>
            <w:hideMark/>
          </w:tcPr>
          <w:p w14:paraId="5BC7CE5E" w14:textId="77777777" w:rsidR="00000000" w:rsidRDefault="00C01C43">
            <w:pPr>
              <w:divId w:val="735399958"/>
              <w:rPr>
                <w:rFonts w:eastAsia="Times New Roman"/>
              </w:rPr>
            </w:pPr>
            <w:hyperlink w:anchor="i39de2a441966435e8a888354900c7540_13" w:history="1">
              <w:r>
                <w:rPr>
                  <w:rStyle w:val="a3"/>
                  <w:rFonts w:ascii="Arial" w:eastAsia="Times New Roman" w:hAnsi="Arial" w:cs="Arial"/>
                  <w:sz w:val="20"/>
                  <w:szCs w:val="20"/>
                </w:rPr>
                <w:t>Business</w:t>
              </w:r>
            </w:hyperlink>
          </w:p>
        </w:tc>
        <w:tc>
          <w:tcPr>
            <w:tcW w:w="0" w:type="auto"/>
            <w:gridSpan w:val="3"/>
            <w:tcMar>
              <w:top w:w="30" w:type="dxa"/>
              <w:left w:w="20" w:type="dxa"/>
              <w:bottom w:w="30" w:type="dxa"/>
              <w:right w:w="20" w:type="dxa"/>
            </w:tcMar>
            <w:vAlign w:val="bottom"/>
            <w:hideMark/>
          </w:tcPr>
          <w:p w14:paraId="1B44CED5" w14:textId="77777777" w:rsidR="00000000" w:rsidRDefault="00C01C43">
            <w:pPr>
              <w:jc w:val="center"/>
              <w:rPr>
                <w:rFonts w:eastAsia="Times New Roman"/>
              </w:rPr>
            </w:pPr>
            <w:hyperlink w:anchor="i39de2a441966435e8a888354900c7540_13" w:history="1">
              <w:r>
                <w:rPr>
                  <w:rStyle w:val="a3"/>
                  <w:rFonts w:ascii="Arial" w:eastAsia="Times New Roman" w:hAnsi="Arial" w:cs="Arial"/>
                  <w:sz w:val="20"/>
                  <w:szCs w:val="20"/>
                  <w:u w:val="none"/>
                </w:rPr>
                <w:t>1</w:t>
              </w:r>
            </w:hyperlink>
          </w:p>
        </w:tc>
      </w:tr>
      <w:tr w:rsidR="00000000" w14:paraId="4B85FA31" w14:textId="77777777">
        <w:trPr>
          <w:divId w:val="1867668736"/>
        </w:trPr>
        <w:tc>
          <w:tcPr>
            <w:tcW w:w="0" w:type="auto"/>
            <w:gridSpan w:val="3"/>
            <w:tcMar>
              <w:top w:w="30" w:type="dxa"/>
              <w:left w:w="20" w:type="dxa"/>
              <w:bottom w:w="30" w:type="dxa"/>
              <w:right w:w="20" w:type="dxa"/>
            </w:tcMar>
            <w:vAlign w:val="bottom"/>
            <w:hideMark/>
          </w:tcPr>
          <w:p w14:paraId="0237989F" w14:textId="77777777" w:rsidR="00000000" w:rsidRDefault="00C01C43">
            <w:pPr>
              <w:divId w:val="1832673104"/>
              <w:rPr>
                <w:rFonts w:eastAsia="Times New Roman"/>
              </w:rPr>
            </w:pPr>
            <w:hyperlink w:anchor="i39de2a441966435e8a888354900c7540_16" w:history="1">
              <w:r>
                <w:rPr>
                  <w:rStyle w:val="a3"/>
                  <w:rFonts w:ascii="Arial" w:eastAsia="Times New Roman" w:hAnsi="Arial" w:cs="Arial"/>
                  <w:sz w:val="20"/>
                  <w:szCs w:val="20"/>
                </w:rPr>
                <w:t>Item 1A.</w:t>
              </w:r>
            </w:hyperlink>
          </w:p>
        </w:tc>
        <w:tc>
          <w:tcPr>
            <w:tcW w:w="0" w:type="auto"/>
            <w:gridSpan w:val="3"/>
            <w:tcMar>
              <w:top w:w="30" w:type="dxa"/>
              <w:left w:w="20" w:type="dxa"/>
              <w:bottom w:w="30" w:type="dxa"/>
              <w:right w:w="20" w:type="dxa"/>
            </w:tcMar>
            <w:hideMark/>
          </w:tcPr>
          <w:p w14:paraId="29E6B978" w14:textId="77777777" w:rsidR="00000000" w:rsidRDefault="00C01C43">
            <w:pPr>
              <w:divId w:val="562066740"/>
              <w:rPr>
                <w:rFonts w:eastAsia="Times New Roman"/>
              </w:rPr>
            </w:pPr>
            <w:hyperlink w:anchor="i39de2a441966435e8a888354900c7540_16" w:history="1">
              <w:r>
                <w:rPr>
                  <w:rStyle w:val="a3"/>
                  <w:rFonts w:ascii="Arial" w:eastAsia="Times New Roman" w:hAnsi="Arial" w:cs="Arial"/>
                  <w:sz w:val="20"/>
                  <w:szCs w:val="20"/>
                </w:rPr>
                <w:t>Risk Factors</w:t>
              </w:r>
            </w:hyperlink>
          </w:p>
        </w:tc>
        <w:tc>
          <w:tcPr>
            <w:tcW w:w="0" w:type="auto"/>
            <w:gridSpan w:val="3"/>
            <w:tcMar>
              <w:top w:w="30" w:type="dxa"/>
              <w:left w:w="20" w:type="dxa"/>
              <w:bottom w:w="30" w:type="dxa"/>
              <w:right w:w="20" w:type="dxa"/>
            </w:tcMar>
            <w:vAlign w:val="bottom"/>
            <w:hideMark/>
          </w:tcPr>
          <w:p w14:paraId="136602CC" w14:textId="77777777" w:rsidR="00000000" w:rsidRDefault="00C01C43">
            <w:pPr>
              <w:jc w:val="center"/>
              <w:rPr>
                <w:rFonts w:eastAsia="Times New Roman"/>
              </w:rPr>
            </w:pPr>
            <w:hyperlink w:anchor="i39de2a441966435e8a888354900c7540_16" w:history="1">
              <w:r>
                <w:rPr>
                  <w:rStyle w:val="a3"/>
                  <w:rFonts w:ascii="Arial" w:eastAsia="Times New Roman" w:hAnsi="Arial" w:cs="Arial"/>
                  <w:sz w:val="20"/>
                  <w:szCs w:val="20"/>
                  <w:u w:val="none"/>
                </w:rPr>
                <w:t>8</w:t>
              </w:r>
            </w:hyperlink>
          </w:p>
        </w:tc>
      </w:tr>
      <w:tr w:rsidR="00000000" w14:paraId="23159F77" w14:textId="77777777">
        <w:trPr>
          <w:divId w:val="1867668736"/>
        </w:trPr>
        <w:tc>
          <w:tcPr>
            <w:tcW w:w="0" w:type="auto"/>
            <w:gridSpan w:val="3"/>
            <w:tcMar>
              <w:top w:w="30" w:type="dxa"/>
              <w:left w:w="20" w:type="dxa"/>
              <w:bottom w:w="30" w:type="dxa"/>
              <w:right w:w="20" w:type="dxa"/>
            </w:tcMar>
            <w:vAlign w:val="bottom"/>
            <w:hideMark/>
          </w:tcPr>
          <w:p w14:paraId="6DDBF879" w14:textId="77777777" w:rsidR="00000000" w:rsidRDefault="00C01C43">
            <w:pPr>
              <w:divId w:val="69697197"/>
              <w:rPr>
                <w:rFonts w:eastAsia="Times New Roman"/>
              </w:rPr>
            </w:pPr>
            <w:hyperlink w:anchor="i39de2a441966435e8a888354900c7540_19" w:history="1">
              <w:r>
                <w:rPr>
                  <w:rStyle w:val="a3"/>
                  <w:rFonts w:ascii="Arial" w:eastAsia="Times New Roman" w:hAnsi="Arial" w:cs="Arial"/>
                  <w:sz w:val="20"/>
                  <w:szCs w:val="20"/>
                </w:rPr>
                <w:t>Item 1B.</w:t>
              </w:r>
            </w:hyperlink>
          </w:p>
        </w:tc>
        <w:tc>
          <w:tcPr>
            <w:tcW w:w="0" w:type="auto"/>
            <w:gridSpan w:val="3"/>
            <w:tcMar>
              <w:top w:w="30" w:type="dxa"/>
              <w:left w:w="20" w:type="dxa"/>
              <w:bottom w:w="30" w:type="dxa"/>
              <w:right w:w="20" w:type="dxa"/>
            </w:tcMar>
            <w:hideMark/>
          </w:tcPr>
          <w:p w14:paraId="2AD82F85" w14:textId="77777777" w:rsidR="00000000" w:rsidRDefault="00C01C43">
            <w:pPr>
              <w:divId w:val="1670331119"/>
              <w:rPr>
                <w:rFonts w:eastAsia="Times New Roman"/>
              </w:rPr>
            </w:pPr>
            <w:hyperlink w:anchor="i39de2a441966435e8a888354900c7540_19" w:history="1">
              <w:r>
                <w:rPr>
                  <w:rStyle w:val="a3"/>
                  <w:rFonts w:ascii="Arial" w:eastAsia="Times New Roman" w:hAnsi="Arial" w:cs="Arial"/>
                  <w:sz w:val="20"/>
                  <w:szCs w:val="20"/>
                </w:rPr>
                <w:t>Unresolved Staff Comments</w:t>
              </w:r>
            </w:hyperlink>
          </w:p>
        </w:tc>
        <w:tc>
          <w:tcPr>
            <w:tcW w:w="0" w:type="auto"/>
            <w:gridSpan w:val="3"/>
            <w:tcMar>
              <w:top w:w="30" w:type="dxa"/>
              <w:left w:w="20" w:type="dxa"/>
              <w:bottom w:w="30" w:type="dxa"/>
              <w:right w:w="20" w:type="dxa"/>
            </w:tcMar>
            <w:vAlign w:val="bottom"/>
            <w:hideMark/>
          </w:tcPr>
          <w:p w14:paraId="42A3DB01" w14:textId="77777777" w:rsidR="00000000" w:rsidRDefault="00C01C43">
            <w:pPr>
              <w:jc w:val="center"/>
              <w:rPr>
                <w:rFonts w:eastAsia="Times New Roman"/>
              </w:rPr>
            </w:pPr>
            <w:hyperlink w:anchor="i39de2a441966435e8a888354900c7540_19" w:history="1">
              <w:r>
                <w:rPr>
                  <w:rStyle w:val="a3"/>
                  <w:rFonts w:ascii="Arial" w:eastAsia="Times New Roman" w:hAnsi="Arial" w:cs="Arial"/>
                  <w:sz w:val="20"/>
                  <w:szCs w:val="20"/>
                  <w:u w:val="none"/>
                </w:rPr>
                <w:t>21</w:t>
              </w:r>
            </w:hyperlink>
          </w:p>
        </w:tc>
      </w:tr>
      <w:tr w:rsidR="00000000" w14:paraId="7062B338" w14:textId="77777777">
        <w:trPr>
          <w:divId w:val="1867668736"/>
        </w:trPr>
        <w:tc>
          <w:tcPr>
            <w:tcW w:w="0" w:type="auto"/>
            <w:gridSpan w:val="3"/>
            <w:tcMar>
              <w:top w:w="30" w:type="dxa"/>
              <w:left w:w="20" w:type="dxa"/>
              <w:bottom w:w="30" w:type="dxa"/>
              <w:right w:w="20" w:type="dxa"/>
            </w:tcMar>
            <w:vAlign w:val="bottom"/>
            <w:hideMark/>
          </w:tcPr>
          <w:p w14:paraId="0F935381" w14:textId="77777777" w:rsidR="00000000" w:rsidRDefault="00C01C43">
            <w:pPr>
              <w:divId w:val="249392225"/>
              <w:rPr>
                <w:rFonts w:eastAsia="Times New Roman"/>
              </w:rPr>
            </w:pPr>
            <w:hyperlink w:anchor="i39de2a441966435e8a888354900c7540_22" w:history="1">
              <w:r>
                <w:rPr>
                  <w:rStyle w:val="a3"/>
                  <w:rFonts w:ascii="Arial" w:eastAsia="Times New Roman" w:hAnsi="Arial" w:cs="Arial"/>
                  <w:sz w:val="20"/>
                  <w:szCs w:val="20"/>
                </w:rPr>
                <w:t>Item 2.</w:t>
              </w:r>
            </w:hyperlink>
          </w:p>
        </w:tc>
        <w:tc>
          <w:tcPr>
            <w:tcW w:w="0" w:type="auto"/>
            <w:gridSpan w:val="3"/>
            <w:tcMar>
              <w:top w:w="30" w:type="dxa"/>
              <w:left w:w="20" w:type="dxa"/>
              <w:bottom w:w="30" w:type="dxa"/>
              <w:right w:w="20" w:type="dxa"/>
            </w:tcMar>
            <w:hideMark/>
          </w:tcPr>
          <w:p w14:paraId="21F722FA" w14:textId="77777777" w:rsidR="00000000" w:rsidRDefault="00C01C43">
            <w:pPr>
              <w:divId w:val="1987083973"/>
              <w:rPr>
                <w:rFonts w:eastAsia="Times New Roman"/>
              </w:rPr>
            </w:pPr>
            <w:hyperlink w:anchor="i39de2a441966435e8a888354900c7540_22" w:history="1">
              <w:r>
                <w:rPr>
                  <w:rStyle w:val="a3"/>
                  <w:rFonts w:ascii="Arial" w:eastAsia="Times New Roman" w:hAnsi="Arial" w:cs="Arial"/>
                  <w:sz w:val="20"/>
                  <w:szCs w:val="20"/>
                </w:rPr>
                <w:t>Properties</w:t>
              </w:r>
            </w:hyperlink>
          </w:p>
        </w:tc>
        <w:tc>
          <w:tcPr>
            <w:tcW w:w="0" w:type="auto"/>
            <w:gridSpan w:val="3"/>
            <w:tcMar>
              <w:top w:w="30" w:type="dxa"/>
              <w:left w:w="20" w:type="dxa"/>
              <w:bottom w:w="30" w:type="dxa"/>
              <w:right w:w="20" w:type="dxa"/>
            </w:tcMar>
            <w:vAlign w:val="bottom"/>
            <w:hideMark/>
          </w:tcPr>
          <w:p w14:paraId="2105A39E" w14:textId="77777777" w:rsidR="00000000" w:rsidRDefault="00C01C43">
            <w:pPr>
              <w:jc w:val="center"/>
              <w:rPr>
                <w:rFonts w:eastAsia="Times New Roman"/>
              </w:rPr>
            </w:pPr>
            <w:hyperlink w:anchor="i39de2a441966435e8a888354900c7540_22" w:history="1">
              <w:r>
                <w:rPr>
                  <w:rStyle w:val="a3"/>
                  <w:rFonts w:ascii="Arial" w:eastAsia="Times New Roman" w:hAnsi="Arial" w:cs="Arial"/>
                  <w:sz w:val="20"/>
                  <w:szCs w:val="20"/>
                  <w:u w:val="none"/>
                </w:rPr>
                <w:t>22</w:t>
              </w:r>
            </w:hyperlink>
          </w:p>
        </w:tc>
      </w:tr>
      <w:tr w:rsidR="00000000" w14:paraId="5986E825" w14:textId="77777777">
        <w:trPr>
          <w:divId w:val="1867668736"/>
        </w:trPr>
        <w:tc>
          <w:tcPr>
            <w:tcW w:w="0" w:type="auto"/>
            <w:gridSpan w:val="3"/>
            <w:tcMar>
              <w:top w:w="30" w:type="dxa"/>
              <w:left w:w="20" w:type="dxa"/>
              <w:bottom w:w="30" w:type="dxa"/>
              <w:right w:w="20" w:type="dxa"/>
            </w:tcMar>
            <w:vAlign w:val="bottom"/>
            <w:hideMark/>
          </w:tcPr>
          <w:p w14:paraId="15826ED9" w14:textId="77777777" w:rsidR="00000000" w:rsidRDefault="00C01C43">
            <w:pPr>
              <w:divId w:val="120196118"/>
              <w:rPr>
                <w:rFonts w:eastAsia="Times New Roman"/>
              </w:rPr>
            </w:pPr>
            <w:hyperlink w:anchor="i39de2a441966435e8a888354900c7540_25" w:history="1">
              <w:r>
                <w:rPr>
                  <w:rStyle w:val="a3"/>
                  <w:rFonts w:ascii="Arial" w:eastAsia="Times New Roman" w:hAnsi="Arial" w:cs="Arial"/>
                  <w:sz w:val="20"/>
                  <w:szCs w:val="20"/>
                </w:rPr>
                <w:t>Item 3.</w:t>
              </w:r>
            </w:hyperlink>
          </w:p>
        </w:tc>
        <w:tc>
          <w:tcPr>
            <w:tcW w:w="0" w:type="auto"/>
            <w:gridSpan w:val="3"/>
            <w:tcMar>
              <w:top w:w="30" w:type="dxa"/>
              <w:left w:w="20" w:type="dxa"/>
              <w:bottom w:w="30" w:type="dxa"/>
              <w:right w:w="20" w:type="dxa"/>
            </w:tcMar>
            <w:hideMark/>
          </w:tcPr>
          <w:p w14:paraId="47E325EA" w14:textId="77777777" w:rsidR="00000000" w:rsidRDefault="00C01C43">
            <w:pPr>
              <w:divId w:val="748649233"/>
              <w:rPr>
                <w:rFonts w:eastAsia="Times New Roman"/>
              </w:rPr>
            </w:pPr>
            <w:hyperlink w:anchor="i39de2a441966435e8a888354900c7540_25" w:history="1">
              <w:r>
                <w:rPr>
                  <w:rStyle w:val="a3"/>
                  <w:rFonts w:ascii="Arial" w:eastAsia="Times New Roman" w:hAnsi="Arial" w:cs="Arial"/>
                  <w:sz w:val="20"/>
                  <w:szCs w:val="20"/>
                </w:rPr>
                <w:t>Legal Proceedings</w:t>
              </w:r>
            </w:hyperlink>
          </w:p>
        </w:tc>
        <w:tc>
          <w:tcPr>
            <w:tcW w:w="0" w:type="auto"/>
            <w:gridSpan w:val="3"/>
            <w:tcMar>
              <w:top w:w="30" w:type="dxa"/>
              <w:left w:w="20" w:type="dxa"/>
              <w:bottom w:w="30" w:type="dxa"/>
              <w:right w:w="20" w:type="dxa"/>
            </w:tcMar>
            <w:vAlign w:val="bottom"/>
            <w:hideMark/>
          </w:tcPr>
          <w:p w14:paraId="70326CDA" w14:textId="77777777" w:rsidR="00000000" w:rsidRDefault="00C01C43">
            <w:pPr>
              <w:jc w:val="center"/>
              <w:rPr>
                <w:rFonts w:eastAsia="Times New Roman"/>
              </w:rPr>
            </w:pPr>
            <w:hyperlink w:anchor="i39de2a441966435e8a888354900c7540_25" w:history="1">
              <w:r>
                <w:rPr>
                  <w:rStyle w:val="a3"/>
                  <w:rFonts w:ascii="Arial" w:eastAsia="Times New Roman" w:hAnsi="Arial" w:cs="Arial"/>
                  <w:sz w:val="20"/>
                  <w:szCs w:val="20"/>
                  <w:u w:val="none"/>
                </w:rPr>
                <w:t>23</w:t>
              </w:r>
            </w:hyperlink>
          </w:p>
        </w:tc>
      </w:tr>
      <w:tr w:rsidR="00000000" w14:paraId="73E5FCDC" w14:textId="77777777">
        <w:trPr>
          <w:divId w:val="1867668736"/>
        </w:trPr>
        <w:tc>
          <w:tcPr>
            <w:tcW w:w="0" w:type="auto"/>
            <w:gridSpan w:val="3"/>
            <w:tcMar>
              <w:top w:w="30" w:type="dxa"/>
              <w:left w:w="20" w:type="dxa"/>
              <w:bottom w:w="30" w:type="dxa"/>
              <w:right w:w="20" w:type="dxa"/>
            </w:tcMar>
            <w:vAlign w:val="bottom"/>
            <w:hideMark/>
          </w:tcPr>
          <w:p w14:paraId="2784C483" w14:textId="77777777" w:rsidR="00000000" w:rsidRDefault="00C01C43">
            <w:pPr>
              <w:divId w:val="1587961701"/>
              <w:rPr>
                <w:rFonts w:eastAsia="Times New Roman"/>
              </w:rPr>
            </w:pPr>
            <w:hyperlink w:anchor="i39de2a441966435e8a888354900c7540_28" w:history="1">
              <w:r>
                <w:rPr>
                  <w:rStyle w:val="a3"/>
                  <w:rFonts w:ascii="Arial" w:eastAsia="Times New Roman" w:hAnsi="Arial" w:cs="Arial"/>
                  <w:sz w:val="20"/>
                  <w:szCs w:val="20"/>
                </w:rPr>
                <w:t>Item 4.</w:t>
              </w:r>
            </w:hyperlink>
          </w:p>
        </w:tc>
        <w:tc>
          <w:tcPr>
            <w:tcW w:w="0" w:type="auto"/>
            <w:gridSpan w:val="3"/>
            <w:tcMar>
              <w:top w:w="30" w:type="dxa"/>
              <w:left w:w="20" w:type="dxa"/>
              <w:bottom w:w="30" w:type="dxa"/>
              <w:right w:w="20" w:type="dxa"/>
            </w:tcMar>
            <w:hideMark/>
          </w:tcPr>
          <w:p w14:paraId="2B738CBD" w14:textId="77777777" w:rsidR="00000000" w:rsidRDefault="00C01C43">
            <w:pPr>
              <w:divId w:val="1376202267"/>
              <w:rPr>
                <w:rFonts w:eastAsia="Times New Roman"/>
              </w:rPr>
            </w:pPr>
            <w:hyperlink w:anchor="i39de2a441966435e8a888354900c7540_28" w:history="1">
              <w:r>
                <w:rPr>
                  <w:rStyle w:val="a3"/>
                  <w:rFonts w:ascii="Arial" w:eastAsia="Times New Roman" w:hAnsi="Arial" w:cs="Arial"/>
                  <w:sz w:val="20"/>
                  <w:szCs w:val="20"/>
                </w:rPr>
                <w:t>Mine Safety Disclosures</w:t>
              </w:r>
            </w:hyperlink>
          </w:p>
        </w:tc>
        <w:tc>
          <w:tcPr>
            <w:tcW w:w="0" w:type="auto"/>
            <w:gridSpan w:val="3"/>
            <w:tcMar>
              <w:top w:w="30" w:type="dxa"/>
              <w:left w:w="20" w:type="dxa"/>
              <w:bottom w:w="30" w:type="dxa"/>
              <w:right w:w="20" w:type="dxa"/>
            </w:tcMar>
            <w:vAlign w:val="bottom"/>
            <w:hideMark/>
          </w:tcPr>
          <w:p w14:paraId="0AEAFC84" w14:textId="77777777" w:rsidR="00000000" w:rsidRDefault="00C01C43">
            <w:pPr>
              <w:jc w:val="center"/>
              <w:rPr>
                <w:rFonts w:eastAsia="Times New Roman"/>
              </w:rPr>
            </w:pPr>
            <w:hyperlink w:anchor="i39de2a441966435e8a888354900c7540_28" w:history="1">
              <w:r>
                <w:rPr>
                  <w:rStyle w:val="a3"/>
                  <w:rFonts w:ascii="Arial" w:eastAsia="Times New Roman" w:hAnsi="Arial" w:cs="Arial"/>
                  <w:sz w:val="20"/>
                  <w:szCs w:val="20"/>
                  <w:u w:val="none"/>
                </w:rPr>
                <w:t>23</w:t>
              </w:r>
            </w:hyperlink>
          </w:p>
        </w:tc>
      </w:tr>
      <w:tr w:rsidR="00000000" w14:paraId="088D6C5E" w14:textId="77777777">
        <w:trPr>
          <w:divId w:val="1867668736"/>
          <w:trHeight w:val="60"/>
        </w:trPr>
        <w:tc>
          <w:tcPr>
            <w:tcW w:w="0" w:type="auto"/>
            <w:gridSpan w:val="3"/>
            <w:tcMar>
              <w:top w:w="0" w:type="dxa"/>
              <w:left w:w="20" w:type="dxa"/>
              <w:bottom w:w="0" w:type="dxa"/>
              <w:right w:w="20" w:type="dxa"/>
            </w:tcMar>
            <w:vAlign w:val="center"/>
            <w:hideMark/>
          </w:tcPr>
          <w:p w14:paraId="59228ADE"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1D3645BC"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461E0407" w14:textId="77777777" w:rsidR="00000000" w:rsidRDefault="00C01C43">
            <w:pPr>
              <w:rPr>
                <w:rFonts w:eastAsia="Times New Roman"/>
                <w:sz w:val="20"/>
                <w:szCs w:val="20"/>
              </w:rPr>
            </w:pPr>
          </w:p>
        </w:tc>
      </w:tr>
      <w:tr w:rsidR="00000000" w14:paraId="5F226F43" w14:textId="77777777">
        <w:trPr>
          <w:divId w:val="1867668736"/>
        </w:trPr>
        <w:tc>
          <w:tcPr>
            <w:tcW w:w="0" w:type="auto"/>
            <w:gridSpan w:val="3"/>
            <w:tcMar>
              <w:top w:w="30" w:type="dxa"/>
              <w:left w:w="20" w:type="dxa"/>
              <w:bottom w:w="30" w:type="dxa"/>
              <w:right w:w="20" w:type="dxa"/>
            </w:tcMar>
            <w:vAlign w:val="bottom"/>
            <w:hideMark/>
          </w:tcPr>
          <w:p w14:paraId="3483143C" w14:textId="77777777" w:rsidR="00000000" w:rsidRDefault="00C01C43">
            <w:pPr>
              <w:divId w:val="1548950864"/>
              <w:rPr>
                <w:rFonts w:eastAsia="Times New Roman"/>
              </w:rPr>
            </w:pPr>
            <w:hyperlink w:anchor="i39de2a441966435e8a888354900c7540_31" w:history="1">
              <w:r>
                <w:rPr>
                  <w:rStyle w:val="a3"/>
                  <w:rFonts w:ascii="Arial" w:eastAsia="Times New Roman" w:hAnsi="Arial" w:cs="Arial"/>
                  <w:b/>
                  <w:bCs/>
                  <w:sz w:val="20"/>
                  <w:szCs w:val="20"/>
                </w:rPr>
                <w:t>PART II.</w:t>
              </w:r>
            </w:hyperlink>
          </w:p>
        </w:tc>
        <w:tc>
          <w:tcPr>
            <w:tcW w:w="0" w:type="auto"/>
            <w:gridSpan w:val="3"/>
            <w:tcMar>
              <w:top w:w="0" w:type="dxa"/>
              <w:left w:w="20" w:type="dxa"/>
              <w:bottom w:w="0" w:type="dxa"/>
              <w:right w:w="20" w:type="dxa"/>
            </w:tcMar>
            <w:vAlign w:val="center"/>
            <w:hideMark/>
          </w:tcPr>
          <w:p w14:paraId="23AC2395"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1DDDC02E" w14:textId="77777777" w:rsidR="00000000" w:rsidRDefault="00C01C43">
            <w:pPr>
              <w:rPr>
                <w:rFonts w:eastAsia="Times New Roman"/>
                <w:sz w:val="20"/>
                <w:szCs w:val="20"/>
              </w:rPr>
            </w:pPr>
          </w:p>
        </w:tc>
      </w:tr>
      <w:tr w:rsidR="00000000" w14:paraId="345CBB89" w14:textId="77777777">
        <w:trPr>
          <w:divId w:val="1867668736"/>
        </w:trPr>
        <w:tc>
          <w:tcPr>
            <w:tcW w:w="0" w:type="auto"/>
            <w:gridSpan w:val="3"/>
            <w:tcMar>
              <w:top w:w="30" w:type="dxa"/>
              <w:left w:w="20" w:type="dxa"/>
              <w:bottom w:w="30" w:type="dxa"/>
              <w:right w:w="20" w:type="dxa"/>
            </w:tcMar>
            <w:hideMark/>
          </w:tcPr>
          <w:p w14:paraId="47135347" w14:textId="77777777" w:rsidR="00000000" w:rsidRDefault="00C01C43">
            <w:pPr>
              <w:divId w:val="384763661"/>
              <w:rPr>
                <w:rFonts w:eastAsia="Times New Roman"/>
              </w:rPr>
            </w:pPr>
            <w:hyperlink w:anchor="i39de2a441966435e8a888354900c7540_34" w:history="1">
              <w:r>
                <w:rPr>
                  <w:rStyle w:val="a3"/>
                  <w:rFonts w:ascii="Arial" w:eastAsia="Times New Roman" w:hAnsi="Arial" w:cs="Arial"/>
                  <w:sz w:val="20"/>
                  <w:szCs w:val="20"/>
                </w:rPr>
                <w:t>Item 5.</w:t>
              </w:r>
            </w:hyperlink>
          </w:p>
        </w:tc>
        <w:tc>
          <w:tcPr>
            <w:tcW w:w="0" w:type="auto"/>
            <w:gridSpan w:val="3"/>
            <w:tcMar>
              <w:top w:w="30" w:type="dxa"/>
              <w:left w:w="20" w:type="dxa"/>
              <w:bottom w:w="30" w:type="dxa"/>
              <w:right w:w="20" w:type="dxa"/>
            </w:tcMar>
            <w:hideMark/>
          </w:tcPr>
          <w:p w14:paraId="4B6EA0E3" w14:textId="77777777" w:rsidR="00000000" w:rsidRDefault="00C01C43">
            <w:pPr>
              <w:divId w:val="9572094"/>
              <w:rPr>
                <w:rFonts w:eastAsia="Times New Roman"/>
              </w:rPr>
            </w:pPr>
            <w:hyperlink w:anchor="i39de2a441966435e8a888354900c7540_34" w:history="1">
              <w:r>
                <w:rPr>
                  <w:rStyle w:val="a3"/>
                  <w:rFonts w:ascii="Arial" w:eastAsia="Times New Roman" w:hAnsi="Arial" w:cs="Arial"/>
                  <w:sz w:val="20"/>
                  <w:szCs w:val="20"/>
                </w:rPr>
                <w:t>Market for Registrant’s Common Equity, Related Shareholder Matters and Issuer Purchases of Equity Securities</w:t>
              </w:r>
            </w:hyperlink>
          </w:p>
        </w:tc>
        <w:tc>
          <w:tcPr>
            <w:tcW w:w="0" w:type="auto"/>
            <w:gridSpan w:val="3"/>
            <w:tcMar>
              <w:top w:w="30" w:type="dxa"/>
              <w:left w:w="20" w:type="dxa"/>
              <w:bottom w:w="30" w:type="dxa"/>
              <w:right w:w="20" w:type="dxa"/>
            </w:tcMar>
            <w:vAlign w:val="bottom"/>
            <w:hideMark/>
          </w:tcPr>
          <w:p w14:paraId="6E1EF2FD" w14:textId="77777777" w:rsidR="00000000" w:rsidRDefault="00C01C43">
            <w:pPr>
              <w:jc w:val="center"/>
              <w:rPr>
                <w:rFonts w:eastAsia="Times New Roman"/>
              </w:rPr>
            </w:pPr>
            <w:hyperlink w:anchor="i39de2a441966435e8a888354900c7540_34" w:history="1">
              <w:r>
                <w:rPr>
                  <w:rStyle w:val="a3"/>
                  <w:rFonts w:ascii="Arial" w:eastAsia="Times New Roman" w:hAnsi="Arial" w:cs="Arial"/>
                  <w:sz w:val="20"/>
                  <w:szCs w:val="20"/>
                  <w:u w:val="none"/>
                </w:rPr>
                <w:t>24</w:t>
              </w:r>
            </w:hyperlink>
          </w:p>
        </w:tc>
      </w:tr>
      <w:tr w:rsidR="00000000" w14:paraId="08CD848D" w14:textId="77777777">
        <w:trPr>
          <w:divId w:val="1867668736"/>
        </w:trPr>
        <w:tc>
          <w:tcPr>
            <w:tcW w:w="0" w:type="auto"/>
            <w:gridSpan w:val="3"/>
            <w:tcMar>
              <w:top w:w="30" w:type="dxa"/>
              <w:left w:w="20" w:type="dxa"/>
              <w:bottom w:w="30" w:type="dxa"/>
              <w:right w:w="20" w:type="dxa"/>
            </w:tcMar>
            <w:hideMark/>
          </w:tcPr>
          <w:p w14:paraId="649358B3" w14:textId="77777777" w:rsidR="00000000" w:rsidRDefault="00C01C43">
            <w:pPr>
              <w:divId w:val="1034423147"/>
              <w:rPr>
                <w:rFonts w:eastAsia="Times New Roman"/>
              </w:rPr>
            </w:pPr>
            <w:hyperlink w:anchor="i39de2a441966435e8a888354900c7540_1635" w:history="1">
              <w:r>
                <w:rPr>
                  <w:rStyle w:val="a3"/>
                  <w:rFonts w:ascii="Arial" w:eastAsia="Times New Roman" w:hAnsi="Arial" w:cs="Arial"/>
                  <w:sz w:val="20"/>
                  <w:szCs w:val="20"/>
                </w:rPr>
                <w:t>Item 6.</w:t>
              </w:r>
            </w:hyperlink>
          </w:p>
        </w:tc>
        <w:tc>
          <w:tcPr>
            <w:tcW w:w="0" w:type="auto"/>
            <w:gridSpan w:val="3"/>
            <w:tcMar>
              <w:top w:w="30" w:type="dxa"/>
              <w:left w:w="20" w:type="dxa"/>
              <w:bottom w:w="30" w:type="dxa"/>
              <w:right w:w="20" w:type="dxa"/>
            </w:tcMar>
            <w:hideMark/>
          </w:tcPr>
          <w:p w14:paraId="03BEB461" w14:textId="77777777" w:rsidR="00000000" w:rsidRDefault="00C01C43">
            <w:pPr>
              <w:divId w:val="462038401"/>
              <w:rPr>
                <w:rFonts w:eastAsia="Times New Roman"/>
              </w:rPr>
            </w:pPr>
            <w:hyperlink w:anchor="i39de2a441966435e8a888354900c7540_1635" w:history="1">
              <w:r>
                <w:rPr>
                  <w:rStyle w:val="a3"/>
                  <w:rFonts w:ascii="Arial" w:eastAsia="Times New Roman" w:hAnsi="Arial" w:cs="Arial"/>
                  <w:sz w:val="20"/>
                  <w:szCs w:val="20"/>
                </w:rPr>
                <w:t>Reserved</w:t>
              </w:r>
            </w:hyperlink>
          </w:p>
        </w:tc>
        <w:tc>
          <w:tcPr>
            <w:tcW w:w="0" w:type="auto"/>
            <w:gridSpan w:val="3"/>
            <w:tcMar>
              <w:top w:w="30" w:type="dxa"/>
              <w:left w:w="20" w:type="dxa"/>
              <w:bottom w:w="30" w:type="dxa"/>
              <w:right w:w="20" w:type="dxa"/>
            </w:tcMar>
            <w:vAlign w:val="bottom"/>
            <w:hideMark/>
          </w:tcPr>
          <w:p w14:paraId="461AAF8D" w14:textId="77777777" w:rsidR="00000000" w:rsidRDefault="00C01C43">
            <w:pPr>
              <w:jc w:val="center"/>
              <w:rPr>
                <w:rFonts w:eastAsia="Times New Roman"/>
              </w:rPr>
            </w:pPr>
            <w:hyperlink w:anchor="i39de2a441966435e8a888354900c7540_1635" w:history="1">
              <w:r>
                <w:rPr>
                  <w:rStyle w:val="a3"/>
                  <w:rFonts w:ascii="Arial" w:eastAsia="Times New Roman" w:hAnsi="Arial" w:cs="Arial"/>
                  <w:sz w:val="20"/>
                  <w:szCs w:val="20"/>
                  <w:u w:val="none"/>
                </w:rPr>
                <w:t>25</w:t>
              </w:r>
            </w:hyperlink>
          </w:p>
        </w:tc>
      </w:tr>
      <w:tr w:rsidR="00000000" w14:paraId="0482E1E7" w14:textId="77777777">
        <w:trPr>
          <w:divId w:val="1867668736"/>
        </w:trPr>
        <w:tc>
          <w:tcPr>
            <w:tcW w:w="0" w:type="auto"/>
            <w:gridSpan w:val="3"/>
            <w:tcMar>
              <w:top w:w="30" w:type="dxa"/>
              <w:left w:w="20" w:type="dxa"/>
              <w:bottom w:w="30" w:type="dxa"/>
              <w:right w:w="20" w:type="dxa"/>
            </w:tcMar>
            <w:hideMark/>
          </w:tcPr>
          <w:p w14:paraId="4F62BDE8" w14:textId="77777777" w:rsidR="00000000" w:rsidRDefault="00C01C43">
            <w:pPr>
              <w:divId w:val="1638603785"/>
              <w:rPr>
                <w:rFonts w:eastAsia="Times New Roman"/>
              </w:rPr>
            </w:pPr>
            <w:hyperlink w:anchor="i39de2a441966435e8a888354900c7540_40" w:history="1">
              <w:r>
                <w:rPr>
                  <w:rStyle w:val="a3"/>
                  <w:rFonts w:ascii="Arial" w:eastAsia="Times New Roman" w:hAnsi="Arial" w:cs="Arial"/>
                  <w:sz w:val="20"/>
                  <w:szCs w:val="20"/>
                </w:rPr>
                <w:t>Item 7.</w:t>
              </w:r>
            </w:hyperlink>
          </w:p>
        </w:tc>
        <w:tc>
          <w:tcPr>
            <w:tcW w:w="0" w:type="auto"/>
            <w:gridSpan w:val="3"/>
            <w:tcMar>
              <w:top w:w="30" w:type="dxa"/>
              <w:left w:w="20" w:type="dxa"/>
              <w:bottom w:w="30" w:type="dxa"/>
              <w:right w:w="20" w:type="dxa"/>
            </w:tcMar>
            <w:hideMark/>
          </w:tcPr>
          <w:p w14:paraId="1A1C5F53" w14:textId="77777777" w:rsidR="00000000" w:rsidRDefault="00C01C43">
            <w:pPr>
              <w:divId w:val="225148297"/>
              <w:rPr>
                <w:rFonts w:eastAsia="Times New Roman"/>
              </w:rPr>
            </w:pPr>
            <w:hyperlink w:anchor="i39de2a441966435e8a888354900c7540_40" w:history="1">
              <w:r>
                <w:rPr>
                  <w:rStyle w:val="a3"/>
                  <w:rFonts w:ascii="Arial" w:eastAsia="Times New Roman" w:hAnsi="Arial" w:cs="Arial"/>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4D81B829" w14:textId="77777777" w:rsidR="00000000" w:rsidRDefault="00C01C43">
            <w:pPr>
              <w:jc w:val="center"/>
              <w:rPr>
                <w:rFonts w:eastAsia="Times New Roman"/>
              </w:rPr>
            </w:pPr>
            <w:hyperlink w:anchor="i39de2a441966435e8a888354900c7540_40" w:history="1">
              <w:r>
                <w:rPr>
                  <w:rStyle w:val="a3"/>
                  <w:rFonts w:ascii="Arial" w:eastAsia="Times New Roman" w:hAnsi="Arial" w:cs="Arial"/>
                  <w:sz w:val="20"/>
                  <w:szCs w:val="20"/>
                  <w:u w:val="none"/>
                </w:rPr>
                <w:t>25</w:t>
              </w:r>
            </w:hyperlink>
          </w:p>
        </w:tc>
      </w:tr>
      <w:tr w:rsidR="00000000" w14:paraId="24A89C2A" w14:textId="77777777">
        <w:trPr>
          <w:divId w:val="1867668736"/>
        </w:trPr>
        <w:tc>
          <w:tcPr>
            <w:tcW w:w="0" w:type="auto"/>
            <w:gridSpan w:val="3"/>
            <w:tcMar>
              <w:top w:w="30" w:type="dxa"/>
              <w:left w:w="20" w:type="dxa"/>
              <w:bottom w:w="30" w:type="dxa"/>
              <w:right w:w="20" w:type="dxa"/>
            </w:tcMar>
            <w:vAlign w:val="bottom"/>
            <w:hideMark/>
          </w:tcPr>
          <w:p w14:paraId="2C2108B3" w14:textId="77777777" w:rsidR="00000000" w:rsidRDefault="00C01C43">
            <w:pPr>
              <w:divId w:val="592053410"/>
              <w:rPr>
                <w:rFonts w:eastAsia="Times New Roman"/>
              </w:rPr>
            </w:pPr>
            <w:hyperlink w:anchor="i39de2a441966435e8a888354900c7540_49" w:history="1">
              <w:r>
                <w:rPr>
                  <w:rStyle w:val="a3"/>
                  <w:rFonts w:ascii="Arial" w:eastAsia="Times New Roman" w:hAnsi="Arial" w:cs="Arial"/>
                  <w:sz w:val="20"/>
                  <w:szCs w:val="20"/>
                </w:rPr>
                <w:t>Item 7A.</w:t>
              </w:r>
            </w:hyperlink>
          </w:p>
        </w:tc>
        <w:tc>
          <w:tcPr>
            <w:tcW w:w="0" w:type="auto"/>
            <w:gridSpan w:val="3"/>
            <w:tcMar>
              <w:top w:w="30" w:type="dxa"/>
              <w:left w:w="20" w:type="dxa"/>
              <w:bottom w:w="30" w:type="dxa"/>
              <w:right w:w="20" w:type="dxa"/>
            </w:tcMar>
            <w:hideMark/>
          </w:tcPr>
          <w:p w14:paraId="0A579432" w14:textId="77777777" w:rsidR="00000000" w:rsidRDefault="00C01C43">
            <w:pPr>
              <w:divId w:val="1256090366"/>
              <w:rPr>
                <w:rFonts w:eastAsia="Times New Roman"/>
              </w:rPr>
            </w:pPr>
            <w:hyperlink w:anchor="i39de2a441966435e8a888354900c7540_49" w:history="1">
              <w:r>
                <w:rPr>
                  <w:rStyle w:val="a3"/>
                  <w:rFonts w:ascii="Arial" w:eastAsia="Times New Roman" w:hAnsi="Arial" w:cs="Arial"/>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14:paraId="5CDCFB7C" w14:textId="77777777" w:rsidR="00000000" w:rsidRDefault="00C01C43">
            <w:pPr>
              <w:jc w:val="center"/>
              <w:rPr>
                <w:rFonts w:eastAsia="Times New Roman"/>
              </w:rPr>
            </w:pPr>
            <w:hyperlink w:anchor="i39de2a441966435e8a888354900c7540_49" w:history="1">
              <w:r>
                <w:rPr>
                  <w:rStyle w:val="a3"/>
                  <w:rFonts w:ascii="Arial" w:eastAsia="Times New Roman" w:hAnsi="Arial" w:cs="Arial"/>
                  <w:sz w:val="20"/>
                  <w:szCs w:val="20"/>
                  <w:u w:val="none"/>
                </w:rPr>
                <w:t>37</w:t>
              </w:r>
            </w:hyperlink>
          </w:p>
        </w:tc>
      </w:tr>
      <w:tr w:rsidR="00000000" w14:paraId="42F5F05A" w14:textId="77777777">
        <w:trPr>
          <w:divId w:val="1867668736"/>
        </w:trPr>
        <w:tc>
          <w:tcPr>
            <w:tcW w:w="0" w:type="auto"/>
            <w:gridSpan w:val="3"/>
            <w:tcMar>
              <w:top w:w="30" w:type="dxa"/>
              <w:left w:w="20" w:type="dxa"/>
              <w:bottom w:w="30" w:type="dxa"/>
              <w:right w:w="20" w:type="dxa"/>
            </w:tcMar>
            <w:vAlign w:val="bottom"/>
            <w:hideMark/>
          </w:tcPr>
          <w:p w14:paraId="737BC21C" w14:textId="77777777" w:rsidR="00000000" w:rsidRDefault="00C01C43">
            <w:pPr>
              <w:divId w:val="964240546"/>
              <w:rPr>
                <w:rFonts w:eastAsia="Times New Roman"/>
              </w:rPr>
            </w:pPr>
            <w:hyperlink w:anchor="i39de2a441966435e8a888354900c7540_52" w:history="1">
              <w:r>
                <w:rPr>
                  <w:rStyle w:val="a3"/>
                  <w:rFonts w:ascii="Arial" w:eastAsia="Times New Roman" w:hAnsi="Arial" w:cs="Arial"/>
                  <w:sz w:val="20"/>
                  <w:szCs w:val="20"/>
                </w:rPr>
                <w:t>Item 8.</w:t>
              </w:r>
            </w:hyperlink>
          </w:p>
        </w:tc>
        <w:tc>
          <w:tcPr>
            <w:tcW w:w="0" w:type="auto"/>
            <w:gridSpan w:val="3"/>
            <w:tcMar>
              <w:top w:w="30" w:type="dxa"/>
              <w:left w:w="20" w:type="dxa"/>
              <w:bottom w:w="30" w:type="dxa"/>
              <w:right w:w="20" w:type="dxa"/>
            </w:tcMar>
            <w:hideMark/>
          </w:tcPr>
          <w:p w14:paraId="6DD2979E" w14:textId="77777777" w:rsidR="00000000" w:rsidRDefault="00C01C43">
            <w:pPr>
              <w:divId w:val="1890994349"/>
              <w:rPr>
                <w:rFonts w:eastAsia="Times New Roman"/>
              </w:rPr>
            </w:pPr>
            <w:hyperlink w:anchor="i39de2a441966435e8a888354900c7540_52" w:history="1">
              <w:r>
                <w:rPr>
                  <w:rStyle w:val="a3"/>
                  <w:rFonts w:ascii="Arial" w:eastAsia="Times New Roman" w:hAnsi="Arial" w:cs="Arial"/>
                  <w:sz w:val="20"/>
                  <w:szCs w:val="20"/>
                </w:rPr>
                <w:t>Fi</w:t>
              </w:r>
              <w:r>
                <w:rPr>
                  <w:rStyle w:val="a3"/>
                  <w:rFonts w:ascii="Arial" w:eastAsia="Times New Roman" w:hAnsi="Arial" w:cs="Arial"/>
                  <w:sz w:val="20"/>
                  <w:szCs w:val="20"/>
                </w:rPr>
                <w:t>nancial Statements and Supplementary Data</w:t>
              </w:r>
            </w:hyperlink>
          </w:p>
        </w:tc>
        <w:tc>
          <w:tcPr>
            <w:tcW w:w="0" w:type="auto"/>
            <w:gridSpan w:val="3"/>
            <w:tcMar>
              <w:top w:w="30" w:type="dxa"/>
              <w:left w:w="20" w:type="dxa"/>
              <w:bottom w:w="30" w:type="dxa"/>
              <w:right w:w="20" w:type="dxa"/>
            </w:tcMar>
            <w:vAlign w:val="bottom"/>
            <w:hideMark/>
          </w:tcPr>
          <w:p w14:paraId="430F7485" w14:textId="77777777" w:rsidR="00000000" w:rsidRDefault="00C01C43">
            <w:pPr>
              <w:jc w:val="center"/>
              <w:rPr>
                <w:rFonts w:eastAsia="Times New Roman"/>
              </w:rPr>
            </w:pPr>
            <w:hyperlink w:anchor="i39de2a441966435e8a888354900c7540_52" w:history="1">
              <w:r>
                <w:rPr>
                  <w:rStyle w:val="a3"/>
                  <w:rFonts w:ascii="Arial" w:eastAsia="Times New Roman" w:hAnsi="Arial" w:cs="Arial"/>
                  <w:sz w:val="20"/>
                  <w:szCs w:val="20"/>
                  <w:u w:val="none"/>
                </w:rPr>
                <w:t>39</w:t>
              </w:r>
            </w:hyperlink>
          </w:p>
        </w:tc>
      </w:tr>
      <w:tr w:rsidR="00000000" w14:paraId="09502FE4" w14:textId="77777777">
        <w:trPr>
          <w:divId w:val="1867668736"/>
        </w:trPr>
        <w:tc>
          <w:tcPr>
            <w:tcW w:w="0" w:type="auto"/>
            <w:gridSpan w:val="3"/>
            <w:tcMar>
              <w:top w:w="30" w:type="dxa"/>
              <w:left w:w="20" w:type="dxa"/>
              <w:bottom w:w="30" w:type="dxa"/>
              <w:right w:w="20" w:type="dxa"/>
            </w:tcMar>
            <w:hideMark/>
          </w:tcPr>
          <w:p w14:paraId="701284F5" w14:textId="77777777" w:rsidR="00000000" w:rsidRDefault="00C01C43">
            <w:pPr>
              <w:divId w:val="860364479"/>
              <w:rPr>
                <w:rFonts w:eastAsia="Times New Roman"/>
              </w:rPr>
            </w:pPr>
            <w:hyperlink w:anchor="i39de2a441966435e8a888354900c7540_55" w:history="1">
              <w:r>
                <w:rPr>
                  <w:rStyle w:val="a3"/>
                  <w:rFonts w:ascii="Arial" w:eastAsia="Times New Roman" w:hAnsi="Arial" w:cs="Arial"/>
                  <w:sz w:val="20"/>
                  <w:szCs w:val="20"/>
                </w:rPr>
                <w:t>Item 9.</w:t>
              </w:r>
            </w:hyperlink>
          </w:p>
        </w:tc>
        <w:tc>
          <w:tcPr>
            <w:tcW w:w="0" w:type="auto"/>
            <w:gridSpan w:val="3"/>
            <w:tcMar>
              <w:top w:w="30" w:type="dxa"/>
              <w:left w:w="20" w:type="dxa"/>
              <w:bottom w:w="30" w:type="dxa"/>
              <w:right w:w="20" w:type="dxa"/>
            </w:tcMar>
            <w:hideMark/>
          </w:tcPr>
          <w:p w14:paraId="1183AA29" w14:textId="77777777" w:rsidR="00000000" w:rsidRDefault="00C01C43">
            <w:pPr>
              <w:divId w:val="143393563"/>
              <w:rPr>
                <w:rFonts w:eastAsia="Times New Roman"/>
              </w:rPr>
            </w:pPr>
            <w:hyperlink w:anchor="i39de2a441966435e8a888354900c7540_55" w:history="1">
              <w:r>
                <w:rPr>
                  <w:rStyle w:val="a3"/>
                  <w:rFonts w:ascii="Arial" w:eastAsia="Times New Roman" w:hAnsi="Arial" w:cs="Arial"/>
                  <w:sz w:val="20"/>
                  <w:szCs w:val="20"/>
                </w:rPr>
                <w:t>Changes in and Disa</w:t>
              </w:r>
              <w:r>
                <w:rPr>
                  <w:rStyle w:val="a3"/>
                  <w:rFonts w:ascii="Arial" w:eastAsia="Times New Roman" w:hAnsi="Arial" w:cs="Arial"/>
                  <w:sz w:val="20"/>
                  <w:szCs w:val="20"/>
                </w:rPr>
                <w:t>greements with Accountants on Accounting and Financial Disclosure</w:t>
              </w:r>
            </w:hyperlink>
          </w:p>
        </w:tc>
        <w:tc>
          <w:tcPr>
            <w:tcW w:w="0" w:type="auto"/>
            <w:gridSpan w:val="3"/>
            <w:tcMar>
              <w:top w:w="30" w:type="dxa"/>
              <w:left w:w="20" w:type="dxa"/>
              <w:bottom w:w="30" w:type="dxa"/>
              <w:right w:w="20" w:type="dxa"/>
            </w:tcMar>
            <w:vAlign w:val="bottom"/>
            <w:hideMark/>
          </w:tcPr>
          <w:p w14:paraId="0323A3D1" w14:textId="77777777" w:rsidR="00000000" w:rsidRDefault="00C01C43">
            <w:pPr>
              <w:jc w:val="center"/>
              <w:rPr>
                <w:rFonts w:eastAsia="Times New Roman"/>
              </w:rPr>
            </w:pPr>
            <w:hyperlink w:anchor="i39de2a441966435e8a888354900c7540_55" w:history="1">
              <w:r>
                <w:rPr>
                  <w:rStyle w:val="a3"/>
                  <w:rFonts w:ascii="Arial" w:eastAsia="Times New Roman" w:hAnsi="Arial" w:cs="Arial"/>
                  <w:sz w:val="20"/>
                  <w:szCs w:val="20"/>
                  <w:u w:val="none"/>
                </w:rPr>
                <w:t>39</w:t>
              </w:r>
            </w:hyperlink>
          </w:p>
        </w:tc>
      </w:tr>
      <w:tr w:rsidR="00000000" w14:paraId="493DAC69" w14:textId="77777777">
        <w:trPr>
          <w:divId w:val="1867668736"/>
        </w:trPr>
        <w:tc>
          <w:tcPr>
            <w:tcW w:w="0" w:type="auto"/>
            <w:gridSpan w:val="3"/>
            <w:tcMar>
              <w:top w:w="30" w:type="dxa"/>
              <w:left w:w="20" w:type="dxa"/>
              <w:bottom w:w="30" w:type="dxa"/>
              <w:right w:w="20" w:type="dxa"/>
            </w:tcMar>
            <w:vAlign w:val="bottom"/>
            <w:hideMark/>
          </w:tcPr>
          <w:p w14:paraId="644A02B0" w14:textId="77777777" w:rsidR="00000000" w:rsidRDefault="00C01C43">
            <w:pPr>
              <w:divId w:val="437067138"/>
              <w:rPr>
                <w:rFonts w:eastAsia="Times New Roman"/>
              </w:rPr>
            </w:pPr>
            <w:hyperlink w:anchor="i39de2a441966435e8a888354900c7540_58" w:history="1">
              <w:r>
                <w:rPr>
                  <w:rStyle w:val="a3"/>
                  <w:rFonts w:ascii="Arial" w:eastAsia="Times New Roman" w:hAnsi="Arial" w:cs="Arial"/>
                  <w:sz w:val="20"/>
                  <w:szCs w:val="20"/>
                </w:rPr>
                <w:t>Item 9A.</w:t>
              </w:r>
            </w:hyperlink>
          </w:p>
        </w:tc>
        <w:tc>
          <w:tcPr>
            <w:tcW w:w="0" w:type="auto"/>
            <w:gridSpan w:val="3"/>
            <w:tcMar>
              <w:top w:w="30" w:type="dxa"/>
              <w:left w:w="20" w:type="dxa"/>
              <w:bottom w:w="30" w:type="dxa"/>
              <w:right w:w="20" w:type="dxa"/>
            </w:tcMar>
            <w:hideMark/>
          </w:tcPr>
          <w:p w14:paraId="06560800" w14:textId="77777777" w:rsidR="00000000" w:rsidRDefault="00C01C43">
            <w:pPr>
              <w:divId w:val="347220362"/>
              <w:rPr>
                <w:rFonts w:eastAsia="Times New Roman"/>
              </w:rPr>
            </w:pPr>
            <w:hyperlink w:anchor="i39de2a441966435e8a888354900c7540_58" w:history="1">
              <w:r>
                <w:rPr>
                  <w:rStyle w:val="a3"/>
                  <w:rFonts w:ascii="Arial" w:eastAsia="Times New Roman" w:hAnsi="Arial" w:cs="Arial"/>
                  <w:sz w:val="20"/>
                  <w:szCs w:val="20"/>
                </w:rPr>
                <w:t>Controls and Procedures</w:t>
              </w:r>
            </w:hyperlink>
          </w:p>
        </w:tc>
        <w:tc>
          <w:tcPr>
            <w:tcW w:w="0" w:type="auto"/>
            <w:gridSpan w:val="3"/>
            <w:tcMar>
              <w:top w:w="30" w:type="dxa"/>
              <w:left w:w="20" w:type="dxa"/>
              <w:bottom w:w="30" w:type="dxa"/>
              <w:right w:w="20" w:type="dxa"/>
            </w:tcMar>
            <w:vAlign w:val="bottom"/>
            <w:hideMark/>
          </w:tcPr>
          <w:p w14:paraId="2D7DAC09" w14:textId="77777777" w:rsidR="00000000" w:rsidRDefault="00C01C43">
            <w:pPr>
              <w:jc w:val="center"/>
              <w:rPr>
                <w:rFonts w:eastAsia="Times New Roman"/>
              </w:rPr>
            </w:pPr>
            <w:hyperlink w:anchor="i39de2a441966435e8a888354900c7540_58" w:history="1">
              <w:r>
                <w:rPr>
                  <w:rStyle w:val="a3"/>
                  <w:rFonts w:ascii="Arial" w:eastAsia="Times New Roman" w:hAnsi="Arial" w:cs="Arial"/>
                  <w:sz w:val="20"/>
                  <w:szCs w:val="20"/>
                  <w:u w:val="none"/>
                </w:rPr>
                <w:t>39</w:t>
              </w:r>
            </w:hyperlink>
          </w:p>
        </w:tc>
      </w:tr>
      <w:tr w:rsidR="00000000" w14:paraId="60063F46" w14:textId="77777777">
        <w:trPr>
          <w:divId w:val="1867668736"/>
        </w:trPr>
        <w:tc>
          <w:tcPr>
            <w:tcW w:w="0" w:type="auto"/>
            <w:gridSpan w:val="3"/>
            <w:tcMar>
              <w:top w:w="30" w:type="dxa"/>
              <w:left w:w="20" w:type="dxa"/>
              <w:bottom w:w="30" w:type="dxa"/>
              <w:right w:w="20" w:type="dxa"/>
            </w:tcMar>
            <w:vAlign w:val="bottom"/>
            <w:hideMark/>
          </w:tcPr>
          <w:p w14:paraId="5E0C1B7F" w14:textId="77777777" w:rsidR="00000000" w:rsidRDefault="00C01C43">
            <w:pPr>
              <w:divId w:val="528571175"/>
              <w:rPr>
                <w:rFonts w:eastAsia="Times New Roman"/>
              </w:rPr>
            </w:pPr>
            <w:hyperlink w:anchor="i39de2a441966435e8a888354900c7540_61" w:history="1">
              <w:r>
                <w:rPr>
                  <w:rStyle w:val="a3"/>
                  <w:rFonts w:ascii="Arial" w:eastAsia="Times New Roman" w:hAnsi="Arial" w:cs="Arial"/>
                  <w:sz w:val="20"/>
                  <w:szCs w:val="20"/>
                </w:rPr>
                <w:t>Item 9B.</w:t>
              </w:r>
            </w:hyperlink>
          </w:p>
        </w:tc>
        <w:tc>
          <w:tcPr>
            <w:tcW w:w="0" w:type="auto"/>
            <w:gridSpan w:val="3"/>
            <w:tcMar>
              <w:top w:w="30" w:type="dxa"/>
              <w:left w:w="20" w:type="dxa"/>
              <w:bottom w:w="30" w:type="dxa"/>
              <w:right w:w="20" w:type="dxa"/>
            </w:tcMar>
            <w:hideMark/>
          </w:tcPr>
          <w:p w14:paraId="1187D1CC" w14:textId="77777777" w:rsidR="00000000" w:rsidRDefault="00C01C43">
            <w:pPr>
              <w:divId w:val="338315791"/>
              <w:rPr>
                <w:rFonts w:eastAsia="Times New Roman"/>
              </w:rPr>
            </w:pPr>
            <w:hyperlink w:anchor="i39de2a441966435e8a888354900c7540_61" w:history="1">
              <w:r>
                <w:rPr>
                  <w:rStyle w:val="a3"/>
                  <w:rFonts w:ascii="Arial" w:eastAsia="Times New Roman" w:hAnsi="Arial" w:cs="Arial"/>
                  <w:sz w:val="20"/>
                  <w:szCs w:val="20"/>
                </w:rPr>
                <w:t>Other Information</w:t>
              </w:r>
            </w:hyperlink>
          </w:p>
        </w:tc>
        <w:tc>
          <w:tcPr>
            <w:tcW w:w="0" w:type="auto"/>
            <w:gridSpan w:val="3"/>
            <w:tcMar>
              <w:top w:w="30" w:type="dxa"/>
              <w:left w:w="20" w:type="dxa"/>
              <w:bottom w:w="30" w:type="dxa"/>
              <w:right w:w="20" w:type="dxa"/>
            </w:tcMar>
            <w:vAlign w:val="bottom"/>
            <w:hideMark/>
          </w:tcPr>
          <w:p w14:paraId="22883FD9" w14:textId="77777777" w:rsidR="00000000" w:rsidRDefault="00C01C43">
            <w:pPr>
              <w:jc w:val="center"/>
              <w:rPr>
                <w:rFonts w:eastAsia="Times New Roman"/>
              </w:rPr>
            </w:pPr>
            <w:hyperlink w:anchor="i39de2a441966435e8a888354900c7540_61" w:history="1">
              <w:r>
                <w:rPr>
                  <w:rStyle w:val="a3"/>
                  <w:rFonts w:ascii="Arial" w:eastAsia="Times New Roman" w:hAnsi="Arial" w:cs="Arial"/>
                  <w:sz w:val="20"/>
                  <w:szCs w:val="20"/>
                  <w:u w:val="none"/>
                </w:rPr>
                <w:t>40</w:t>
              </w:r>
            </w:hyperlink>
          </w:p>
        </w:tc>
      </w:tr>
      <w:tr w:rsidR="00000000" w14:paraId="6141344F" w14:textId="77777777">
        <w:trPr>
          <w:divId w:val="1867668736"/>
          <w:trHeight w:val="60"/>
        </w:trPr>
        <w:tc>
          <w:tcPr>
            <w:tcW w:w="0" w:type="auto"/>
            <w:gridSpan w:val="3"/>
            <w:tcMar>
              <w:top w:w="0" w:type="dxa"/>
              <w:left w:w="20" w:type="dxa"/>
              <w:bottom w:w="0" w:type="dxa"/>
              <w:right w:w="20" w:type="dxa"/>
            </w:tcMar>
            <w:vAlign w:val="center"/>
            <w:hideMark/>
          </w:tcPr>
          <w:p w14:paraId="6AB6394B"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6BC0DC6B"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60D4DD78" w14:textId="77777777" w:rsidR="00000000" w:rsidRDefault="00C01C43">
            <w:pPr>
              <w:rPr>
                <w:rFonts w:eastAsia="Times New Roman"/>
                <w:sz w:val="20"/>
                <w:szCs w:val="20"/>
              </w:rPr>
            </w:pPr>
          </w:p>
        </w:tc>
      </w:tr>
      <w:tr w:rsidR="00000000" w14:paraId="36927811" w14:textId="77777777">
        <w:trPr>
          <w:divId w:val="1867668736"/>
        </w:trPr>
        <w:tc>
          <w:tcPr>
            <w:tcW w:w="0" w:type="auto"/>
            <w:gridSpan w:val="3"/>
            <w:tcMar>
              <w:top w:w="30" w:type="dxa"/>
              <w:left w:w="20" w:type="dxa"/>
              <w:bottom w:w="30" w:type="dxa"/>
              <w:right w:w="20" w:type="dxa"/>
            </w:tcMar>
            <w:vAlign w:val="bottom"/>
            <w:hideMark/>
          </w:tcPr>
          <w:p w14:paraId="1D80B43C" w14:textId="77777777" w:rsidR="00000000" w:rsidRDefault="00C01C43">
            <w:pPr>
              <w:divId w:val="1070926080"/>
              <w:rPr>
                <w:rFonts w:eastAsia="Times New Roman"/>
              </w:rPr>
            </w:pPr>
            <w:hyperlink w:anchor="i39de2a441966435e8a888354900c7540_64" w:history="1">
              <w:r>
                <w:rPr>
                  <w:rStyle w:val="a3"/>
                  <w:rFonts w:ascii="Arial" w:eastAsia="Times New Roman" w:hAnsi="Arial" w:cs="Arial"/>
                  <w:b/>
                  <w:bCs/>
                  <w:sz w:val="20"/>
                  <w:szCs w:val="20"/>
                </w:rPr>
                <w:t>PART III.</w:t>
              </w:r>
            </w:hyperlink>
          </w:p>
        </w:tc>
        <w:tc>
          <w:tcPr>
            <w:tcW w:w="0" w:type="auto"/>
            <w:gridSpan w:val="3"/>
            <w:tcMar>
              <w:top w:w="0" w:type="dxa"/>
              <w:left w:w="20" w:type="dxa"/>
              <w:bottom w:w="0" w:type="dxa"/>
              <w:right w:w="20" w:type="dxa"/>
            </w:tcMar>
            <w:vAlign w:val="center"/>
            <w:hideMark/>
          </w:tcPr>
          <w:p w14:paraId="6D8F2D19"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28C206FA" w14:textId="77777777" w:rsidR="00000000" w:rsidRDefault="00C01C43">
            <w:pPr>
              <w:rPr>
                <w:rFonts w:eastAsia="Times New Roman"/>
                <w:sz w:val="20"/>
                <w:szCs w:val="20"/>
              </w:rPr>
            </w:pPr>
          </w:p>
        </w:tc>
      </w:tr>
      <w:tr w:rsidR="00000000" w14:paraId="5939AD33" w14:textId="77777777">
        <w:trPr>
          <w:divId w:val="1867668736"/>
        </w:trPr>
        <w:tc>
          <w:tcPr>
            <w:tcW w:w="0" w:type="auto"/>
            <w:gridSpan w:val="3"/>
            <w:tcMar>
              <w:top w:w="30" w:type="dxa"/>
              <w:left w:w="20" w:type="dxa"/>
              <w:bottom w:w="30" w:type="dxa"/>
              <w:right w:w="20" w:type="dxa"/>
            </w:tcMar>
            <w:vAlign w:val="bottom"/>
            <w:hideMark/>
          </w:tcPr>
          <w:p w14:paraId="2C14F673" w14:textId="77777777" w:rsidR="00000000" w:rsidRDefault="00C01C43">
            <w:pPr>
              <w:divId w:val="1478498116"/>
              <w:rPr>
                <w:rFonts w:eastAsia="Times New Roman"/>
              </w:rPr>
            </w:pPr>
            <w:hyperlink w:anchor="i39de2a441966435e8a888354900c7540_67" w:history="1">
              <w:r>
                <w:rPr>
                  <w:rStyle w:val="a3"/>
                  <w:rFonts w:ascii="Arial" w:eastAsia="Times New Roman" w:hAnsi="Arial" w:cs="Arial"/>
                  <w:sz w:val="20"/>
                  <w:szCs w:val="20"/>
                </w:rPr>
                <w:t>Item 10.</w:t>
              </w:r>
            </w:hyperlink>
          </w:p>
        </w:tc>
        <w:tc>
          <w:tcPr>
            <w:tcW w:w="0" w:type="auto"/>
            <w:gridSpan w:val="3"/>
            <w:tcMar>
              <w:top w:w="30" w:type="dxa"/>
              <w:left w:w="20" w:type="dxa"/>
              <w:bottom w:w="30" w:type="dxa"/>
              <w:right w:w="20" w:type="dxa"/>
            </w:tcMar>
            <w:hideMark/>
          </w:tcPr>
          <w:p w14:paraId="3B3F5E30" w14:textId="77777777" w:rsidR="00000000" w:rsidRDefault="00C01C43">
            <w:pPr>
              <w:divId w:val="480536332"/>
              <w:rPr>
                <w:rFonts w:eastAsia="Times New Roman"/>
              </w:rPr>
            </w:pPr>
            <w:hyperlink w:anchor="i39de2a441966435e8a888354900c7540_67" w:history="1">
              <w:r>
                <w:rPr>
                  <w:rStyle w:val="a3"/>
                  <w:rFonts w:ascii="Arial" w:eastAsia="Times New Roman" w:hAnsi="Arial" w:cs="Arial"/>
                  <w:sz w:val="20"/>
                  <w:szCs w:val="20"/>
                </w:rPr>
                <w:t>Directors, Executive Officers and Corporate Governance</w:t>
              </w:r>
            </w:hyperlink>
          </w:p>
        </w:tc>
        <w:tc>
          <w:tcPr>
            <w:tcW w:w="0" w:type="auto"/>
            <w:gridSpan w:val="3"/>
            <w:tcMar>
              <w:top w:w="30" w:type="dxa"/>
              <w:left w:w="20" w:type="dxa"/>
              <w:bottom w:w="30" w:type="dxa"/>
              <w:right w:w="20" w:type="dxa"/>
            </w:tcMar>
            <w:vAlign w:val="bottom"/>
            <w:hideMark/>
          </w:tcPr>
          <w:p w14:paraId="090D2B10" w14:textId="77777777" w:rsidR="00000000" w:rsidRDefault="00C01C43">
            <w:pPr>
              <w:jc w:val="center"/>
              <w:rPr>
                <w:rFonts w:eastAsia="Times New Roman"/>
              </w:rPr>
            </w:pPr>
            <w:hyperlink w:anchor="i39de2a441966435e8a888354900c7540_67" w:history="1">
              <w:r>
                <w:rPr>
                  <w:rStyle w:val="a3"/>
                  <w:rFonts w:ascii="Arial" w:eastAsia="Times New Roman" w:hAnsi="Arial" w:cs="Arial"/>
                  <w:sz w:val="20"/>
                  <w:szCs w:val="20"/>
                  <w:u w:val="none"/>
                </w:rPr>
                <w:t>41</w:t>
              </w:r>
            </w:hyperlink>
          </w:p>
        </w:tc>
      </w:tr>
      <w:tr w:rsidR="00000000" w14:paraId="7ADD067F" w14:textId="77777777">
        <w:trPr>
          <w:divId w:val="1867668736"/>
        </w:trPr>
        <w:tc>
          <w:tcPr>
            <w:tcW w:w="0" w:type="auto"/>
            <w:gridSpan w:val="3"/>
            <w:tcMar>
              <w:top w:w="30" w:type="dxa"/>
              <w:left w:w="20" w:type="dxa"/>
              <w:bottom w:w="30" w:type="dxa"/>
              <w:right w:w="20" w:type="dxa"/>
            </w:tcMar>
            <w:vAlign w:val="bottom"/>
            <w:hideMark/>
          </w:tcPr>
          <w:p w14:paraId="14B653B3" w14:textId="77777777" w:rsidR="00000000" w:rsidRDefault="00C01C43">
            <w:pPr>
              <w:divId w:val="1402559131"/>
              <w:rPr>
                <w:rFonts w:eastAsia="Times New Roman"/>
              </w:rPr>
            </w:pPr>
            <w:hyperlink w:anchor="i39de2a441966435e8a888354900c7540_70" w:history="1">
              <w:r>
                <w:rPr>
                  <w:rStyle w:val="a3"/>
                  <w:rFonts w:ascii="Arial" w:eastAsia="Times New Roman" w:hAnsi="Arial" w:cs="Arial"/>
                  <w:sz w:val="20"/>
                  <w:szCs w:val="20"/>
                </w:rPr>
                <w:t>Item 11.</w:t>
              </w:r>
            </w:hyperlink>
          </w:p>
        </w:tc>
        <w:tc>
          <w:tcPr>
            <w:tcW w:w="0" w:type="auto"/>
            <w:gridSpan w:val="3"/>
            <w:tcMar>
              <w:top w:w="30" w:type="dxa"/>
              <w:left w:w="20" w:type="dxa"/>
              <w:bottom w:w="30" w:type="dxa"/>
              <w:right w:w="20" w:type="dxa"/>
            </w:tcMar>
            <w:hideMark/>
          </w:tcPr>
          <w:p w14:paraId="31B5A929" w14:textId="77777777" w:rsidR="00000000" w:rsidRDefault="00C01C43">
            <w:pPr>
              <w:divId w:val="189034904"/>
              <w:rPr>
                <w:rFonts w:eastAsia="Times New Roman"/>
              </w:rPr>
            </w:pPr>
            <w:hyperlink w:anchor="i39de2a441966435e8a888354900c7540_70" w:history="1">
              <w:r>
                <w:rPr>
                  <w:rStyle w:val="a3"/>
                  <w:rFonts w:ascii="Arial" w:eastAsia="Times New Roman" w:hAnsi="Arial" w:cs="Arial"/>
                  <w:sz w:val="20"/>
                  <w:szCs w:val="20"/>
                </w:rPr>
                <w:t>Executive Compensation</w:t>
              </w:r>
            </w:hyperlink>
          </w:p>
        </w:tc>
        <w:tc>
          <w:tcPr>
            <w:tcW w:w="0" w:type="auto"/>
            <w:gridSpan w:val="3"/>
            <w:tcMar>
              <w:top w:w="30" w:type="dxa"/>
              <w:left w:w="20" w:type="dxa"/>
              <w:bottom w:w="30" w:type="dxa"/>
              <w:right w:w="20" w:type="dxa"/>
            </w:tcMar>
            <w:vAlign w:val="bottom"/>
            <w:hideMark/>
          </w:tcPr>
          <w:p w14:paraId="2127470A" w14:textId="77777777" w:rsidR="00000000" w:rsidRDefault="00C01C43">
            <w:pPr>
              <w:jc w:val="center"/>
              <w:rPr>
                <w:rFonts w:eastAsia="Times New Roman"/>
              </w:rPr>
            </w:pPr>
            <w:hyperlink w:anchor="i39de2a441966435e8a888354900c7540_70" w:history="1">
              <w:r>
                <w:rPr>
                  <w:rStyle w:val="a3"/>
                  <w:rFonts w:ascii="Arial" w:eastAsia="Times New Roman" w:hAnsi="Arial" w:cs="Arial"/>
                  <w:sz w:val="20"/>
                  <w:szCs w:val="20"/>
                  <w:u w:val="none"/>
                </w:rPr>
                <w:t>41</w:t>
              </w:r>
            </w:hyperlink>
          </w:p>
        </w:tc>
      </w:tr>
      <w:tr w:rsidR="00000000" w14:paraId="0D6814AB" w14:textId="77777777">
        <w:trPr>
          <w:divId w:val="1867668736"/>
        </w:trPr>
        <w:tc>
          <w:tcPr>
            <w:tcW w:w="0" w:type="auto"/>
            <w:gridSpan w:val="3"/>
            <w:tcMar>
              <w:top w:w="30" w:type="dxa"/>
              <w:left w:w="20" w:type="dxa"/>
              <w:bottom w:w="30" w:type="dxa"/>
              <w:right w:w="20" w:type="dxa"/>
            </w:tcMar>
            <w:hideMark/>
          </w:tcPr>
          <w:p w14:paraId="0C4F3B5D" w14:textId="77777777" w:rsidR="00000000" w:rsidRDefault="00C01C43">
            <w:pPr>
              <w:divId w:val="198786015"/>
              <w:rPr>
                <w:rFonts w:eastAsia="Times New Roman"/>
              </w:rPr>
            </w:pPr>
            <w:hyperlink w:anchor="i39de2a441966435e8a888354900c7540_73" w:history="1">
              <w:r>
                <w:rPr>
                  <w:rStyle w:val="a3"/>
                  <w:rFonts w:ascii="Arial" w:eastAsia="Times New Roman" w:hAnsi="Arial" w:cs="Arial"/>
                  <w:sz w:val="20"/>
                  <w:szCs w:val="20"/>
                </w:rPr>
                <w:t>Item 12.</w:t>
              </w:r>
            </w:hyperlink>
          </w:p>
        </w:tc>
        <w:tc>
          <w:tcPr>
            <w:tcW w:w="0" w:type="auto"/>
            <w:gridSpan w:val="3"/>
            <w:tcMar>
              <w:top w:w="30" w:type="dxa"/>
              <w:left w:w="20" w:type="dxa"/>
              <w:bottom w:w="30" w:type="dxa"/>
              <w:right w:w="20" w:type="dxa"/>
            </w:tcMar>
            <w:hideMark/>
          </w:tcPr>
          <w:p w14:paraId="56A510C3" w14:textId="77777777" w:rsidR="00000000" w:rsidRDefault="00C01C43">
            <w:pPr>
              <w:divId w:val="1675957277"/>
              <w:rPr>
                <w:rFonts w:eastAsia="Times New Roman"/>
              </w:rPr>
            </w:pPr>
            <w:hyperlink w:anchor="i39de2a441966435e8a888354900c7540_73" w:history="1">
              <w:r>
                <w:rPr>
                  <w:rStyle w:val="a3"/>
                  <w:rFonts w:ascii="Arial" w:eastAsia="Times New Roman" w:hAnsi="Arial" w:cs="Arial"/>
                  <w:sz w:val="20"/>
                  <w:szCs w:val="20"/>
                </w:rPr>
                <w:t>Security Ownership of Certain Beneficial Owners and Management and Related Shareholder Matters</w:t>
              </w:r>
            </w:hyperlink>
          </w:p>
        </w:tc>
        <w:tc>
          <w:tcPr>
            <w:tcW w:w="0" w:type="auto"/>
            <w:gridSpan w:val="3"/>
            <w:tcMar>
              <w:top w:w="30" w:type="dxa"/>
              <w:left w:w="20" w:type="dxa"/>
              <w:bottom w:w="30" w:type="dxa"/>
              <w:right w:w="20" w:type="dxa"/>
            </w:tcMar>
            <w:vAlign w:val="bottom"/>
            <w:hideMark/>
          </w:tcPr>
          <w:p w14:paraId="1580E89A" w14:textId="77777777" w:rsidR="00000000" w:rsidRDefault="00C01C43">
            <w:pPr>
              <w:jc w:val="center"/>
              <w:rPr>
                <w:rFonts w:eastAsia="Times New Roman"/>
              </w:rPr>
            </w:pPr>
            <w:hyperlink w:anchor="i39de2a441966435e8a888354900c7540_73" w:history="1">
              <w:r>
                <w:rPr>
                  <w:rStyle w:val="a3"/>
                  <w:rFonts w:ascii="Arial" w:eastAsia="Times New Roman" w:hAnsi="Arial" w:cs="Arial"/>
                  <w:sz w:val="20"/>
                  <w:szCs w:val="20"/>
                  <w:u w:val="none"/>
                </w:rPr>
                <w:t>41</w:t>
              </w:r>
            </w:hyperlink>
          </w:p>
        </w:tc>
      </w:tr>
      <w:tr w:rsidR="00000000" w14:paraId="03FB1DA6" w14:textId="77777777">
        <w:trPr>
          <w:divId w:val="1867668736"/>
        </w:trPr>
        <w:tc>
          <w:tcPr>
            <w:tcW w:w="0" w:type="auto"/>
            <w:gridSpan w:val="3"/>
            <w:tcMar>
              <w:top w:w="30" w:type="dxa"/>
              <w:left w:w="20" w:type="dxa"/>
              <w:bottom w:w="30" w:type="dxa"/>
              <w:right w:w="20" w:type="dxa"/>
            </w:tcMar>
            <w:vAlign w:val="bottom"/>
            <w:hideMark/>
          </w:tcPr>
          <w:p w14:paraId="6CEDAADA" w14:textId="77777777" w:rsidR="00000000" w:rsidRDefault="00C01C43">
            <w:pPr>
              <w:divId w:val="474689772"/>
              <w:rPr>
                <w:rFonts w:eastAsia="Times New Roman"/>
              </w:rPr>
            </w:pPr>
            <w:hyperlink w:anchor="i39de2a441966435e8a888354900c7540_76" w:history="1">
              <w:r>
                <w:rPr>
                  <w:rStyle w:val="a3"/>
                  <w:rFonts w:ascii="Arial" w:eastAsia="Times New Roman" w:hAnsi="Arial" w:cs="Arial"/>
                  <w:sz w:val="20"/>
                  <w:szCs w:val="20"/>
                </w:rPr>
                <w:t>Item 13.</w:t>
              </w:r>
            </w:hyperlink>
          </w:p>
        </w:tc>
        <w:tc>
          <w:tcPr>
            <w:tcW w:w="0" w:type="auto"/>
            <w:gridSpan w:val="3"/>
            <w:tcMar>
              <w:top w:w="30" w:type="dxa"/>
              <w:left w:w="20" w:type="dxa"/>
              <w:bottom w:w="30" w:type="dxa"/>
              <w:right w:w="20" w:type="dxa"/>
            </w:tcMar>
            <w:hideMark/>
          </w:tcPr>
          <w:p w14:paraId="74C05904" w14:textId="77777777" w:rsidR="00000000" w:rsidRDefault="00C01C43">
            <w:pPr>
              <w:divId w:val="1764059951"/>
              <w:rPr>
                <w:rFonts w:eastAsia="Times New Roman"/>
              </w:rPr>
            </w:pPr>
            <w:hyperlink w:anchor="i39de2a441966435e8a888354900c7540_76" w:history="1">
              <w:r>
                <w:rPr>
                  <w:rStyle w:val="a3"/>
                  <w:rFonts w:ascii="Arial" w:eastAsia="Times New Roman" w:hAnsi="Arial" w:cs="Arial"/>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14:paraId="1223D6FB" w14:textId="77777777" w:rsidR="00000000" w:rsidRDefault="00C01C43">
            <w:pPr>
              <w:jc w:val="center"/>
              <w:rPr>
                <w:rFonts w:eastAsia="Times New Roman"/>
              </w:rPr>
            </w:pPr>
            <w:hyperlink w:anchor="i39de2a441966435e8a888354900c7540_76" w:history="1">
              <w:r>
                <w:rPr>
                  <w:rStyle w:val="a3"/>
                  <w:rFonts w:ascii="Arial" w:eastAsia="Times New Roman" w:hAnsi="Arial" w:cs="Arial"/>
                  <w:sz w:val="20"/>
                  <w:szCs w:val="20"/>
                  <w:u w:val="none"/>
                </w:rPr>
                <w:t>41</w:t>
              </w:r>
            </w:hyperlink>
          </w:p>
        </w:tc>
      </w:tr>
      <w:tr w:rsidR="00000000" w14:paraId="12798779" w14:textId="77777777">
        <w:trPr>
          <w:divId w:val="1867668736"/>
        </w:trPr>
        <w:tc>
          <w:tcPr>
            <w:tcW w:w="0" w:type="auto"/>
            <w:gridSpan w:val="3"/>
            <w:tcMar>
              <w:top w:w="30" w:type="dxa"/>
              <w:left w:w="20" w:type="dxa"/>
              <w:bottom w:w="30" w:type="dxa"/>
              <w:right w:w="20" w:type="dxa"/>
            </w:tcMar>
            <w:vAlign w:val="bottom"/>
            <w:hideMark/>
          </w:tcPr>
          <w:p w14:paraId="53AD2133" w14:textId="77777777" w:rsidR="00000000" w:rsidRDefault="00C01C43">
            <w:pPr>
              <w:divId w:val="99181378"/>
              <w:rPr>
                <w:rFonts w:eastAsia="Times New Roman"/>
              </w:rPr>
            </w:pPr>
            <w:hyperlink w:anchor="i39de2a441966435e8a888354900c7540_79" w:history="1">
              <w:r>
                <w:rPr>
                  <w:rStyle w:val="a3"/>
                  <w:rFonts w:ascii="Arial" w:eastAsia="Times New Roman" w:hAnsi="Arial" w:cs="Arial"/>
                  <w:sz w:val="20"/>
                  <w:szCs w:val="20"/>
                </w:rPr>
                <w:t>Item 14.</w:t>
              </w:r>
            </w:hyperlink>
          </w:p>
        </w:tc>
        <w:tc>
          <w:tcPr>
            <w:tcW w:w="0" w:type="auto"/>
            <w:gridSpan w:val="3"/>
            <w:tcMar>
              <w:top w:w="30" w:type="dxa"/>
              <w:left w:w="20" w:type="dxa"/>
              <w:bottom w:w="30" w:type="dxa"/>
              <w:right w:w="20" w:type="dxa"/>
            </w:tcMar>
            <w:hideMark/>
          </w:tcPr>
          <w:p w14:paraId="33DF8EB3" w14:textId="77777777" w:rsidR="00000000" w:rsidRDefault="00C01C43">
            <w:pPr>
              <w:divId w:val="152914425"/>
              <w:rPr>
                <w:rFonts w:eastAsia="Times New Roman"/>
              </w:rPr>
            </w:pPr>
            <w:hyperlink w:anchor="i39de2a441966435e8a888354900c7540_79" w:history="1">
              <w:r>
                <w:rPr>
                  <w:rStyle w:val="a3"/>
                  <w:rFonts w:ascii="Arial" w:eastAsia="Times New Roman" w:hAnsi="Arial" w:cs="Arial"/>
                  <w:sz w:val="20"/>
                  <w:szCs w:val="20"/>
                </w:rPr>
                <w:t>Principal Accounting Fees and Services</w:t>
              </w:r>
            </w:hyperlink>
          </w:p>
        </w:tc>
        <w:tc>
          <w:tcPr>
            <w:tcW w:w="0" w:type="auto"/>
            <w:gridSpan w:val="3"/>
            <w:tcMar>
              <w:top w:w="30" w:type="dxa"/>
              <w:left w:w="20" w:type="dxa"/>
              <w:bottom w:w="30" w:type="dxa"/>
              <w:right w:w="20" w:type="dxa"/>
            </w:tcMar>
            <w:vAlign w:val="bottom"/>
            <w:hideMark/>
          </w:tcPr>
          <w:p w14:paraId="22723575" w14:textId="77777777" w:rsidR="00000000" w:rsidRDefault="00C01C43">
            <w:pPr>
              <w:jc w:val="center"/>
              <w:rPr>
                <w:rFonts w:eastAsia="Times New Roman"/>
              </w:rPr>
            </w:pPr>
            <w:hyperlink w:anchor="i39de2a441966435e8a888354900c7540_79" w:history="1">
              <w:r>
                <w:rPr>
                  <w:rStyle w:val="a3"/>
                  <w:rFonts w:ascii="Arial" w:eastAsia="Times New Roman" w:hAnsi="Arial" w:cs="Arial"/>
                  <w:sz w:val="20"/>
                  <w:szCs w:val="20"/>
                  <w:u w:val="none"/>
                </w:rPr>
                <w:t>41</w:t>
              </w:r>
            </w:hyperlink>
          </w:p>
        </w:tc>
      </w:tr>
      <w:tr w:rsidR="00000000" w14:paraId="5BA21C46" w14:textId="77777777">
        <w:trPr>
          <w:divId w:val="1867668736"/>
          <w:trHeight w:val="60"/>
        </w:trPr>
        <w:tc>
          <w:tcPr>
            <w:tcW w:w="0" w:type="auto"/>
            <w:gridSpan w:val="3"/>
            <w:tcMar>
              <w:top w:w="0" w:type="dxa"/>
              <w:left w:w="20" w:type="dxa"/>
              <w:bottom w:w="0" w:type="dxa"/>
              <w:right w:w="20" w:type="dxa"/>
            </w:tcMar>
            <w:vAlign w:val="center"/>
            <w:hideMark/>
          </w:tcPr>
          <w:p w14:paraId="5B4EE8C0"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7D43E5A3"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30CDA0E4" w14:textId="77777777" w:rsidR="00000000" w:rsidRDefault="00C01C43">
            <w:pPr>
              <w:rPr>
                <w:rFonts w:eastAsia="Times New Roman"/>
                <w:sz w:val="20"/>
                <w:szCs w:val="20"/>
              </w:rPr>
            </w:pPr>
          </w:p>
        </w:tc>
      </w:tr>
      <w:tr w:rsidR="00000000" w14:paraId="38F9B1EC" w14:textId="77777777">
        <w:trPr>
          <w:divId w:val="1867668736"/>
        </w:trPr>
        <w:tc>
          <w:tcPr>
            <w:tcW w:w="0" w:type="auto"/>
            <w:gridSpan w:val="3"/>
            <w:tcMar>
              <w:top w:w="30" w:type="dxa"/>
              <w:left w:w="20" w:type="dxa"/>
              <w:bottom w:w="30" w:type="dxa"/>
              <w:right w:w="20" w:type="dxa"/>
            </w:tcMar>
            <w:vAlign w:val="bottom"/>
            <w:hideMark/>
          </w:tcPr>
          <w:p w14:paraId="75239446" w14:textId="77777777" w:rsidR="00000000" w:rsidRDefault="00C01C43">
            <w:pPr>
              <w:divId w:val="1721855013"/>
              <w:rPr>
                <w:rFonts w:eastAsia="Times New Roman"/>
              </w:rPr>
            </w:pPr>
            <w:hyperlink w:anchor="i39de2a441966435e8a888354900c7540_82" w:history="1">
              <w:r>
                <w:rPr>
                  <w:rStyle w:val="a3"/>
                  <w:rFonts w:ascii="Arial" w:eastAsia="Times New Roman" w:hAnsi="Arial" w:cs="Arial"/>
                  <w:b/>
                  <w:bCs/>
                  <w:sz w:val="20"/>
                  <w:szCs w:val="20"/>
                </w:rPr>
                <w:t>PART IV.</w:t>
              </w:r>
            </w:hyperlink>
          </w:p>
        </w:tc>
        <w:tc>
          <w:tcPr>
            <w:tcW w:w="0" w:type="auto"/>
            <w:gridSpan w:val="3"/>
            <w:tcMar>
              <w:top w:w="0" w:type="dxa"/>
              <w:left w:w="20" w:type="dxa"/>
              <w:bottom w:w="0" w:type="dxa"/>
              <w:right w:w="20" w:type="dxa"/>
            </w:tcMar>
            <w:vAlign w:val="center"/>
            <w:hideMark/>
          </w:tcPr>
          <w:p w14:paraId="70FC4261"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188B744F" w14:textId="77777777" w:rsidR="00000000" w:rsidRDefault="00C01C43">
            <w:pPr>
              <w:rPr>
                <w:rFonts w:eastAsia="Times New Roman"/>
                <w:sz w:val="20"/>
                <w:szCs w:val="20"/>
              </w:rPr>
            </w:pPr>
          </w:p>
        </w:tc>
      </w:tr>
      <w:tr w:rsidR="00000000" w14:paraId="78C9ACE2" w14:textId="77777777">
        <w:trPr>
          <w:divId w:val="1867668736"/>
        </w:trPr>
        <w:tc>
          <w:tcPr>
            <w:tcW w:w="0" w:type="auto"/>
            <w:gridSpan w:val="3"/>
            <w:tcMar>
              <w:top w:w="30" w:type="dxa"/>
              <w:left w:w="20" w:type="dxa"/>
              <w:bottom w:w="30" w:type="dxa"/>
              <w:right w:w="20" w:type="dxa"/>
            </w:tcMar>
            <w:vAlign w:val="bottom"/>
            <w:hideMark/>
          </w:tcPr>
          <w:p w14:paraId="5E2B7F8D" w14:textId="77777777" w:rsidR="00000000" w:rsidRDefault="00C01C43">
            <w:pPr>
              <w:divId w:val="1635060091"/>
              <w:rPr>
                <w:rFonts w:eastAsia="Times New Roman"/>
              </w:rPr>
            </w:pPr>
            <w:hyperlink w:anchor="i39de2a441966435e8a888354900c7540_85" w:history="1">
              <w:r>
                <w:rPr>
                  <w:rStyle w:val="a3"/>
                  <w:rFonts w:ascii="Arial" w:eastAsia="Times New Roman" w:hAnsi="Arial" w:cs="Arial"/>
                  <w:sz w:val="20"/>
                  <w:szCs w:val="20"/>
                </w:rPr>
                <w:t>Item 15.</w:t>
              </w:r>
            </w:hyperlink>
          </w:p>
        </w:tc>
        <w:tc>
          <w:tcPr>
            <w:tcW w:w="0" w:type="auto"/>
            <w:gridSpan w:val="3"/>
            <w:tcMar>
              <w:top w:w="30" w:type="dxa"/>
              <w:left w:w="20" w:type="dxa"/>
              <w:bottom w:w="30" w:type="dxa"/>
              <w:right w:w="20" w:type="dxa"/>
            </w:tcMar>
            <w:hideMark/>
          </w:tcPr>
          <w:p w14:paraId="45C935BD" w14:textId="77777777" w:rsidR="00000000" w:rsidRDefault="00C01C43">
            <w:pPr>
              <w:divId w:val="1183131272"/>
              <w:rPr>
                <w:rFonts w:eastAsia="Times New Roman"/>
              </w:rPr>
            </w:pPr>
            <w:hyperlink w:anchor="i39de2a441966435e8a888354900c7540_85" w:history="1">
              <w:r>
                <w:rPr>
                  <w:rStyle w:val="a3"/>
                  <w:rFonts w:ascii="Arial" w:eastAsia="Times New Roman" w:hAnsi="Arial" w:cs="Arial"/>
                  <w:sz w:val="20"/>
                  <w:szCs w:val="20"/>
                </w:rPr>
                <w:t>Exhibits, Financial Statement Schedules</w:t>
              </w:r>
            </w:hyperlink>
          </w:p>
        </w:tc>
        <w:tc>
          <w:tcPr>
            <w:tcW w:w="0" w:type="auto"/>
            <w:gridSpan w:val="3"/>
            <w:tcMar>
              <w:top w:w="30" w:type="dxa"/>
              <w:left w:w="20" w:type="dxa"/>
              <w:bottom w:w="30" w:type="dxa"/>
              <w:right w:w="20" w:type="dxa"/>
            </w:tcMar>
            <w:vAlign w:val="bottom"/>
            <w:hideMark/>
          </w:tcPr>
          <w:p w14:paraId="531F749E" w14:textId="77777777" w:rsidR="00000000" w:rsidRDefault="00C01C43">
            <w:pPr>
              <w:jc w:val="center"/>
              <w:rPr>
                <w:rFonts w:eastAsia="Times New Roman"/>
              </w:rPr>
            </w:pPr>
            <w:hyperlink w:anchor="i39de2a441966435e8a888354900c7540_85" w:history="1">
              <w:r>
                <w:rPr>
                  <w:rStyle w:val="a3"/>
                  <w:rFonts w:ascii="Arial" w:eastAsia="Times New Roman" w:hAnsi="Arial" w:cs="Arial"/>
                  <w:sz w:val="20"/>
                  <w:szCs w:val="20"/>
                  <w:u w:val="none"/>
                </w:rPr>
                <w:t>42</w:t>
              </w:r>
            </w:hyperlink>
          </w:p>
        </w:tc>
      </w:tr>
      <w:tr w:rsidR="00000000" w14:paraId="30D40890" w14:textId="77777777">
        <w:trPr>
          <w:divId w:val="1867668736"/>
        </w:trPr>
        <w:tc>
          <w:tcPr>
            <w:tcW w:w="0" w:type="auto"/>
            <w:gridSpan w:val="3"/>
            <w:tcMar>
              <w:top w:w="30" w:type="dxa"/>
              <w:left w:w="20" w:type="dxa"/>
              <w:bottom w:w="30" w:type="dxa"/>
              <w:right w:w="20" w:type="dxa"/>
            </w:tcMar>
            <w:vAlign w:val="bottom"/>
            <w:hideMark/>
          </w:tcPr>
          <w:p w14:paraId="6BFA51FC" w14:textId="77777777" w:rsidR="00000000" w:rsidRDefault="00C01C43">
            <w:pPr>
              <w:divId w:val="852769367"/>
              <w:rPr>
                <w:rFonts w:eastAsia="Times New Roman"/>
              </w:rPr>
            </w:pPr>
            <w:hyperlink w:anchor="i39de2a441966435e8a888354900c7540_187" w:history="1">
              <w:r>
                <w:rPr>
                  <w:rStyle w:val="a3"/>
                  <w:rFonts w:ascii="Arial" w:eastAsia="Times New Roman" w:hAnsi="Arial" w:cs="Arial"/>
                  <w:sz w:val="20"/>
                  <w:szCs w:val="20"/>
                </w:rPr>
                <w:t>Item 16.</w:t>
              </w:r>
            </w:hyperlink>
          </w:p>
        </w:tc>
        <w:tc>
          <w:tcPr>
            <w:tcW w:w="0" w:type="auto"/>
            <w:gridSpan w:val="3"/>
            <w:tcMar>
              <w:top w:w="30" w:type="dxa"/>
              <w:left w:w="20" w:type="dxa"/>
              <w:bottom w:w="30" w:type="dxa"/>
              <w:right w:w="20" w:type="dxa"/>
            </w:tcMar>
            <w:hideMark/>
          </w:tcPr>
          <w:p w14:paraId="7D28225C" w14:textId="77777777" w:rsidR="00000000" w:rsidRDefault="00C01C43">
            <w:pPr>
              <w:divId w:val="827942093"/>
              <w:rPr>
                <w:rFonts w:eastAsia="Times New Roman"/>
              </w:rPr>
            </w:pPr>
            <w:hyperlink w:anchor="i39de2a441966435e8a888354900c7540_187" w:history="1">
              <w:r>
                <w:rPr>
                  <w:rStyle w:val="a3"/>
                  <w:rFonts w:ascii="Arial" w:eastAsia="Times New Roman" w:hAnsi="Arial" w:cs="Arial"/>
                  <w:sz w:val="20"/>
                  <w:szCs w:val="20"/>
                </w:rPr>
                <w:t>Form 10-K Summary</w:t>
              </w:r>
            </w:hyperlink>
          </w:p>
        </w:tc>
        <w:tc>
          <w:tcPr>
            <w:tcW w:w="0" w:type="auto"/>
            <w:gridSpan w:val="3"/>
            <w:tcMar>
              <w:top w:w="30" w:type="dxa"/>
              <w:left w:w="20" w:type="dxa"/>
              <w:bottom w:w="30" w:type="dxa"/>
              <w:right w:w="20" w:type="dxa"/>
            </w:tcMar>
            <w:vAlign w:val="bottom"/>
            <w:hideMark/>
          </w:tcPr>
          <w:p w14:paraId="07BB2055" w14:textId="77777777" w:rsidR="00000000" w:rsidRDefault="00C01C43">
            <w:pPr>
              <w:jc w:val="center"/>
              <w:rPr>
                <w:rFonts w:eastAsia="Times New Roman"/>
              </w:rPr>
            </w:pPr>
            <w:hyperlink w:anchor="i39de2a441966435e8a888354900c7540_187" w:history="1">
              <w:r>
                <w:rPr>
                  <w:rStyle w:val="a3"/>
                  <w:rFonts w:ascii="Arial" w:eastAsia="Times New Roman" w:hAnsi="Arial" w:cs="Arial"/>
                  <w:sz w:val="20"/>
                  <w:szCs w:val="20"/>
                  <w:u w:val="none"/>
                </w:rPr>
                <w:t>92</w:t>
              </w:r>
            </w:hyperlink>
          </w:p>
        </w:tc>
      </w:tr>
      <w:tr w:rsidR="00000000" w14:paraId="5F92C79D" w14:textId="77777777">
        <w:trPr>
          <w:divId w:val="1867668736"/>
          <w:trHeight w:val="60"/>
        </w:trPr>
        <w:tc>
          <w:tcPr>
            <w:tcW w:w="0" w:type="auto"/>
            <w:gridSpan w:val="3"/>
            <w:tcMar>
              <w:top w:w="0" w:type="dxa"/>
              <w:left w:w="20" w:type="dxa"/>
              <w:bottom w:w="0" w:type="dxa"/>
              <w:right w:w="20" w:type="dxa"/>
            </w:tcMar>
            <w:vAlign w:val="center"/>
            <w:hideMark/>
          </w:tcPr>
          <w:p w14:paraId="5159522E"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6AB28EB1"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5F19104A" w14:textId="77777777" w:rsidR="00000000" w:rsidRDefault="00C01C43">
            <w:pPr>
              <w:rPr>
                <w:rFonts w:eastAsia="Times New Roman"/>
                <w:sz w:val="20"/>
                <w:szCs w:val="20"/>
              </w:rPr>
            </w:pPr>
          </w:p>
        </w:tc>
      </w:tr>
      <w:tr w:rsidR="00000000" w14:paraId="0E8359DF" w14:textId="77777777">
        <w:trPr>
          <w:divId w:val="1867668736"/>
        </w:trPr>
        <w:tc>
          <w:tcPr>
            <w:tcW w:w="0" w:type="auto"/>
            <w:gridSpan w:val="6"/>
            <w:tcMar>
              <w:top w:w="30" w:type="dxa"/>
              <w:left w:w="20" w:type="dxa"/>
              <w:bottom w:w="30" w:type="dxa"/>
              <w:right w:w="20" w:type="dxa"/>
            </w:tcMar>
            <w:vAlign w:val="bottom"/>
            <w:hideMark/>
          </w:tcPr>
          <w:p w14:paraId="1D00BEFC" w14:textId="77777777" w:rsidR="00000000" w:rsidRDefault="00C01C43">
            <w:pPr>
              <w:divId w:val="751242820"/>
              <w:rPr>
                <w:rFonts w:eastAsia="Times New Roman"/>
              </w:rPr>
            </w:pPr>
            <w:hyperlink w:anchor="i39de2a441966435e8a888354900c7540_190" w:history="1">
              <w:r>
                <w:rPr>
                  <w:rStyle w:val="a3"/>
                  <w:rFonts w:ascii="Arial" w:eastAsia="Times New Roman" w:hAnsi="Arial" w:cs="Arial"/>
                  <w:b/>
                  <w:bCs/>
                  <w:sz w:val="20"/>
                  <w:szCs w:val="20"/>
                </w:rPr>
                <w:t>SIGNATURES</w:t>
              </w:r>
            </w:hyperlink>
          </w:p>
        </w:tc>
        <w:tc>
          <w:tcPr>
            <w:tcW w:w="0" w:type="auto"/>
            <w:gridSpan w:val="3"/>
            <w:tcMar>
              <w:top w:w="0" w:type="dxa"/>
              <w:left w:w="20" w:type="dxa"/>
              <w:bottom w:w="0" w:type="dxa"/>
              <w:right w:w="20" w:type="dxa"/>
            </w:tcMar>
            <w:vAlign w:val="center"/>
            <w:hideMark/>
          </w:tcPr>
          <w:p w14:paraId="40AB8112" w14:textId="77777777" w:rsidR="00000000" w:rsidRDefault="00C01C43">
            <w:pPr>
              <w:rPr>
                <w:rFonts w:eastAsia="Times New Roman"/>
              </w:rPr>
            </w:pPr>
          </w:p>
        </w:tc>
      </w:tr>
    </w:tbl>
    <w:p w14:paraId="601B7AAE" w14:textId="77777777" w:rsidR="00000000" w:rsidRDefault="00C01C43">
      <w:pPr>
        <w:divId w:val="2073460593"/>
        <w:rPr>
          <w:rFonts w:eastAsia="Times New Roman"/>
        </w:rPr>
      </w:pPr>
    </w:p>
    <w:p w14:paraId="193E47AB" w14:textId="77777777" w:rsidR="00000000" w:rsidRDefault="00C01C43">
      <w:pPr>
        <w:rPr>
          <w:rFonts w:eastAsia="Times New Roman"/>
        </w:rPr>
      </w:pPr>
      <w:r>
        <w:rPr>
          <w:rFonts w:eastAsia="Times New Roman"/>
        </w:rPr>
        <w:pict w14:anchorId="1EEF88B2">
          <v:rect id="_x0000_i1028" style="width:0;height:1.5pt" o:hralign="center" o:hrstd="t" o:hr="t" fillcolor="#a0a0a0" stroked="f"/>
        </w:pict>
      </w:r>
    </w:p>
    <w:p w14:paraId="05503887" w14:textId="77777777" w:rsidR="00000000" w:rsidRDefault="00C01C43">
      <w:pPr>
        <w:divId w:val="309798398"/>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1953881" w14:textId="77777777" w:rsidR="00000000" w:rsidRDefault="00C01C43">
      <w:pPr>
        <w:jc w:val="both"/>
        <w:divId w:val="178661449"/>
        <w:rPr>
          <w:rFonts w:eastAsia="Times New Roman"/>
        </w:rPr>
      </w:pPr>
      <w:r>
        <w:rPr>
          <w:rFonts w:ascii="Arial" w:eastAsia="Times New Roman" w:hAnsi="Arial" w:cs="Arial"/>
          <w:b/>
          <w:bCs/>
          <w:color w:val="000000"/>
        </w:rPr>
        <w:t>PART I</w:t>
      </w:r>
    </w:p>
    <w:p w14:paraId="04A5A62D" w14:textId="77777777" w:rsidR="00000000" w:rsidRDefault="00C01C43">
      <w:pPr>
        <w:jc w:val="both"/>
        <w:divId w:val="27069433"/>
        <w:rPr>
          <w:rFonts w:eastAsia="Times New Roman"/>
        </w:rPr>
      </w:pPr>
      <w:r>
        <w:rPr>
          <w:rFonts w:ascii="Arial" w:eastAsia="Times New Roman" w:hAnsi="Arial" w:cs="Arial"/>
          <w:b/>
          <w:bCs/>
          <w:color w:val="000000"/>
        </w:rPr>
        <w:t>Item 1. Business</w:t>
      </w:r>
    </w:p>
    <w:p w14:paraId="61E4C2D2" w14:textId="77777777" w:rsidR="00000000" w:rsidRDefault="00C01C43">
      <w:pPr>
        <w:jc w:val="both"/>
        <w:rPr>
          <w:rFonts w:eastAsia="Times New Roman"/>
        </w:rPr>
      </w:pPr>
      <w:r>
        <w:rPr>
          <w:rFonts w:ascii="Arial" w:eastAsia="Times New Roman" w:hAnsi="Arial" w:cs="Arial"/>
          <w:b/>
          <w:bCs/>
          <w:color w:val="000000"/>
          <w:sz w:val="20"/>
          <w:szCs w:val="20"/>
        </w:rPr>
        <w:t>Overview</w:t>
      </w:r>
    </w:p>
    <w:p w14:paraId="2012CE27" w14:textId="77777777" w:rsidR="00000000" w:rsidRDefault="00C01C43">
      <w:pPr>
        <w:jc w:val="both"/>
        <w:divId w:val="1341926983"/>
        <w:rPr>
          <w:rFonts w:eastAsia="Times New Roman"/>
        </w:rPr>
      </w:pPr>
      <w:r>
        <w:rPr>
          <w:rFonts w:ascii="Arial" w:eastAsia="Times New Roman" w:hAnsi="Arial" w:cs="Arial"/>
          <w:color w:val="000000"/>
          <w:sz w:val="20"/>
          <w:szCs w:val="20"/>
        </w:rPr>
        <w:t>World Fuel Services Corporation (the “Company”) was incorporated in Florida in July 1984 and along with its con</w:t>
      </w:r>
      <w:r>
        <w:rPr>
          <w:rFonts w:ascii="Arial" w:eastAsia="Times New Roman" w:hAnsi="Arial" w:cs="Arial"/>
          <w:color w:val="000000"/>
          <w:sz w:val="20"/>
          <w:szCs w:val="20"/>
        </w:rPr>
        <w:t>solidated subsidiaries is referred to collectively in this Annual Report on Form 10-K (“2020 10-K Report”) as “World Fuel,” “we,” “our” and “us.”</w:t>
      </w:r>
    </w:p>
    <w:p w14:paraId="0C7B7C2C" w14:textId="77777777" w:rsidR="00000000" w:rsidRDefault="00C01C43">
      <w:pPr>
        <w:jc w:val="both"/>
        <w:divId w:val="1638951187"/>
        <w:rPr>
          <w:rFonts w:eastAsia="Times New Roman"/>
        </w:rPr>
      </w:pPr>
      <w:r>
        <w:rPr>
          <w:rFonts w:ascii="Arial" w:eastAsia="Times New Roman" w:hAnsi="Arial" w:cs="Arial"/>
          <w:color w:val="000000"/>
          <w:sz w:val="20"/>
          <w:szCs w:val="20"/>
        </w:rPr>
        <w:t>We are a leading global fuel services company, principally engaged in the distribution of fuel and related pro</w:t>
      </w:r>
      <w:r>
        <w:rPr>
          <w:rFonts w:ascii="Arial" w:eastAsia="Times New Roman" w:hAnsi="Arial" w:cs="Arial"/>
          <w:color w:val="000000"/>
          <w:sz w:val="20"/>
          <w:szCs w:val="20"/>
        </w:rPr>
        <w:t>ducts and services in the aviation, land and marine transportation industries. In recent years, we have expanded our land product and service offerings to include energy advisory services and supply fulfillment for natural gas and power to commercial, indu</w:t>
      </w:r>
      <w:r>
        <w:rPr>
          <w:rFonts w:ascii="Arial" w:eastAsia="Times New Roman" w:hAnsi="Arial" w:cs="Arial"/>
          <w:color w:val="000000"/>
          <w:sz w:val="20"/>
          <w:szCs w:val="20"/>
        </w:rPr>
        <w:t>strial and government customers. Our intention is to become a leading global energy management company offering a full suite of energy advisory, management and fulfillment services, technology solutions, payment management solutions, as well as sustainabil</w:t>
      </w:r>
      <w:r>
        <w:rPr>
          <w:rFonts w:ascii="Arial" w:eastAsia="Times New Roman" w:hAnsi="Arial" w:cs="Arial"/>
          <w:color w:val="000000"/>
          <w:sz w:val="20"/>
          <w:szCs w:val="20"/>
        </w:rPr>
        <w:t>ity products and services across the energy product spectrum. We will continue to focus on enhancing the portfolio of products and services we provide based on changes in customer demand, including sustainability offerings and renewable energy solutions.</w:t>
      </w:r>
    </w:p>
    <w:p w14:paraId="78575AD4" w14:textId="77777777" w:rsidR="00000000" w:rsidRDefault="00C01C43">
      <w:pPr>
        <w:jc w:val="both"/>
        <w:divId w:val="779299604"/>
        <w:rPr>
          <w:rFonts w:eastAsia="Times New Roman"/>
        </w:rPr>
      </w:pPr>
      <w:r>
        <w:rPr>
          <w:rFonts w:ascii="Arial" w:eastAsia="Times New Roman" w:hAnsi="Arial" w:cs="Arial"/>
          <w:color w:val="000000"/>
          <w:sz w:val="20"/>
          <w:szCs w:val="20"/>
        </w:rPr>
        <w:t>W</w:t>
      </w:r>
      <w:r>
        <w:rPr>
          <w:rFonts w:ascii="Arial" w:eastAsia="Times New Roman" w:hAnsi="Arial" w:cs="Arial"/>
          <w:color w:val="000000"/>
          <w:sz w:val="20"/>
          <w:szCs w:val="20"/>
        </w:rPr>
        <w:t>e conduct our operations through numerous locations both within the United States ("U.S.") and throughout various foreign jurisdictions. Our principal executive office is located at 9800 Northwest 4</w:t>
      </w:r>
      <w:r>
        <w:rPr>
          <w:rFonts w:ascii="Arial" w:eastAsia="Times New Roman" w:hAnsi="Arial" w:cs="Arial"/>
          <w:color w:val="000000"/>
          <w:sz w:val="20"/>
          <w:szCs w:val="20"/>
        </w:rPr>
        <w:t>1</w:t>
      </w:r>
      <w:r>
        <w:rPr>
          <w:rFonts w:ascii="Arial" w:eastAsia="Times New Roman" w:hAnsi="Arial" w:cs="Arial"/>
          <w:color w:val="000000"/>
          <w:sz w:val="13"/>
          <w:szCs w:val="13"/>
        </w:rPr>
        <w:t>s</w:t>
      </w:r>
      <w:r>
        <w:rPr>
          <w:rFonts w:ascii="Arial" w:eastAsia="Times New Roman" w:hAnsi="Arial" w:cs="Arial"/>
          <w:color w:val="000000"/>
          <w:sz w:val="13"/>
          <w:szCs w:val="13"/>
        </w:rPr>
        <w:t>t</w:t>
      </w:r>
      <w:r>
        <w:rPr>
          <w:rFonts w:ascii="Arial" w:eastAsia="Times New Roman" w:hAnsi="Arial" w:cs="Arial"/>
          <w:color w:val="000000"/>
          <w:sz w:val="20"/>
          <w:szCs w:val="20"/>
        </w:rPr>
        <w:t xml:space="preserve"> Street, Miami, Florida 33178 and our telephone number </w:t>
      </w:r>
      <w:r>
        <w:rPr>
          <w:rFonts w:ascii="Arial" w:eastAsia="Times New Roman" w:hAnsi="Arial" w:cs="Arial"/>
          <w:color w:val="000000"/>
          <w:sz w:val="20"/>
          <w:szCs w:val="20"/>
        </w:rPr>
        <w:t>at this address is 305</w:t>
      </w:r>
      <w:r>
        <w:rPr>
          <w:rFonts w:ascii="Arial" w:eastAsia="Times New Roman" w:hAnsi="Arial" w:cs="Arial"/>
          <w:color w:val="000000"/>
          <w:sz w:val="20"/>
          <w:szCs w:val="20"/>
        </w:rPr>
        <w:noBreakHyphen/>
        <w:t>428</w:t>
      </w:r>
      <w:r>
        <w:rPr>
          <w:rFonts w:ascii="Arial" w:eastAsia="Times New Roman" w:hAnsi="Arial" w:cs="Arial"/>
          <w:color w:val="000000"/>
          <w:sz w:val="20"/>
          <w:szCs w:val="20"/>
        </w:rPr>
        <w:noBreakHyphen/>
        <w:t>8000. Our internet address is https://www.wfscorp.com and the investor relations section of our website is located at https://ir.wfscorp.com. We make available free of charge, on or through the investor relations section of our w</w:t>
      </w:r>
      <w:r>
        <w:rPr>
          <w:rFonts w:ascii="Arial" w:eastAsia="Times New Roman" w:hAnsi="Arial" w:cs="Arial"/>
          <w:color w:val="000000"/>
          <w:sz w:val="20"/>
          <w:szCs w:val="20"/>
        </w:rPr>
        <w:t xml:space="preserve">ebsite, our Annual Reports on Form 10-K, Quarterly Reports on Form 10-Q, Current Reports on Form 8-K, Proxy Statements and amendments to those reports filed or furnished pursuant to Section 13(a) or 15(d) of the Securities Exchange Act of 1934, as amended </w:t>
      </w:r>
      <w:r>
        <w:rPr>
          <w:rFonts w:ascii="Arial" w:eastAsia="Times New Roman" w:hAnsi="Arial" w:cs="Arial"/>
          <w:color w:val="000000"/>
          <w:sz w:val="20"/>
          <w:szCs w:val="20"/>
        </w:rPr>
        <w:t>(the “Exchange Act”) with the Securities and Exchange Commission (“SEC”) as soon as reasonably practicable after such material is electronically filed with, or furnished to, the SEC. Also posted on our website are our Code of Conduct (“Code of Conduct”), B</w:t>
      </w:r>
      <w:r>
        <w:rPr>
          <w:rFonts w:ascii="Arial" w:eastAsia="Times New Roman" w:hAnsi="Arial" w:cs="Arial"/>
          <w:color w:val="000000"/>
          <w:sz w:val="20"/>
          <w:szCs w:val="20"/>
        </w:rPr>
        <w:t>oard of Directors’ committee charters and Corporate Governance Principles. Our internet website and information contained on our internet website are not part of this 2020 10-K Report and are not incorporated by reference in this 2020 10-K Report.</w:t>
      </w:r>
    </w:p>
    <w:p w14:paraId="4A4475B8" w14:textId="77777777" w:rsidR="00000000" w:rsidRDefault="00C01C43">
      <w:pPr>
        <w:jc w:val="both"/>
        <w:rPr>
          <w:rFonts w:eastAsia="Times New Roman"/>
        </w:rPr>
      </w:pPr>
      <w:r>
        <w:rPr>
          <w:rFonts w:ascii="Arial" w:eastAsia="Times New Roman" w:hAnsi="Arial" w:cs="Arial"/>
          <w:b/>
          <w:bCs/>
          <w:color w:val="000000"/>
          <w:sz w:val="20"/>
          <w:szCs w:val="20"/>
        </w:rPr>
        <w:t>Segments</w:t>
      </w:r>
    </w:p>
    <w:p w14:paraId="3F64F3AD" w14:textId="77777777" w:rsidR="00000000" w:rsidRDefault="00C01C43">
      <w:pPr>
        <w:jc w:val="both"/>
        <w:divId w:val="784423214"/>
        <w:rPr>
          <w:rFonts w:eastAsia="Times New Roman"/>
        </w:rPr>
      </w:pPr>
      <w:r>
        <w:rPr>
          <w:rFonts w:ascii="Arial" w:eastAsia="Times New Roman" w:hAnsi="Arial" w:cs="Arial"/>
          <w:color w:val="000000"/>
          <w:sz w:val="20"/>
          <w:szCs w:val="20"/>
        </w:rPr>
        <w:lastRenderedPageBreak/>
        <w:t>We operate in three reportable segments consisting of aviation, land and marine. During each of the years presented on the Consolidated Statements of Income and Comprehensive Income, none of our aviation, land or marine customers accounted for more than 1</w:t>
      </w:r>
      <w:r>
        <w:rPr>
          <w:rFonts w:ascii="Arial" w:eastAsia="Times New Roman" w:hAnsi="Arial" w:cs="Arial"/>
          <w:color w:val="000000"/>
          <w:sz w:val="20"/>
          <w:szCs w:val="20"/>
        </w:rPr>
        <w:t>0% of any segment or total consolidated revenue. Financial information with respect to our business segments and the geographic areas of our business is provided below and within "Note 13. Business Segments, Geographic Information and Major Customers" with</w:t>
      </w:r>
      <w:r>
        <w:rPr>
          <w:rFonts w:ascii="Arial" w:eastAsia="Times New Roman" w:hAnsi="Arial" w:cs="Arial"/>
          <w:color w:val="000000"/>
          <w:sz w:val="20"/>
          <w:szCs w:val="20"/>
        </w:rPr>
        <w:t>in "Part IV. Item 15. Notes to the Consolidated Financial Statements" included in this 2020 10-K Report.</w:t>
      </w:r>
    </w:p>
    <w:p w14:paraId="1EE519E7" w14:textId="77777777" w:rsidR="00000000" w:rsidRDefault="00C01C43">
      <w:pPr>
        <w:jc w:val="both"/>
        <w:rPr>
          <w:rFonts w:eastAsia="Times New Roman"/>
        </w:rPr>
      </w:pPr>
      <w:r>
        <w:rPr>
          <w:rFonts w:ascii="Arial" w:eastAsia="Times New Roman" w:hAnsi="Arial" w:cs="Arial"/>
          <w:b/>
          <w:bCs/>
          <w:color w:val="000000"/>
          <w:sz w:val="20"/>
          <w:szCs w:val="20"/>
        </w:rPr>
        <w:t>Aviation Segment</w:t>
      </w:r>
    </w:p>
    <w:p w14:paraId="561F7587" w14:textId="77777777" w:rsidR="00000000" w:rsidRDefault="00C01C43">
      <w:pPr>
        <w:jc w:val="both"/>
        <w:rPr>
          <w:rFonts w:eastAsia="Times New Roman"/>
        </w:rPr>
      </w:pPr>
      <w:r>
        <w:rPr>
          <w:rFonts w:ascii="Arial" w:eastAsia="Times New Roman" w:hAnsi="Arial" w:cs="Arial"/>
          <w:color w:val="000000"/>
          <w:sz w:val="20"/>
          <w:szCs w:val="20"/>
        </w:rPr>
        <w:t>We provide global aviation fuel supply and comprehensive service solutions to major commercial airlines, second and third-tier airline</w:t>
      </w:r>
      <w:r>
        <w:rPr>
          <w:rFonts w:ascii="Arial" w:eastAsia="Times New Roman" w:hAnsi="Arial" w:cs="Arial"/>
          <w:color w:val="000000"/>
          <w:sz w:val="20"/>
          <w:szCs w:val="20"/>
        </w:rPr>
        <w:t>s, cargo carriers, regional and low-cost carriers, airports, fixed-based operators, corporate fleets, fractional operators and private aircraft. Our aviation-related service offerings include fuel management, price risk management, ground handling, 24/7 gl</w:t>
      </w:r>
      <w:r>
        <w:rPr>
          <w:rFonts w:ascii="Arial" w:eastAsia="Times New Roman" w:hAnsi="Arial" w:cs="Arial"/>
          <w:color w:val="000000"/>
          <w:sz w:val="20"/>
          <w:szCs w:val="20"/>
        </w:rPr>
        <w:t xml:space="preserve">obal dispatch services, and international trip planning services, including flight plans, weather reports and overflight permits. We also supply products and services to U.S. and foreign government and military customers, such as the North Atlantic Treaty </w:t>
      </w:r>
      <w:r>
        <w:rPr>
          <w:rFonts w:ascii="Arial" w:eastAsia="Times New Roman" w:hAnsi="Arial" w:cs="Arial"/>
          <w:color w:val="000000"/>
          <w:sz w:val="20"/>
          <w:szCs w:val="20"/>
        </w:rPr>
        <w:t>Organization ("NATO") and the U.S. Defense Logistics Agency (collectively, "government customers"). In addition, we offer card payment solutions and related processing services and technology, and we have developed and operate a web-based marketplace platf</w:t>
      </w:r>
      <w:r>
        <w:rPr>
          <w:rFonts w:ascii="Arial" w:eastAsia="Times New Roman" w:hAnsi="Arial" w:cs="Arial"/>
          <w:color w:val="000000"/>
          <w:sz w:val="20"/>
          <w:szCs w:val="20"/>
        </w:rPr>
        <w:t>orm that facilitates aircraft charter arrangements.</w:t>
      </w:r>
    </w:p>
    <w:p w14:paraId="0FECA83E" w14:textId="77777777" w:rsidR="00000000" w:rsidRDefault="00C01C43">
      <w:pPr>
        <w:jc w:val="both"/>
        <w:divId w:val="1305358279"/>
        <w:rPr>
          <w:rFonts w:eastAsia="Times New Roman"/>
        </w:rPr>
      </w:pPr>
      <w:r>
        <w:rPr>
          <w:rFonts w:ascii="Arial" w:eastAsia="Times New Roman" w:hAnsi="Arial" w:cs="Arial"/>
          <w:color w:val="000000"/>
          <w:sz w:val="20"/>
          <w:szCs w:val="20"/>
        </w:rPr>
        <w:t>Because fuel is a major component of an aircraft’s operating costs, our customers require cost-effective and professional fuel services. We have developed an extensive network consisting of on-airport fue</w:t>
      </w:r>
      <w:r>
        <w:rPr>
          <w:rFonts w:ascii="Arial" w:eastAsia="Times New Roman" w:hAnsi="Arial" w:cs="Arial"/>
          <w:color w:val="000000"/>
          <w:sz w:val="20"/>
          <w:szCs w:val="20"/>
        </w:rPr>
        <w:t>ling operations and third-party suppliers and service providers that enable us to provide aviation fuel and related services throughout the world. We believe the breadth of our service offering combined with our global supplier network is a strategic diffe</w:t>
      </w:r>
      <w:r>
        <w:rPr>
          <w:rFonts w:ascii="Arial" w:eastAsia="Times New Roman" w:hAnsi="Arial" w:cs="Arial"/>
          <w:color w:val="000000"/>
          <w:sz w:val="20"/>
          <w:szCs w:val="20"/>
        </w:rPr>
        <w:t>rentiator that allows customers to secure fuel and high-quality services in locations worldwide on short notice.</w:t>
      </w:r>
    </w:p>
    <w:p w14:paraId="04FF1118" w14:textId="77777777" w:rsidR="00000000" w:rsidRDefault="00C01C43">
      <w:pPr>
        <w:jc w:val="both"/>
        <w:divId w:val="3241203"/>
        <w:rPr>
          <w:rFonts w:eastAsia="Times New Roman"/>
        </w:rPr>
      </w:pPr>
      <w:r>
        <w:rPr>
          <w:rFonts w:ascii="Arial" w:eastAsia="Times New Roman" w:hAnsi="Arial" w:cs="Arial"/>
          <w:color w:val="000000"/>
          <w:sz w:val="20"/>
          <w:szCs w:val="20"/>
        </w:rPr>
        <w:t xml:space="preserve">We purchase our aviation fuel from suppliers worldwide. Fuel may be delivered into our customers’ aircraft or to a designated storage facility </w:t>
      </w:r>
      <w:r>
        <w:rPr>
          <w:rFonts w:ascii="Arial" w:eastAsia="Times New Roman" w:hAnsi="Arial" w:cs="Arial"/>
          <w:color w:val="000000"/>
          <w:sz w:val="20"/>
          <w:szCs w:val="20"/>
        </w:rPr>
        <w:t>located at one of our locations or our suppliers’ locations pursuant to arrangements with them. Inventory is purchased at airport locations or shipped via pipelines and held at multiple locations for strategic reasons. We engage in contract sales, which ar</w:t>
      </w:r>
      <w:r>
        <w:rPr>
          <w:rFonts w:ascii="Arial" w:eastAsia="Times New Roman" w:hAnsi="Arial" w:cs="Arial"/>
          <w:color w:val="000000"/>
          <w:sz w:val="20"/>
          <w:szCs w:val="20"/>
        </w:rPr>
        <w:t xml:space="preserve">e sales made pursuant to fuel purchase contracts with customers </w:t>
      </w:r>
    </w:p>
    <w:p w14:paraId="483F6C88" w14:textId="77777777" w:rsidR="00000000" w:rsidRDefault="00C01C43">
      <w:pPr>
        <w:jc w:val="center"/>
        <w:divId w:val="1148480510"/>
        <w:rPr>
          <w:rFonts w:eastAsia="Times New Roman"/>
        </w:rPr>
      </w:pPr>
      <w:r>
        <w:rPr>
          <w:rFonts w:ascii="Arial" w:eastAsia="Times New Roman" w:hAnsi="Arial" w:cs="Arial"/>
          <w:color w:val="000000"/>
          <w:sz w:val="16"/>
          <w:szCs w:val="16"/>
        </w:rPr>
        <w:t>1</w:t>
      </w:r>
    </w:p>
    <w:p w14:paraId="44337AB1" w14:textId="77777777" w:rsidR="00000000" w:rsidRDefault="00C01C43">
      <w:pPr>
        <w:rPr>
          <w:rFonts w:eastAsia="Times New Roman"/>
        </w:rPr>
      </w:pPr>
      <w:r>
        <w:rPr>
          <w:rFonts w:eastAsia="Times New Roman"/>
        </w:rPr>
        <w:pict w14:anchorId="665BD733">
          <v:rect id="_x0000_i1029" style="width:0;height:1.5pt" o:hralign="center" o:hrstd="t" o:hr="t" fillcolor="#a0a0a0" stroked="f"/>
        </w:pict>
      </w:r>
    </w:p>
    <w:p w14:paraId="05F6B79D" w14:textId="77777777" w:rsidR="00000000" w:rsidRDefault="00C01C43">
      <w:pPr>
        <w:divId w:val="2049068823"/>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64EEB74F" w14:textId="77777777" w:rsidR="00000000" w:rsidRDefault="00C01C43">
      <w:pPr>
        <w:jc w:val="both"/>
        <w:divId w:val="2071418748"/>
        <w:rPr>
          <w:rFonts w:eastAsia="Times New Roman"/>
        </w:rPr>
      </w:pPr>
      <w:r>
        <w:rPr>
          <w:rFonts w:ascii="Arial" w:eastAsia="Times New Roman" w:hAnsi="Arial" w:cs="Arial"/>
          <w:color w:val="000000"/>
          <w:sz w:val="20"/>
          <w:szCs w:val="20"/>
        </w:rPr>
        <w:t>who commit to purchasing fuel from us over the contract term. We also conduct spot sales, which are sales that do not involve continuing contrac</w:t>
      </w:r>
      <w:r>
        <w:rPr>
          <w:rFonts w:ascii="Arial" w:eastAsia="Times New Roman" w:hAnsi="Arial" w:cs="Arial"/>
          <w:color w:val="000000"/>
          <w:sz w:val="20"/>
          <w:szCs w:val="20"/>
        </w:rPr>
        <w:t>tual obligations by our customers to purchase fuel from us. Our cost of fuel is generally tied to market-based formulas or government-controlled prices.</w:t>
      </w:r>
    </w:p>
    <w:p w14:paraId="34FB3129" w14:textId="77777777" w:rsidR="00000000" w:rsidRDefault="00C01C43">
      <w:pPr>
        <w:jc w:val="both"/>
        <w:rPr>
          <w:rFonts w:eastAsia="Times New Roman"/>
        </w:rPr>
      </w:pPr>
      <w:r>
        <w:rPr>
          <w:rFonts w:ascii="Arial" w:eastAsia="Times New Roman" w:hAnsi="Arial" w:cs="Arial"/>
          <w:b/>
          <w:bCs/>
          <w:color w:val="000000"/>
          <w:sz w:val="20"/>
          <w:szCs w:val="20"/>
        </w:rPr>
        <w:t>Land Segment</w:t>
      </w:r>
    </w:p>
    <w:p w14:paraId="2399B51B" w14:textId="77777777" w:rsidR="00000000" w:rsidRDefault="00C01C43">
      <w:pPr>
        <w:jc w:val="both"/>
        <w:divId w:val="1583102584"/>
        <w:rPr>
          <w:rFonts w:eastAsia="Times New Roman"/>
        </w:rPr>
      </w:pPr>
      <w:r>
        <w:rPr>
          <w:rFonts w:ascii="Arial" w:eastAsia="Times New Roman" w:hAnsi="Arial" w:cs="Arial"/>
          <w:color w:val="000000"/>
          <w:sz w:val="20"/>
          <w:szCs w:val="20"/>
        </w:rPr>
        <w:t>In our land segment, we primarily offer fuel, heating oil, propane, natural gas, lubricants and related products and services to petroleum distributors operating in the land transportation market, retail petroleum operators, and industrial, commercial, res</w:t>
      </w:r>
      <w:r>
        <w:rPr>
          <w:rFonts w:ascii="Arial" w:eastAsia="Times New Roman" w:hAnsi="Arial" w:cs="Arial"/>
          <w:color w:val="000000"/>
          <w:sz w:val="20"/>
          <w:szCs w:val="20"/>
        </w:rPr>
        <w:t>idential and government customers. Our land-related services include management services for the procurement of fuel and price risk management. We primarily conduct these activities throughout most of the U.S. as well as parts of the United Kingdom ("U.K."</w:t>
      </w:r>
      <w:r>
        <w:rPr>
          <w:rFonts w:ascii="Arial" w:eastAsia="Times New Roman" w:hAnsi="Arial" w:cs="Arial"/>
          <w:color w:val="000000"/>
          <w:sz w:val="20"/>
          <w:szCs w:val="20"/>
        </w:rPr>
        <w:t>) and Brazil. We also offer advisory and fulfillment solutions with respect to power, natural gas and other energy products, as well as sustainability consulting, renewable fuel products, and carbon management and renewable energy solutions through World K</w:t>
      </w:r>
      <w:r>
        <w:rPr>
          <w:rFonts w:ascii="Arial" w:eastAsia="Times New Roman" w:hAnsi="Arial" w:cs="Arial"/>
          <w:color w:val="000000"/>
          <w:sz w:val="20"/>
          <w:szCs w:val="20"/>
        </w:rPr>
        <w:t>inect, our global energy management brand, with offices in the U.S., Australia and throughout Europe. In addition, we offer transaction management services, which include government payment systems for global fuel procurement, merchant processing services,</w:t>
      </w:r>
      <w:r>
        <w:rPr>
          <w:rFonts w:ascii="Arial" w:eastAsia="Times New Roman" w:hAnsi="Arial" w:cs="Arial"/>
          <w:color w:val="000000"/>
          <w:sz w:val="20"/>
          <w:szCs w:val="20"/>
        </w:rPr>
        <w:t xml:space="preserve"> payment solutions for tolls across Europe and commercial payment programs.</w:t>
      </w:r>
    </w:p>
    <w:p w14:paraId="5AC5A406" w14:textId="77777777" w:rsidR="00000000" w:rsidRDefault="00C01C43">
      <w:pPr>
        <w:jc w:val="both"/>
        <w:divId w:val="405538025"/>
        <w:rPr>
          <w:rFonts w:eastAsia="Times New Roman"/>
        </w:rPr>
      </w:pPr>
      <w:r>
        <w:rPr>
          <w:rFonts w:ascii="Arial" w:eastAsia="Times New Roman" w:hAnsi="Arial" w:cs="Arial"/>
          <w:color w:val="000000"/>
          <w:sz w:val="20"/>
          <w:szCs w:val="20"/>
        </w:rPr>
        <w:t>In connection with our fuel marketing activities, we distribute fuel under long-term contracts to branded and unbranded distributors, convenience stores and retail fuel outlets ope</w:t>
      </w:r>
      <w:r>
        <w:rPr>
          <w:rFonts w:ascii="Arial" w:eastAsia="Times New Roman" w:hAnsi="Arial" w:cs="Arial"/>
          <w:color w:val="000000"/>
          <w:sz w:val="20"/>
          <w:szCs w:val="20"/>
        </w:rPr>
        <w:t xml:space="preserve">rated by third parties. We also distribute heating oil to residential customers and unbranded fuel to numerous other customers, including commercial and industrial customers, such as manufacturing, </w:t>
      </w:r>
      <w:r>
        <w:rPr>
          <w:rFonts w:ascii="Arial" w:eastAsia="Times New Roman" w:hAnsi="Arial" w:cs="Arial"/>
          <w:color w:val="000000"/>
          <w:sz w:val="20"/>
          <w:szCs w:val="20"/>
        </w:rPr>
        <w:lastRenderedPageBreak/>
        <w:t>mining, agriculture, construction, and oil and gas explora</w:t>
      </w:r>
      <w:r>
        <w:rPr>
          <w:rFonts w:ascii="Arial" w:eastAsia="Times New Roman" w:hAnsi="Arial" w:cs="Arial"/>
          <w:color w:val="000000"/>
          <w:sz w:val="20"/>
          <w:szCs w:val="20"/>
        </w:rPr>
        <w:t>tion companies. These transactions may be pursuant to fuel purchase contracts or through spot sales. In certain instances, we serve as a reseller, where we purchase fuel from a supplier and contemporaneously resell it to our customers through spot and cont</w:t>
      </w:r>
      <w:r>
        <w:rPr>
          <w:rFonts w:ascii="Arial" w:eastAsia="Times New Roman" w:hAnsi="Arial" w:cs="Arial"/>
          <w:color w:val="000000"/>
          <w:sz w:val="20"/>
          <w:szCs w:val="20"/>
        </w:rPr>
        <w:t>ract sales. We also maintain inventory in certain strategic locations, including pipelines. Our cost of fuel is generally tied to market-based formulas.</w:t>
      </w:r>
    </w:p>
    <w:p w14:paraId="6B326480" w14:textId="77777777" w:rsidR="00000000" w:rsidRDefault="00C01C43">
      <w:pPr>
        <w:jc w:val="both"/>
        <w:divId w:val="1862087578"/>
        <w:rPr>
          <w:rFonts w:eastAsia="Times New Roman"/>
        </w:rPr>
      </w:pPr>
      <w:r>
        <w:rPr>
          <w:rFonts w:ascii="Arial" w:eastAsia="Times New Roman" w:hAnsi="Arial" w:cs="Arial"/>
          <w:color w:val="000000"/>
          <w:sz w:val="20"/>
          <w:szCs w:val="20"/>
        </w:rPr>
        <w:t>Finally, we provide transportation logistics for our product deliveries, including arranging for fuel p</w:t>
      </w:r>
      <w:r>
        <w:rPr>
          <w:rFonts w:ascii="Arial" w:eastAsia="Times New Roman" w:hAnsi="Arial" w:cs="Arial"/>
          <w:color w:val="000000"/>
          <w:sz w:val="20"/>
          <w:szCs w:val="20"/>
        </w:rPr>
        <w:t>roducts to be delivered from storage terminals to the appropriate sites through our own fleet of trucks as well as third-party transportation providers. The fuel is generally delivered to our customers directly or to a designated tanker truck loading termi</w:t>
      </w:r>
      <w:r>
        <w:rPr>
          <w:rFonts w:ascii="Arial" w:eastAsia="Times New Roman" w:hAnsi="Arial" w:cs="Arial"/>
          <w:color w:val="000000"/>
          <w:sz w:val="20"/>
          <w:szCs w:val="20"/>
        </w:rPr>
        <w:t>nal commonly referred to as “racks,” which are owned and operated by our suppliers or other third-parties.</w:t>
      </w:r>
    </w:p>
    <w:p w14:paraId="0746790A" w14:textId="77777777" w:rsidR="00000000" w:rsidRDefault="00C01C43">
      <w:pPr>
        <w:jc w:val="both"/>
        <w:rPr>
          <w:rFonts w:eastAsia="Times New Roman"/>
        </w:rPr>
      </w:pPr>
    </w:p>
    <w:p w14:paraId="359E35E5" w14:textId="77777777" w:rsidR="00000000" w:rsidRDefault="00C01C43">
      <w:pPr>
        <w:divId w:val="595554991"/>
        <w:rPr>
          <w:rFonts w:eastAsia="Times New Roman"/>
        </w:rPr>
      </w:pPr>
      <w:r>
        <w:rPr>
          <w:rFonts w:ascii="Arial" w:eastAsia="Times New Roman" w:hAnsi="Arial" w:cs="Arial"/>
          <w:b/>
          <w:bCs/>
          <w:color w:val="000000"/>
          <w:sz w:val="20"/>
          <w:szCs w:val="20"/>
        </w:rPr>
        <w:t>Marine Segment</w:t>
      </w:r>
    </w:p>
    <w:p w14:paraId="1186740D" w14:textId="77777777" w:rsidR="00000000" w:rsidRDefault="00C01C43">
      <w:pPr>
        <w:jc w:val="both"/>
        <w:divId w:val="1581253231"/>
        <w:rPr>
          <w:rFonts w:eastAsia="Times New Roman"/>
        </w:rPr>
      </w:pPr>
      <w:r>
        <w:rPr>
          <w:rFonts w:ascii="Arial" w:eastAsia="Times New Roman" w:hAnsi="Arial" w:cs="Arial"/>
          <w:color w:val="000000"/>
          <w:sz w:val="20"/>
          <w:szCs w:val="20"/>
        </w:rPr>
        <w:t>Through our extensive network, we market fuel, lubricants and related products and services to a broad base of marine customers, inc</w:t>
      </w:r>
      <w:r>
        <w:rPr>
          <w:rFonts w:ascii="Arial" w:eastAsia="Times New Roman" w:hAnsi="Arial" w:cs="Arial"/>
          <w:color w:val="000000"/>
          <w:sz w:val="20"/>
          <w:szCs w:val="20"/>
        </w:rPr>
        <w:t>luding international container and tanker fleets, commercial cruise lines, yachts and time-charter operators, U.S. and foreign governments, as well as other fuel suppliers. We provide our customers with real-time global market intelligence and rapid access</w:t>
      </w:r>
      <w:r>
        <w:rPr>
          <w:rFonts w:ascii="Arial" w:eastAsia="Times New Roman" w:hAnsi="Arial" w:cs="Arial"/>
          <w:color w:val="000000"/>
          <w:sz w:val="20"/>
          <w:szCs w:val="20"/>
        </w:rPr>
        <w:t xml:space="preserve"> to quality and competitively priced marine fuel 24 hours a day, every day of the year. Our marine fuel-related services include management services for the procurement of fuel, cost control through the use of price risk management offerings, quality contr</w:t>
      </w:r>
      <w:r>
        <w:rPr>
          <w:rFonts w:ascii="Arial" w:eastAsia="Times New Roman" w:hAnsi="Arial" w:cs="Arial"/>
          <w:color w:val="000000"/>
          <w:sz w:val="20"/>
          <w:szCs w:val="20"/>
        </w:rPr>
        <w:t>ol and claims management.</w:t>
      </w:r>
    </w:p>
    <w:p w14:paraId="6E1ED2BD" w14:textId="77777777" w:rsidR="00000000" w:rsidRDefault="00C01C43">
      <w:pPr>
        <w:jc w:val="both"/>
        <w:divId w:val="1880125050"/>
        <w:rPr>
          <w:rFonts w:eastAsia="Times New Roman"/>
        </w:rPr>
      </w:pPr>
      <w:r>
        <w:rPr>
          <w:rFonts w:ascii="Arial" w:eastAsia="Times New Roman" w:hAnsi="Arial" w:cs="Arial"/>
          <w:color w:val="000000"/>
          <w:sz w:val="20"/>
          <w:szCs w:val="20"/>
        </w:rPr>
        <w:t>We serve primarily as a reseller, where we take delivery for fuel purchased from our supplier at the same place and time as the fuel is sold to our customer. We also sell fuel from our inventory, which we maintain in storage facil</w:t>
      </w:r>
      <w:r>
        <w:rPr>
          <w:rFonts w:ascii="Arial" w:eastAsia="Times New Roman" w:hAnsi="Arial" w:cs="Arial"/>
          <w:color w:val="000000"/>
          <w:sz w:val="20"/>
          <w:szCs w:val="20"/>
        </w:rPr>
        <w:t>ities that we own or lease. In certain cases, we serve as a broker and are paid a commission for negotiating the fuel purchase transaction between the supplier and the end-user, as well as for expediting delivery of the fuel.</w:t>
      </w:r>
    </w:p>
    <w:p w14:paraId="2F878975" w14:textId="77777777" w:rsidR="00000000" w:rsidRDefault="00C01C43">
      <w:pPr>
        <w:jc w:val="both"/>
        <w:divId w:val="2000690342"/>
        <w:rPr>
          <w:rFonts w:eastAsia="Times New Roman"/>
        </w:rPr>
      </w:pPr>
      <w:r>
        <w:rPr>
          <w:rFonts w:ascii="Arial" w:eastAsia="Times New Roman" w:hAnsi="Arial" w:cs="Arial"/>
          <w:color w:val="000000"/>
          <w:sz w:val="20"/>
          <w:szCs w:val="20"/>
        </w:rPr>
        <w:t>The majority of our marine seg</w:t>
      </w:r>
      <w:r>
        <w:rPr>
          <w:rFonts w:ascii="Arial" w:eastAsia="Times New Roman" w:hAnsi="Arial" w:cs="Arial"/>
          <w:color w:val="000000"/>
          <w:sz w:val="20"/>
          <w:szCs w:val="20"/>
        </w:rPr>
        <w:t>ment activity consists of spot sales. Our cost of fuel is generally tied to spot pricing, market-based formulas, or government-controlled prices. We also contract with third parties to provide various services for our customers, including fueling of vessel</w:t>
      </w:r>
      <w:r>
        <w:rPr>
          <w:rFonts w:ascii="Arial" w:eastAsia="Times New Roman" w:hAnsi="Arial" w:cs="Arial"/>
          <w:color w:val="000000"/>
          <w:sz w:val="20"/>
          <w:szCs w:val="20"/>
        </w:rPr>
        <w:t>s in ports and at sea and transportation and delivery of fuel and fuel-related products.</w:t>
      </w:r>
    </w:p>
    <w:p w14:paraId="7DB11D73" w14:textId="77777777" w:rsidR="00000000" w:rsidRDefault="00C01C43">
      <w:pPr>
        <w:jc w:val="center"/>
        <w:divId w:val="399518744"/>
        <w:rPr>
          <w:rFonts w:eastAsia="Times New Roman"/>
        </w:rPr>
      </w:pPr>
      <w:r>
        <w:rPr>
          <w:rFonts w:ascii="Arial" w:eastAsia="Times New Roman" w:hAnsi="Arial" w:cs="Arial"/>
          <w:color w:val="000000"/>
          <w:sz w:val="16"/>
          <w:szCs w:val="16"/>
        </w:rPr>
        <w:t>2</w:t>
      </w:r>
    </w:p>
    <w:p w14:paraId="0EC3BDB7" w14:textId="77777777" w:rsidR="00000000" w:rsidRDefault="00C01C43">
      <w:pPr>
        <w:rPr>
          <w:rFonts w:eastAsia="Times New Roman"/>
        </w:rPr>
      </w:pPr>
      <w:r>
        <w:rPr>
          <w:rFonts w:eastAsia="Times New Roman"/>
        </w:rPr>
        <w:pict w14:anchorId="6C5BA4C1">
          <v:rect id="_x0000_i1030" style="width:0;height:1.5pt" o:hralign="center" o:hrstd="t" o:hr="t" fillcolor="#a0a0a0" stroked="f"/>
        </w:pict>
      </w:r>
    </w:p>
    <w:p w14:paraId="0651CF8E" w14:textId="77777777" w:rsidR="00000000" w:rsidRDefault="00C01C43">
      <w:pPr>
        <w:divId w:val="911161729"/>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0B94254C" w14:textId="77777777" w:rsidR="00000000" w:rsidRDefault="00C01C43">
      <w:pPr>
        <w:jc w:val="both"/>
        <w:rPr>
          <w:rFonts w:eastAsia="Times New Roman"/>
        </w:rPr>
      </w:pPr>
      <w:r>
        <w:rPr>
          <w:rFonts w:ascii="Arial" w:eastAsia="Times New Roman" w:hAnsi="Arial" w:cs="Arial"/>
          <w:b/>
          <w:bCs/>
          <w:color w:val="000000"/>
          <w:sz w:val="20"/>
          <w:szCs w:val="20"/>
        </w:rPr>
        <w:t>Competitors</w:t>
      </w:r>
    </w:p>
    <w:p w14:paraId="4D679C9D" w14:textId="77777777" w:rsidR="00000000" w:rsidRDefault="00C01C43">
      <w:pPr>
        <w:jc w:val="both"/>
        <w:divId w:val="925303677"/>
        <w:rPr>
          <w:rFonts w:eastAsia="Times New Roman"/>
        </w:rPr>
      </w:pPr>
      <w:r>
        <w:rPr>
          <w:rFonts w:ascii="Arial" w:eastAsia="Times New Roman" w:hAnsi="Arial" w:cs="Arial"/>
          <w:color w:val="000000"/>
          <w:sz w:val="20"/>
          <w:szCs w:val="20"/>
        </w:rPr>
        <w:t>We operate globally across industries th</w:t>
      </w:r>
      <w:r>
        <w:rPr>
          <w:rFonts w:ascii="Arial" w:eastAsia="Times New Roman" w:hAnsi="Arial" w:cs="Arial"/>
          <w:color w:val="000000"/>
          <w:sz w:val="20"/>
          <w:szCs w:val="20"/>
        </w:rPr>
        <w:t>at are highly fragmented with numerous competitors. Our competitors range in size and complexity from large multinational corporations, which have significantly greater capital resources than us, to relatively small and specialized firms. In our fuel distr</w:t>
      </w:r>
      <w:r>
        <w:rPr>
          <w:rFonts w:ascii="Arial" w:eastAsia="Times New Roman" w:hAnsi="Arial" w:cs="Arial"/>
          <w:color w:val="000000"/>
          <w:sz w:val="20"/>
          <w:szCs w:val="20"/>
        </w:rPr>
        <w:t>ibution activities, we compete with major oil producers that market fuel directly to the large commercial airlines, shipping companies and petroleum distributors operating in the land transportation market as well as fuel resellers. We compete, among other</w:t>
      </w:r>
      <w:r>
        <w:rPr>
          <w:rFonts w:ascii="Arial" w:eastAsia="Times New Roman" w:hAnsi="Arial" w:cs="Arial"/>
          <w:color w:val="000000"/>
          <w:sz w:val="20"/>
          <w:szCs w:val="20"/>
        </w:rPr>
        <w:t xml:space="preserve"> things, on the basis of service, convenience, reliability, availability of trade credit and price. We believe that our extensive market knowledge, worldwide footprint, logistics expertise and support, the use of price risk management offerings, and value-</w:t>
      </w:r>
      <w:r>
        <w:rPr>
          <w:rFonts w:ascii="Arial" w:eastAsia="Times New Roman" w:hAnsi="Arial" w:cs="Arial"/>
          <w:color w:val="000000"/>
          <w:sz w:val="20"/>
          <w:szCs w:val="20"/>
        </w:rPr>
        <w:t>added benefits, including single-supplier convenience, fuel quality control and fuel procurement outsourcing, give us the ability to compete within those markets.</w:t>
      </w:r>
    </w:p>
    <w:p w14:paraId="1AF0223B" w14:textId="77777777" w:rsidR="00000000" w:rsidRDefault="00C01C43">
      <w:pPr>
        <w:jc w:val="both"/>
        <w:rPr>
          <w:rFonts w:eastAsia="Times New Roman"/>
        </w:rPr>
      </w:pPr>
      <w:r>
        <w:rPr>
          <w:rFonts w:ascii="Arial" w:eastAsia="Times New Roman" w:hAnsi="Arial" w:cs="Arial"/>
          <w:b/>
          <w:bCs/>
          <w:color w:val="000000"/>
          <w:sz w:val="20"/>
          <w:szCs w:val="20"/>
        </w:rPr>
        <w:t>Seasonality</w:t>
      </w:r>
    </w:p>
    <w:p w14:paraId="095DFA31" w14:textId="77777777" w:rsidR="00000000" w:rsidRDefault="00C01C43">
      <w:pPr>
        <w:jc w:val="both"/>
        <w:divId w:val="1555849528"/>
        <w:rPr>
          <w:rFonts w:eastAsia="Times New Roman"/>
        </w:rPr>
      </w:pPr>
      <w:r>
        <w:rPr>
          <w:rFonts w:ascii="Arial" w:eastAsia="Times New Roman" w:hAnsi="Arial" w:cs="Arial"/>
          <w:color w:val="000000"/>
          <w:sz w:val="20"/>
          <w:szCs w:val="20"/>
        </w:rPr>
        <w:t>Our operating results are subject to seasonal variability. Our seasonality result</w:t>
      </w:r>
      <w:r>
        <w:rPr>
          <w:rFonts w:ascii="Arial" w:eastAsia="Times New Roman" w:hAnsi="Arial" w:cs="Arial"/>
          <w:color w:val="000000"/>
          <w:sz w:val="20"/>
          <w:szCs w:val="20"/>
        </w:rPr>
        <w:t>s from numerous factors, including traditionally higher demand for natural gas and home heating oil during the winter months and aviation and land fuel during the summer months, as well as other seasonal weather patterns. As such, our results of operations</w:t>
      </w:r>
      <w:r>
        <w:rPr>
          <w:rFonts w:ascii="Arial" w:eastAsia="Times New Roman" w:hAnsi="Arial" w:cs="Arial"/>
          <w:color w:val="000000"/>
          <w:sz w:val="20"/>
          <w:szCs w:val="20"/>
        </w:rPr>
        <w:t xml:space="preserve"> may fluctuate from period to period.</w:t>
      </w:r>
    </w:p>
    <w:p w14:paraId="7553EB96" w14:textId="77777777" w:rsidR="00000000" w:rsidRDefault="00C01C43">
      <w:pPr>
        <w:jc w:val="both"/>
        <w:rPr>
          <w:rFonts w:eastAsia="Times New Roman"/>
        </w:rPr>
      </w:pPr>
      <w:r>
        <w:rPr>
          <w:rFonts w:ascii="Arial" w:eastAsia="Times New Roman" w:hAnsi="Arial" w:cs="Arial"/>
          <w:b/>
          <w:bCs/>
          <w:color w:val="000000"/>
          <w:sz w:val="20"/>
          <w:szCs w:val="20"/>
        </w:rPr>
        <w:t>Governmental Regulation</w:t>
      </w:r>
    </w:p>
    <w:p w14:paraId="2F81C5C4" w14:textId="77777777" w:rsidR="00000000" w:rsidRDefault="00C01C43">
      <w:pPr>
        <w:jc w:val="both"/>
        <w:rPr>
          <w:rFonts w:eastAsia="Times New Roman"/>
        </w:rPr>
      </w:pPr>
    </w:p>
    <w:p w14:paraId="208CB5D0" w14:textId="77777777" w:rsidR="00000000" w:rsidRDefault="00C01C43">
      <w:pPr>
        <w:jc w:val="both"/>
        <w:rPr>
          <w:rFonts w:eastAsia="Times New Roman"/>
        </w:rPr>
      </w:pPr>
      <w:r>
        <w:rPr>
          <w:rFonts w:ascii="Arial" w:eastAsia="Times New Roman" w:hAnsi="Arial" w:cs="Arial"/>
          <w:i/>
          <w:iCs/>
          <w:color w:val="000000"/>
          <w:sz w:val="20"/>
          <w:szCs w:val="20"/>
        </w:rPr>
        <w:t>Environment</w:t>
      </w:r>
    </w:p>
    <w:p w14:paraId="5127BC96" w14:textId="77777777" w:rsidR="00000000" w:rsidRDefault="00C01C43">
      <w:pPr>
        <w:jc w:val="both"/>
        <w:rPr>
          <w:rFonts w:eastAsia="Times New Roman"/>
        </w:rPr>
      </w:pPr>
    </w:p>
    <w:p w14:paraId="7C7AA007" w14:textId="77777777" w:rsidR="00000000" w:rsidRDefault="00C01C43">
      <w:pPr>
        <w:jc w:val="both"/>
        <w:rPr>
          <w:rFonts w:eastAsia="Times New Roman"/>
        </w:rPr>
      </w:pPr>
      <w:r>
        <w:rPr>
          <w:rFonts w:ascii="Arial" w:eastAsia="Times New Roman" w:hAnsi="Arial" w:cs="Arial"/>
          <w:color w:val="000000"/>
          <w:sz w:val="20"/>
          <w:szCs w:val="20"/>
        </w:rPr>
        <w:t>Supplying fuel safely and securely is a top priority. We monitor and manage our operations through processes and procedures designed to avoid and minimize our effects and impacts on the environment. Our business activities are subject to substantial regula</w:t>
      </w:r>
      <w:r>
        <w:rPr>
          <w:rFonts w:ascii="Arial" w:eastAsia="Times New Roman" w:hAnsi="Arial" w:cs="Arial"/>
          <w:color w:val="000000"/>
          <w:sz w:val="20"/>
          <w:szCs w:val="20"/>
        </w:rPr>
        <w:t>tion by federal, state, local and international governmental agencies in the countries in which we operate, including those relating to the sale, blending, storage, transportation, delivery and disposal of fuel and the collection, transportation, processin</w:t>
      </w:r>
      <w:r>
        <w:rPr>
          <w:rFonts w:ascii="Arial" w:eastAsia="Times New Roman" w:hAnsi="Arial" w:cs="Arial"/>
          <w:color w:val="000000"/>
          <w:sz w:val="20"/>
          <w:szCs w:val="20"/>
        </w:rPr>
        <w:t>g, storage, use and disposal of hazardous substances and wastes. For example, U.S. federal and state environmental laws applicable to us include statutes that: (i) allocate the cost of remedying contamination among specifically identified parties and preve</w:t>
      </w:r>
      <w:r>
        <w:rPr>
          <w:rFonts w:ascii="Arial" w:eastAsia="Times New Roman" w:hAnsi="Arial" w:cs="Arial"/>
          <w:color w:val="000000"/>
          <w:sz w:val="20"/>
          <w:szCs w:val="20"/>
        </w:rPr>
        <w:t>nt future contamination; (ii) impose national ambient standards and, in some cases, emission standards, for air pollutants that present a risk to public health or welfare; (iii) govern the management, treatment, storage and disposal of hazardous wastes; an</w:t>
      </w:r>
      <w:r>
        <w:rPr>
          <w:rFonts w:ascii="Arial" w:eastAsia="Times New Roman" w:hAnsi="Arial" w:cs="Arial"/>
          <w:color w:val="000000"/>
          <w:sz w:val="20"/>
          <w:szCs w:val="20"/>
        </w:rPr>
        <w:t xml:space="preserve">d (iv) regulate the discharge of pollutants into waterways. International treaties also prohibit the discharge of petroleum products at sea. </w:t>
      </w:r>
    </w:p>
    <w:p w14:paraId="075A2F12" w14:textId="77777777" w:rsidR="00000000" w:rsidRDefault="00C01C43">
      <w:pPr>
        <w:jc w:val="both"/>
        <w:rPr>
          <w:rFonts w:eastAsia="Times New Roman"/>
        </w:rPr>
      </w:pPr>
    </w:p>
    <w:p w14:paraId="29CC8933" w14:textId="77777777" w:rsidR="00000000" w:rsidRDefault="00C01C43">
      <w:pPr>
        <w:jc w:val="both"/>
        <w:rPr>
          <w:rFonts w:eastAsia="Times New Roman"/>
        </w:rPr>
      </w:pPr>
      <w:r>
        <w:rPr>
          <w:rFonts w:ascii="Arial" w:eastAsia="Times New Roman" w:hAnsi="Arial" w:cs="Arial"/>
          <w:color w:val="000000"/>
          <w:sz w:val="20"/>
          <w:szCs w:val="20"/>
        </w:rPr>
        <w:t xml:space="preserve">Compliance with existing and future laws that regulate the delivery of fuel by barge, truck, vessel pipeline or </w:t>
      </w:r>
      <w:r>
        <w:rPr>
          <w:rFonts w:ascii="Arial" w:eastAsia="Times New Roman" w:hAnsi="Arial" w:cs="Arial"/>
          <w:color w:val="000000"/>
          <w:sz w:val="20"/>
          <w:szCs w:val="20"/>
        </w:rPr>
        <w:t>car; fuel storage terminals or underground storage tanks that we own, lease or operate; or the quality of product under our control may require significant capital expenditures and increased operating and maintenance costs, particularly as we continue to e</w:t>
      </w:r>
      <w:r>
        <w:rPr>
          <w:rFonts w:ascii="Arial" w:eastAsia="Times New Roman" w:hAnsi="Arial" w:cs="Arial"/>
          <w:color w:val="000000"/>
          <w:sz w:val="20"/>
          <w:szCs w:val="20"/>
        </w:rPr>
        <w:t xml:space="preserve">xpand our physical presence globally. In addition, continuing changes in environmental laws and regulations may also require capital expenditures by our customers or otherwise increase our customers’ operating costs, which could in turn, reduce the demand </w:t>
      </w:r>
      <w:r>
        <w:rPr>
          <w:rFonts w:ascii="Arial" w:eastAsia="Times New Roman" w:hAnsi="Arial" w:cs="Arial"/>
          <w:color w:val="000000"/>
          <w:sz w:val="20"/>
          <w:szCs w:val="20"/>
        </w:rPr>
        <w:t>for our products and services or impact the pricing or availability of the products we sell.</w:t>
      </w:r>
      <w:r>
        <w:rPr>
          <w:rFonts w:ascii="Arial" w:eastAsia="Times New Roman" w:hAnsi="Arial" w:cs="Arial"/>
          <w:color w:val="000000"/>
        </w:rPr>
        <w:t xml:space="preserve"> </w:t>
      </w:r>
    </w:p>
    <w:p w14:paraId="26B84431" w14:textId="77777777" w:rsidR="00000000" w:rsidRDefault="00C01C43">
      <w:pPr>
        <w:jc w:val="both"/>
        <w:rPr>
          <w:rFonts w:eastAsia="Times New Roman"/>
        </w:rPr>
      </w:pPr>
    </w:p>
    <w:p w14:paraId="061CDD67" w14:textId="77777777" w:rsidR="00000000" w:rsidRDefault="00C01C43">
      <w:pPr>
        <w:jc w:val="both"/>
        <w:rPr>
          <w:rFonts w:eastAsia="Times New Roman"/>
        </w:rPr>
      </w:pPr>
      <w:r>
        <w:rPr>
          <w:rFonts w:ascii="Arial" w:eastAsia="Times New Roman" w:hAnsi="Arial" w:cs="Arial"/>
          <w:color w:val="000000"/>
          <w:sz w:val="20"/>
          <w:szCs w:val="20"/>
        </w:rPr>
        <w:t>Finally, the penalties for violations of environmental laws include injunctive relief; administrative, civil or criminal penalties; recovery of damages for inju</w:t>
      </w:r>
      <w:r>
        <w:rPr>
          <w:rFonts w:ascii="Arial" w:eastAsia="Times New Roman" w:hAnsi="Arial" w:cs="Arial"/>
          <w:color w:val="000000"/>
          <w:sz w:val="20"/>
          <w:szCs w:val="20"/>
        </w:rPr>
        <w:t>ry to air, water or property; and third-party damages. Some environmental laws may also impose strict liability for remediation of spills and releases of oil and hazardous substances, which could subject us to liability without regard to whether we were ne</w:t>
      </w:r>
      <w:r>
        <w:rPr>
          <w:rFonts w:ascii="Arial" w:eastAsia="Times New Roman" w:hAnsi="Arial" w:cs="Arial"/>
          <w:color w:val="000000"/>
          <w:sz w:val="20"/>
          <w:szCs w:val="20"/>
        </w:rPr>
        <w:t>gligent or at fault.</w:t>
      </w:r>
      <w:r>
        <w:rPr>
          <w:rFonts w:ascii="Arial" w:eastAsia="Times New Roman" w:hAnsi="Arial" w:cs="Arial"/>
          <w:color w:val="000000"/>
        </w:rPr>
        <w:t xml:space="preserve"> </w:t>
      </w:r>
      <w:r>
        <w:rPr>
          <w:rFonts w:ascii="Arial" w:eastAsia="Times New Roman" w:hAnsi="Arial" w:cs="Arial"/>
          <w:color w:val="000000"/>
          <w:sz w:val="20"/>
          <w:szCs w:val="20"/>
        </w:rPr>
        <w:t>See “Item 1A – Risk Factors,” and “Item 3 – Legal Proceedings.”</w:t>
      </w:r>
    </w:p>
    <w:p w14:paraId="1C66647A" w14:textId="77777777" w:rsidR="00000000" w:rsidRDefault="00C01C43">
      <w:pPr>
        <w:jc w:val="both"/>
        <w:rPr>
          <w:rFonts w:eastAsia="Times New Roman"/>
        </w:rPr>
      </w:pPr>
    </w:p>
    <w:p w14:paraId="1F296EAB" w14:textId="77777777" w:rsidR="00000000" w:rsidRDefault="00C01C43">
      <w:pPr>
        <w:jc w:val="both"/>
        <w:rPr>
          <w:rFonts w:eastAsia="Times New Roman"/>
        </w:rPr>
      </w:pPr>
      <w:r>
        <w:rPr>
          <w:rFonts w:ascii="Arial" w:eastAsia="Times New Roman" w:hAnsi="Arial" w:cs="Arial"/>
          <w:i/>
          <w:iCs/>
          <w:color w:val="000000"/>
          <w:sz w:val="20"/>
          <w:szCs w:val="20"/>
        </w:rPr>
        <w:t>Climate Change</w:t>
      </w:r>
    </w:p>
    <w:p w14:paraId="13876181" w14:textId="77777777" w:rsidR="00000000" w:rsidRDefault="00C01C43">
      <w:pPr>
        <w:jc w:val="both"/>
        <w:rPr>
          <w:rFonts w:eastAsia="Times New Roman"/>
        </w:rPr>
      </w:pPr>
    </w:p>
    <w:p w14:paraId="4BB43B00" w14:textId="77777777" w:rsidR="00000000" w:rsidRDefault="00C01C43">
      <w:pPr>
        <w:jc w:val="both"/>
        <w:rPr>
          <w:rFonts w:eastAsia="Times New Roman"/>
        </w:rPr>
      </w:pPr>
      <w:r>
        <w:rPr>
          <w:rFonts w:ascii="Arial" w:eastAsia="Times New Roman" w:hAnsi="Arial" w:cs="Arial"/>
          <w:color w:val="000000"/>
          <w:sz w:val="20"/>
          <w:szCs w:val="20"/>
        </w:rPr>
        <w:t>Climate change continues to be an area of focus at the local, national and international levels. As a result, a number of countries have adopted, or are</w:t>
      </w:r>
      <w:r>
        <w:rPr>
          <w:rFonts w:ascii="Arial" w:eastAsia="Times New Roman" w:hAnsi="Arial" w:cs="Arial"/>
          <w:color w:val="000000"/>
          <w:sz w:val="20"/>
          <w:szCs w:val="20"/>
        </w:rPr>
        <w:t xml:space="preserve"> considering the adoption of, regulatory frameworks to reduce greenhouse gas (“GHG”) emissions.</w:t>
      </w:r>
      <w:r>
        <w:rPr>
          <w:rFonts w:ascii="Arial" w:eastAsia="Times New Roman" w:hAnsi="Arial" w:cs="Arial"/>
          <w:color w:val="000000"/>
        </w:rPr>
        <w:t xml:space="preserve"> </w:t>
      </w:r>
      <w:r>
        <w:rPr>
          <w:rFonts w:ascii="Arial" w:eastAsia="Times New Roman" w:hAnsi="Arial" w:cs="Arial"/>
          <w:color w:val="000000"/>
          <w:sz w:val="20"/>
          <w:szCs w:val="20"/>
        </w:rPr>
        <w:t>In the U.S., the U.S. Environmental Protection Agency has adopted rules requiring the reporting of GHG emissions by petroleum product suppliers and facilities m</w:t>
      </w:r>
      <w:r>
        <w:rPr>
          <w:rFonts w:ascii="Arial" w:eastAsia="Times New Roman" w:hAnsi="Arial" w:cs="Arial"/>
          <w:color w:val="000000"/>
          <w:sz w:val="20"/>
          <w:szCs w:val="20"/>
        </w:rPr>
        <w:t>eeting certain annual emissions thresholds and regulating emissions from major sources of GHGs under the Clean Air Act. In addition, several states and geographic regions in the U.S. have also adopted legislation and regulations to reduce emissions of GHGs</w:t>
      </w:r>
      <w:r>
        <w:rPr>
          <w:rFonts w:ascii="Arial" w:eastAsia="Times New Roman" w:hAnsi="Arial" w:cs="Arial"/>
          <w:color w:val="000000"/>
          <w:sz w:val="20"/>
          <w:szCs w:val="20"/>
        </w:rPr>
        <w:t xml:space="preserve">, such as the California cap-and-trade program and low carbon fuel standard obligations. </w:t>
      </w:r>
    </w:p>
    <w:p w14:paraId="5C483E1F" w14:textId="77777777" w:rsidR="00000000" w:rsidRDefault="00C01C43">
      <w:pPr>
        <w:jc w:val="both"/>
        <w:rPr>
          <w:rFonts w:eastAsia="Times New Roman"/>
        </w:rPr>
      </w:pPr>
    </w:p>
    <w:p w14:paraId="5A842445" w14:textId="77777777" w:rsidR="00000000" w:rsidRDefault="00C01C43">
      <w:pPr>
        <w:jc w:val="center"/>
        <w:divId w:val="1181167389"/>
        <w:rPr>
          <w:rFonts w:eastAsia="Times New Roman"/>
        </w:rPr>
      </w:pPr>
      <w:r>
        <w:rPr>
          <w:rFonts w:ascii="Arial" w:eastAsia="Times New Roman" w:hAnsi="Arial" w:cs="Arial"/>
          <w:color w:val="000000"/>
          <w:sz w:val="16"/>
          <w:szCs w:val="16"/>
        </w:rPr>
        <w:t>3</w:t>
      </w:r>
    </w:p>
    <w:p w14:paraId="1A705252" w14:textId="77777777" w:rsidR="00000000" w:rsidRDefault="00C01C43">
      <w:pPr>
        <w:rPr>
          <w:rFonts w:eastAsia="Times New Roman"/>
        </w:rPr>
      </w:pPr>
      <w:r>
        <w:rPr>
          <w:rFonts w:eastAsia="Times New Roman"/>
        </w:rPr>
        <w:pict w14:anchorId="12CC692A">
          <v:rect id="_x0000_i1031" style="width:0;height:1.5pt" o:hralign="center" o:hrstd="t" o:hr="t" fillcolor="#a0a0a0" stroked="f"/>
        </w:pict>
      </w:r>
    </w:p>
    <w:p w14:paraId="6212D2CD" w14:textId="77777777" w:rsidR="00000000" w:rsidRDefault="00C01C43">
      <w:pPr>
        <w:divId w:val="2070347935"/>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072DF976" w14:textId="77777777" w:rsidR="00000000" w:rsidRDefault="00C01C43">
      <w:pPr>
        <w:jc w:val="both"/>
        <w:rPr>
          <w:rFonts w:eastAsia="Times New Roman"/>
        </w:rPr>
      </w:pPr>
      <w:r>
        <w:rPr>
          <w:rFonts w:ascii="Arial" w:eastAsia="Times New Roman" w:hAnsi="Arial" w:cs="Arial"/>
          <w:color w:val="000000"/>
          <w:sz w:val="20"/>
          <w:szCs w:val="20"/>
        </w:rPr>
        <w:t>In the E.U., there is a commitment to cut carbon dioxide emissions by at least 40% by 2030 and E.U. member states have implemented a range of su</w:t>
      </w:r>
      <w:r>
        <w:rPr>
          <w:rFonts w:ascii="Arial" w:eastAsia="Times New Roman" w:hAnsi="Arial" w:cs="Arial"/>
          <w:color w:val="000000"/>
          <w:sz w:val="20"/>
          <w:szCs w:val="20"/>
        </w:rPr>
        <w:t>bsidies and incentives to achieve the EU’s climate change goals. Further, emissions are regulated via a number of means, including the European Union Emissions Trading System (‘‘EU ETS’’), which is a trading system across the E.U. for industrial emissions.</w:t>
      </w:r>
      <w:r>
        <w:rPr>
          <w:rFonts w:ascii="Arial" w:eastAsia="Times New Roman" w:hAnsi="Arial" w:cs="Arial"/>
          <w:color w:val="000000"/>
          <w:sz w:val="20"/>
          <w:szCs w:val="20"/>
        </w:rPr>
        <w:t xml:space="preserve"> The EU ETS is expected to become progressively more stringent over time, including by reducing the number of allowances to emit GHGs.</w:t>
      </w:r>
      <w:r>
        <w:rPr>
          <w:rFonts w:ascii="Arial" w:eastAsia="Times New Roman" w:hAnsi="Arial" w:cs="Arial"/>
          <w:color w:val="000000"/>
        </w:rPr>
        <w:t xml:space="preserve"> </w:t>
      </w:r>
      <w:r>
        <w:rPr>
          <w:rFonts w:ascii="Arial" w:eastAsia="Times New Roman" w:hAnsi="Arial" w:cs="Arial"/>
          <w:color w:val="000000"/>
          <w:sz w:val="20"/>
          <w:szCs w:val="20"/>
        </w:rPr>
        <w:t>In other countries, regulations include the adoption of cap and trade regimes, carbon taxes, restrictive permitting, incr</w:t>
      </w:r>
      <w:r>
        <w:rPr>
          <w:rFonts w:ascii="Arial" w:eastAsia="Times New Roman" w:hAnsi="Arial" w:cs="Arial"/>
          <w:color w:val="000000"/>
          <w:sz w:val="20"/>
          <w:szCs w:val="20"/>
        </w:rPr>
        <w:t xml:space="preserve">eased efficiency standards, and incentives or mandates for renewable energy. </w:t>
      </w:r>
    </w:p>
    <w:p w14:paraId="09C7E86E" w14:textId="77777777" w:rsidR="00000000" w:rsidRDefault="00C01C43">
      <w:pPr>
        <w:jc w:val="both"/>
        <w:rPr>
          <w:rFonts w:eastAsia="Times New Roman"/>
        </w:rPr>
      </w:pPr>
    </w:p>
    <w:p w14:paraId="552C7F27" w14:textId="77777777" w:rsidR="00000000" w:rsidRDefault="00C01C43">
      <w:pPr>
        <w:jc w:val="both"/>
        <w:rPr>
          <w:rFonts w:eastAsia="Times New Roman"/>
        </w:rPr>
      </w:pPr>
      <w:r>
        <w:rPr>
          <w:rFonts w:ascii="Arial" w:eastAsia="Times New Roman" w:hAnsi="Arial" w:cs="Arial"/>
          <w:color w:val="000000"/>
          <w:sz w:val="20"/>
          <w:szCs w:val="20"/>
        </w:rPr>
        <w:t>Although the ultimate impact of these or other future measures is difficult to accurately predict, additional legislation or regulations could impose significant additional cos</w:t>
      </w:r>
      <w:r>
        <w:rPr>
          <w:rFonts w:ascii="Arial" w:eastAsia="Times New Roman" w:hAnsi="Arial" w:cs="Arial"/>
          <w:color w:val="000000"/>
          <w:sz w:val="20"/>
          <w:szCs w:val="20"/>
        </w:rPr>
        <w:t>ts on us, our suppliers, our vendors and our customers, or could adversely affect demand for our energy products. The potential increase in our operating costs could include additional costs to operate and maintain our facilities, such as installing new in</w:t>
      </w:r>
      <w:r>
        <w:rPr>
          <w:rFonts w:ascii="Arial" w:eastAsia="Times New Roman" w:hAnsi="Arial" w:cs="Arial"/>
          <w:color w:val="000000"/>
          <w:sz w:val="20"/>
          <w:szCs w:val="20"/>
        </w:rPr>
        <w:t>frastructure or technology to respond to new mandates, or paying taxes related to our GHG emissions, among others. Furthermore, changes in regulatory policies or increased awareness and any adverse publicity in the global marketplace about potential impact</w:t>
      </w:r>
      <w:r>
        <w:rPr>
          <w:rFonts w:ascii="Arial" w:eastAsia="Times New Roman" w:hAnsi="Arial" w:cs="Arial"/>
          <w:color w:val="000000"/>
          <w:sz w:val="20"/>
          <w:szCs w:val="20"/>
        </w:rPr>
        <w:t>s on climate change by us or other companies in our industry could result in a reduction in the demand for hydrocarbon products that are deemed to contribute to GHGs, harm our reputation and adversely impact our sales of fuel products.</w:t>
      </w:r>
    </w:p>
    <w:p w14:paraId="2716E80A" w14:textId="77777777" w:rsidR="00000000" w:rsidRDefault="00C01C43">
      <w:pPr>
        <w:divId w:val="1553888753"/>
        <w:rPr>
          <w:rFonts w:eastAsia="Times New Roman"/>
        </w:rPr>
      </w:pPr>
    </w:p>
    <w:p w14:paraId="34D09E8D" w14:textId="77777777" w:rsidR="00000000" w:rsidRDefault="00C01C43">
      <w:pPr>
        <w:divId w:val="1051346153"/>
        <w:rPr>
          <w:rFonts w:eastAsia="Times New Roman"/>
        </w:rPr>
      </w:pPr>
      <w:r>
        <w:rPr>
          <w:rFonts w:ascii="Arial" w:eastAsia="Times New Roman" w:hAnsi="Arial" w:cs="Arial"/>
          <w:i/>
          <w:iCs/>
          <w:color w:val="000000"/>
          <w:sz w:val="20"/>
          <w:szCs w:val="20"/>
        </w:rPr>
        <w:t>Other</w:t>
      </w:r>
      <w:r>
        <w:rPr>
          <w:rFonts w:eastAsia="Times New Roman"/>
          <w:i/>
          <w:iCs/>
          <w:color w:val="000000"/>
          <w:sz w:val="20"/>
          <w:szCs w:val="20"/>
        </w:rPr>
        <w:t xml:space="preserve"> </w:t>
      </w:r>
      <w:r>
        <w:rPr>
          <w:rFonts w:ascii="Arial" w:eastAsia="Times New Roman" w:hAnsi="Arial" w:cs="Arial"/>
          <w:i/>
          <w:iCs/>
          <w:color w:val="000000"/>
          <w:sz w:val="20"/>
          <w:szCs w:val="20"/>
        </w:rPr>
        <w:t>Regulations</w:t>
      </w:r>
    </w:p>
    <w:p w14:paraId="425F55AC" w14:textId="77777777" w:rsidR="00000000" w:rsidRDefault="00C01C43">
      <w:pPr>
        <w:divId w:val="1099061508"/>
        <w:rPr>
          <w:rFonts w:eastAsia="Times New Roman"/>
        </w:rPr>
      </w:pPr>
    </w:p>
    <w:p w14:paraId="5E668824" w14:textId="77777777" w:rsidR="00000000" w:rsidRDefault="00C01C43">
      <w:pPr>
        <w:jc w:val="both"/>
        <w:rPr>
          <w:rFonts w:eastAsia="Times New Roman"/>
        </w:rPr>
      </w:pPr>
      <w:r>
        <w:rPr>
          <w:rFonts w:ascii="Arial" w:eastAsia="Times New Roman" w:hAnsi="Arial" w:cs="Arial"/>
          <w:color w:val="000000"/>
          <w:sz w:val="20"/>
          <w:szCs w:val="20"/>
        </w:rPr>
        <w:t>We are also subject to a variety of other U.S. and foreign laws and regulations, relating to:</w:t>
      </w:r>
    </w:p>
    <w:p w14:paraId="1E81B30F" w14:textId="77777777" w:rsidR="00000000" w:rsidRDefault="00C01C43">
      <w:pPr>
        <w:divId w:val="191193263"/>
        <w:rPr>
          <w:rFonts w:eastAsia="Times New Roman"/>
        </w:rPr>
      </w:pPr>
    </w:p>
    <w:p w14:paraId="70BF0217" w14:textId="77777777" w:rsidR="00000000" w:rsidRDefault="00C01C43">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 xml:space="preserve">labor and employment; </w:t>
      </w:r>
    </w:p>
    <w:p w14:paraId="6AC01CAC" w14:textId="77777777" w:rsidR="00000000" w:rsidRDefault="00C01C43">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 xml:space="preserve">workplace and driver safety; </w:t>
      </w:r>
    </w:p>
    <w:p w14:paraId="6718D71C" w14:textId="77777777" w:rsidR="00000000" w:rsidRDefault="00C01C43">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 xml:space="preserve">consumer protection; </w:t>
      </w:r>
    </w:p>
    <w:p w14:paraId="3F014B34" w14:textId="77777777" w:rsidR="00000000" w:rsidRDefault="00C01C43">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 xml:space="preserve">data privacy and protection; </w:t>
      </w:r>
    </w:p>
    <w:p w14:paraId="2FAED14C" w14:textId="77777777" w:rsidR="00000000" w:rsidRDefault="00C01C43">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 xml:space="preserve">commodities trading, brokerage, derivatives and advisory services; </w:t>
      </w:r>
    </w:p>
    <w:p w14:paraId="60A02E6B" w14:textId="77777777" w:rsidR="00000000" w:rsidRDefault="00C01C43">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 xml:space="preserve">credit and payment card processing and payment services; </w:t>
      </w:r>
    </w:p>
    <w:p w14:paraId="7C21A897" w14:textId="77777777" w:rsidR="00000000" w:rsidRDefault="00C01C43">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 xml:space="preserve">antitrust and competition; </w:t>
      </w:r>
    </w:p>
    <w:p w14:paraId="324DB460" w14:textId="77777777" w:rsidR="00000000" w:rsidRDefault="00C01C43">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 xml:space="preserve">anti-money laundering, financial services, and funds transmission; </w:t>
      </w:r>
    </w:p>
    <w:p w14:paraId="6A0D82BE" w14:textId="77777777" w:rsidR="00000000" w:rsidRDefault="00C01C43">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customs laws regulating the im</w:t>
      </w:r>
      <w:r>
        <w:rPr>
          <w:rFonts w:ascii="Arial" w:eastAsia="Times New Roman" w:hAnsi="Arial" w:cs="Arial"/>
          <w:color w:val="000000"/>
          <w:sz w:val="20"/>
          <w:szCs w:val="20"/>
        </w:rPr>
        <w:t xml:space="preserve">port and export of goods; and </w:t>
      </w:r>
    </w:p>
    <w:p w14:paraId="235D91E2" w14:textId="77777777" w:rsidR="00000000" w:rsidRDefault="00C01C43">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other regulatory reporting and licensing requirements.</w:t>
      </w:r>
    </w:p>
    <w:p w14:paraId="57B2634B" w14:textId="77777777" w:rsidR="00000000" w:rsidRDefault="00C01C43">
      <w:pPr>
        <w:jc w:val="both"/>
        <w:rPr>
          <w:rFonts w:eastAsia="Times New Roman"/>
        </w:rPr>
      </w:pPr>
    </w:p>
    <w:p w14:paraId="71980611" w14:textId="77777777" w:rsidR="00000000" w:rsidRDefault="00C01C43">
      <w:pPr>
        <w:jc w:val="both"/>
        <w:rPr>
          <w:rFonts w:eastAsia="Times New Roman"/>
        </w:rPr>
      </w:pPr>
      <w:r>
        <w:rPr>
          <w:rFonts w:ascii="Arial" w:eastAsia="Times New Roman" w:hAnsi="Arial" w:cs="Arial"/>
          <w:color w:val="000000"/>
          <w:sz w:val="20"/>
          <w:szCs w:val="20"/>
        </w:rPr>
        <w:t>Due to the complex and technical nature of many of these laws and regulations, inadvertent violations may occur. If we fail to comply with these laws or regulations fo</w:t>
      </w:r>
      <w:r>
        <w:rPr>
          <w:rFonts w:ascii="Arial" w:eastAsia="Times New Roman" w:hAnsi="Arial" w:cs="Arial"/>
          <w:color w:val="000000"/>
          <w:sz w:val="20"/>
          <w:szCs w:val="20"/>
        </w:rPr>
        <w:t xml:space="preserve">r any reason, we would be required to correct or implement measures to prevent a recurrence of any violations, which could increase our operating costs. </w:t>
      </w:r>
    </w:p>
    <w:p w14:paraId="702DA180" w14:textId="77777777" w:rsidR="00000000" w:rsidRDefault="00C01C43">
      <w:pPr>
        <w:jc w:val="both"/>
        <w:rPr>
          <w:rFonts w:eastAsia="Times New Roman"/>
        </w:rPr>
      </w:pPr>
    </w:p>
    <w:p w14:paraId="219997EC" w14:textId="77777777" w:rsidR="00000000" w:rsidRDefault="00C01C43">
      <w:pPr>
        <w:jc w:val="both"/>
        <w:divId w:val="1197619108"/>
        <w:rPr>
          <w:rFonts w:eastAsia="Times New Roman"/>
        </w:rPr>
      </w:pPr>
      <w:r>
        <w:rPr>
          <w:rFonts w:ascii="Arial" w:eastAsia="Times New Roman" w:hAnsi="Arial" w:cs="Arial"/>
          <w:b/>
          <w:bCs/>
          <w:color w:val="000000"/>
          <w:sz w:val="20"/>
          <w:szCs w:val="20"/>
        </w:rPr>
        <w:t>Human Capital Resources</w:t>
      </w:r>
    </w:p>
    <w:p w14:paraId="1C660C48" w14:textId="77777777" w:rsidR="00000000" w:rsidRDefault="00C01C43">
      <w:pPr>
        <w:jc w:val="both"/>
        <w:rPr>
          <w:rFonts w:eastAsia="Times New Roman"/>
        </w:rPr>
      </w:pPr>
      <w:r>
        <w:rPr>
          <w:rFonts w:ascii="Arial" w:eastAsia="Times New Roman" w:hAnsi="Arial" w:cs="Arial"/>
          <w:color w:val="000000"/>
          <w:sz w:val="20"/>
          <w:szCs w:val="20"/>
        </w:rPr>
        <w:t>At World Fuel Services, we believe that our people's passion and expertise a</w:t>
      </w:r>
      <w:r>
        <w:rPr>
          <w:rFonts w:ascii="Arial" w:eastAsia="Times New Roman" w:hAnsi="Arial" w:cs="Arial"/>
          <w:color w:val="000000"/>
          <w:sz w:val="20"/>
          <w:szCs w:val="20"/>
        </w:rPr>
        <w:t>re what differentiates us and investing in our people is a top priority. Our comprehensive approach to serving our workforce includes our commitment to our employees' growth and development, health and safety, and overall well-being. As of February 19, 202</w:t>
      </w:r>
      <w:r>
        <w:rPr>
          <w:rFonts w:ascii="Arial" w:eastAsia="Times New Roman" w:hAnsi="Arial" w:cs="Arial"/>
          <w:color w:val="000000"/>
          <w:sz w:val="20"/>
          <w:szCs w:val="20"/>
        </w:rPr>
        <w:t>1, we employed approximately 4,300 employees globally who are based in the following regions:</w:t>
      </w:r>
    </w:p>
    <w:p w14:paraId="11F1EDF1" w14:textId="77777777" w:rsidR="00000000" w:rsidRDefault="00C01C43">
      <w:pPr>
        <w:jc w:val="both"/>
        <w:rPr>
          <w:rFonts w:eastAsia="Times New Roman"/>
        </w:rPr>
      </w:pPr>
    </w:p>
    <w:tbl>
      <w:tblPr>
        <w:tblW w:w="2134" w:type="pct"/>
        <w:jc w:val="center"/>
        <w:tblCellMar>
          <w:top w:w="15" w:type="dxa"/>
          <w:left w:w="15" w:type="dxa"/>
          <w:bottom w:w="15" w:type="dxa"/>
          <w:right w:w="15" w:type="dxa"/>
        </w:tblCellMar>
        <w:tblLook w:val="04A0" w:firstRow="1" w:lastRow="0" w:firstColumn="1" w:lastColumn="0" w:noHBand="0" w:noVBand="1"/>
      </w:tblPr>
      <w:tblGrid>
        <w:gridCol w:w="37"/>
        <w:gridCol w:w="2379"/>
        <w:gridCol w:w="36"/>
        <w:gridCol w:w="37"/>
        <w:gridCol w:w="1020"/>
        <w:gridCol w:w="36"/>
      </w:tblGrid>
      <w:tr w:rsidR="00000000" w14:paraId="2D8813DB" w14:textId="77777777">
        <w:trPr>
          <w:jc w:val="center"/>
        </w:trPr>
        <w:tc>
          <w:tcPr>
            <w:tcW w:w="50" w:type="pct"/>
            <w:vAlign w:val="center"/>
            <w:hideMark/>
          </w:tcPr>
          <w:p w14:paraId="0941EA7B" w14:textId="77777777" w:rsidR="00000000" w:rsidRDefault="00C01C43">
            <w:pPr>
              <w:jc w:val="both"/>
              <w:rPr>
                <w:rFonts w:eastAsia="Times New Roman"/>
              </w:rPr>
            </w:pPr>
          </w:p>
        </w:tc>
        <w:tc>
          <w:tcPr>
            <w:tcW w:w="3403" w:type="pct"/>
            <w:vAlign w:val="center"/>
            <w:hideMark/>
          </w:tcPr>
          <w:p w14:paraId="40CD1F70" w14:textId="77777777" w:rsidR="00000000" w:rsidRDefault="00C01C43">
            <w:pPr>
              <w:rPr>
                <w:rFonts w:eastAsia="Times New Roman"/>
                <w:sz w:val="20"/>
                <w:szCs w:val="20"/>
              </w:rPr>
            </w:pPr>
          </w:p>
        </w:tc>
        <w:tc>
          <w:tcPr>
            <w:tcW w:w="5" w:type="pct"/>
            <w:vAlign w:val="center"/>
            <w:hideMark/>
          </w:tcPr>
          <w:p w14:paraId="183BF2B7" w14:textId="77777777" w:rsidR="00000000" w:rsidRDefault="00C01C43">
            <w:pPr>
              <w:rPr>
                <w:rFonts w:eastAsia="Times New Roman"/>
                <w:sz w:val="20"/>
                <w:szCs w:val="20"/>
              </w:rPr>
            </w:pPr>
          </w:p>
        </w:tc>
        <w:tc>
          <w:tcPr>
            <w:tcW w:w="50" w:type="pct"/>
            <w:vAlign w:val="center"/>
            <w:hideMark/>
          </w:tcPr>
          <w:p w14:paraId="4EDB26F4" w14:textId="77777777" w:rsidR="00000000" w:rsidRDefault="00C01C43">
            <w:pPr>
              <w:rPr>
                <w:rFonts w:eastAsia="Times New Roman"/>
                <w:sz w:val="20"/>
                <w:szCs w:val="20"/>
              </w:rPr>
            </w:pPr>
          </w:p>
        </w:tc>
        <w:tc>
          <w:tcPr>
            <w:tcW w:w="1486" w:type="pct"/>
            <w:vAlign w:val="center"/>
            <w:hideMark/>
          </w:tcPr>
          <w:p w14:paraId="48723BA0" w14:textId="77777777" w:rsidR="00000000" w:rsidRDefault="00C01C43">
            <w:pPr>
              <w:rPr>
                <w:rFonts w:eastAsia="Times New Roman"/>
                <w:sz w:val="20"/>
                <w:szCs w:val="20"/>
              </w:rPr>
            </w:pPr>
          </w:p>
        </w:tc>
        <w:tc>
          <w:tcPr>
            <w:tcW w:w="5" w:type="pct"/>
            <w:vAlign w:val="center"/>
            <w:hideMark/>
          </w:tcPr>
          <w:p w14:paraId="616652EC" w14:textId="77777777" w:rsidR="00000000" w:rsidRDefault="00C01C43">
            <w:pPr>
              <w:rPr>
                <w:rFonts w:eastAsia="Times New Roman"/>
                <w:sz w:val="20"/>
                <w:szCs w:val="20"/>
              </w:rPr>
            </w:pPr>
          </w:p>
        </w:tc>
      </w:tr>
      <w:tr w:rsidR="00000000" w14:paraId="4FF58CF2" w14:textId="77777777">
        <w:trPr>
          <w:jc w:val="center"/>
        </w:trPr>
        <w:tc>
          <w:tcPr>
            <w:tcW w:w="0" w:type="auto"/>
            <w:gridSpan w:val="3"/>
            <w:tcBorders>
              <w:top w:val="single" w:sz="8" w:space="0" w:color="000000"/>
              <w:left w:val="single" w:sz="8" w:space="0" w:color="000000"/>
            </w:tcBorders>
            <w:shd w:val="clear" w:color="auto" w:fill="305496"/>
            <w:tcMar>
              <w:top w:w="30" w:type="dxa"/>
              <w:left w:w="20" w:type="dxa"/>
              <w:bottom w:w="30" w:type="dxa"/>
              <w:right w:w="20" w:type="dxa"/>
            </w:tcMar>
            <w:hideMark/>
          </w:tcPr>
          <w:p w14:paraId="586E9684" w14:textId="77777777" w:rsidR="00000000" w:rsidRDefault="00C01C43">
            <w:pPr>
              <w:rPr>
                <w:rFonts w:eastAsia="Times New Roman"/>
              </w:rPr>
            </w:pPr>
            <w:r>
              <w:rPr>
                <w:rFonts w:ascii="Arial" w:eastAsia="Times New Roman" w:hAnsi="Arial" w:cs="Arial"/>
                <w:color w:val="FFFFFF"/>
                <w:sz w:val="18"/>
                <w:szCs w:val="18"/>
              </w:rPr>
              <w:t>Regions</w:t>
            </w:r>
          </w:p>
        </w:tc>
        <w:tc>
          <w:tcPr>
            <w:tcW w:w="0" w:type="auto"/>
            <w:gridSpan w:val="3"/>
            <w:tcBorders>
              <w:top w:val="single" w:sz="8" w:space="0" w:color="000000"/>
              <w:left w:val="single" w:sz="8" w:space="0" w:color="000000"/>
              <w:right w:val="single" w:sz="8" w:space="0" w:color="000000"/>
            </w:tcBorders>
            <w:shd w:val="clear" w:color="auto" w:fill="305496"/>
            <w:tcMar>
              <w:top w:w="30" w:type="dxa"/>
              <w:left w:w="20" w:type="dxa"/>
              <w:bottom w:w="30" w:type="dxa"/>
              <w:right w:w="20" w:type="dxa"/>
            </w:tcMar>
            <w:hideMark/>
          </w:tcPr>
          <w:p w14:paraId="25913D9E" w14:textId="77777777" w:rsidR="00000000" w:rsidRDefault="00C01C43">
            <w:pPr>
              <w:jc w:val="center"/>
              <w:rPr>
                <w:rFonts w:eastAsia="Times New Roman"/>
              </w:rPr>
            </w:pPr>
            <w:r>
              <w:rPr>
                <w:rFonts w:ascii="Arial" w:eastAsia="Times New Roman" w:hAnsi="Arial" w:cs="Arial"/>
                <w:color w:val="FFFFFF"/>
                <w:sz w:val="18"/>
                <w:szCs w:val="18"/>
              </w:rPr>
              <w:t>% of Workforce</w:t>
            </w:r>
          </w:p>
        </w:tc>
      </w:tr>
      <w:tr w:rsidR="00000000" w14:paraId="6488C549" w14:textId="77777777">
        <w:trPr>
          <w:jc w:val="center"/>
        </w:trPr>
        <w:tc>
          <w:tcPr>
            <w:tcW w:w="0" w:type="auto"/>
            <w:gridSpan w:val="3"/>
            <w:tcBorders>
              <w:left w:val="single" w:sz="8" w:space="0" w:color="000000"/>
            </w:tcBorders>
            <w:tcMar>
              <w:top w:w="30" w:type="dxa"/>
              <w:left w:w="20" w:type="dxa"/>
              <w:bottom w:w="30" w:type="dxa"/>
              <w:right w:w="20" w:type="dxa"/>
            </w:tcMar>
            <w:hideMark/>
          </w:tcPr>
          <w:p w14:paraId="1A2D02BF" w14:textId="77777777" w:rsidR="00000000" w:rsidRDefault="00C01C43">
            <w:pPr>
              <w:rPr>
                <w:rFonts w:eastAsia="Times New Roman"/>
              </w:rPr>
            </w:pPr>
            <w:r>
              <w:rPr>
                <w:rFonts w:ascii="Arial" w:eastAsia="Times New Roman" w:hAnsi="Arial" w:cs="Arial"/>
                <w:color w:val="000000"/>
                <w:sz w:val="18"/>
                <w:szCs w:val="18"/>
              </w:rPr>
              <w:t>U.S. / Canada</w:t>
            </w:r>
          </w:p>
        </w:tc>
        <w:tc>
          <w:tcPr>
            <w:tcW w:w="0" w:type="auto"/>
            <w:gridSpan w:val="3"/>
            <w:tcBorders>
              <w:left w:val="single" w:sz="8" w:space="0" w:color="000000"/>
              <w:right w:val="single" w:sz="8" w:space="0" w:color="000000"/>
            </w:tcBorders>
            <w:tcMar>
              <w:top w:w="30" w:type="dxa"/>
              <w:left w:w="20" w:type="dxa"/>
              <w:bottom w:w="30" w:type="dxa"/>
              <w:right w:w="20" w:type="dxa"/>
            </w:tcMar>
            <w:hideMark/>
          </w:tcPr>
          <w:p w14:paraId="4BCF2344" w14:textId="77777777" w:rsidR="00000000" w:rsidRDefault="00C01C43">
            <w:pPr>
              <w:jc w:val="center"/>
              <w:rPr>
                <w:rFonts w:eastAsia="Times New Roman"/>
              </w:rPr>
            </w:pPr>
            <w:r>
              <w:rPr>
                <w:rFonts w:ascii="Arial" w:eastAsia="Times New Roman" w:hAnsi="Arial" w:cs="Arial"/>
                <w:color w:val="000000"/>
                <w:sz w:val="18"/>
                <w:szCs w:val="18"/>
              </w:rPr>
              <w:t>45%</w:t>
            </w:r>
          </w:p>
        </w:tc>
      </w:tr>
      <w:tr w:rsidR="00000000" w14:paraId="52864587" w14:textId="77777777">
        <w:trPr>
          <w:jc w:val="center"/>
        </w:trPr>
        <w:tc>
          <w:tcPr>
            <w:tcW w:w="0" w:type="auto"/>
            <w:gridSpan w:val="3"/>
            <w:tcBorders>
              <w:left w:val="single" w:sz="8" w:space="0" w:color="000000"/>
            </w:tcBorders>
            <w:tcMar>
              <w:top w:w="30" w:type="dxa"/>
              <w:left w:w="20" w:type="dxa"/>
              <w:bottom w:w="30" w:type="dxa"/>
              <w:right w:w="20" w:type="dxa"/>
            </w:tcMar>
            <w:hideMark/>
          </w:tcPr>
          <w:p w14:paraId="6E057CB3" w14:textId="77777777" w:rsidR="00000000" w:rsidRDefault="00C01C43">
            <w:pPr>
              <w:rPr>
                <w:rFonts w:eastAsia="Times New Roman"/>
              </w:rPr>
            </w:pPr>
            <w:r>
              <w:rPr>
                <w:rFonts w:ascii="Arial" w:eastAsia="Times New Roman" w:hAnsi="Arial" w:cs="Arial"/>
                <w:color w:val="000000"/>
                <w:sz w:val="18"/>
                <w:szCs w:val="18"/>
              </w:rPr>
              <w:t>Europe, Middle East &amp; Africa</w:t>
            </w:r>
          </w:p>
        </w:tc>
        <w:tc>
          <w:tcPr>
            <w:tcW w:w="0" w:type="auto"/>
            <w:gridSpan w:val="3"/>
            <w:tcBorders>
              <w:left w:val="single" w:sz="8" w:space="0" w:color="000000"/>
              <w:right w:val="single" w:sz="8" w:space="0" w:color="000000"/>
            </w:tcBorders>
            <w:tcMar>
              <w:top w:w="30" w:type="dxa"/>
              <w:left w:w="20" w:type="dxa"/>
              <w:bottom w:w="30" w:type="dxa"/>
              <w:right w:w="20" w:type="dxa"/>
            </w:tcMar>
            <w:hideMark/>
          </w:tcPr>
          <w:p w14:paraId="638DD08B" w14:textId="77777777" w:rsidR="00000000" w:rsidRDefault="00C01C43">
            <w:pPr>
              <w:jc w:val="center"/>
              <w:rPr>
                <w:rFonts w:eastAsia="Times New Roman"/>
              </w:rPr>
            </w:pPr>
            <w:r>
              <w:rPr>
                <w:rFonts w:ascii="Arial" w:eastAsia="Times New Roman" w:hAnsi="Arial" w:cs="Arial"/>
                <w:color w:val="000000"/>
                <w:sz w:val="18"/>
                <w:szCs w:val="18"/>
              </w:rPr>
              <w:t>40%</w:t>
            </w:r>
          </w:p>
        </w:tc>
      </w:tr>
      <w:tr w:rsidR="00000000" w14:paraId="78FFB6BE" w14:textId="77777777">
        <w:trPr>
          <w:jc w:val="center"/>
        </w:trPr>
        <w:tc>
          <w:tcPr>
            <w:tcW w:w="0" w:type="auto"/>
            <w:gridSpan w:val="3"/>
            <w:tcBorders>
              <w:left w:val="single" w:sz="8" w:space="0" w:color="000000"/>
            </w:tcBorders>
            <w:tcMar>
              <w:top w:w="30" w:type="dxa"/>
              <w:left w:w="20" w:type="dxa"/>
              <w:bottom w:w="30" w:type="dxa"/>
              <w:right w:w="20" w:type="dxa"/>
            </w:tcMar>
            <w:hideMark/>
          </w:tcPr>
          <w:p w14:paraId="04262E81" w14:textId="77777777" w:rsidR="00000000" w:rsidRDefault="00C01C43">
            <w:pPr>
              <w:rPr>
                <w:rFonts w:eastAsia="Times New Roman"/>
              </w:rPr>
            </w:pPr>
            <w:r>
              <w:rPr>
                <w:rFonts w:ascii="Arial" w:eastAsia="Times New Roman" w:hAnsi="Arial" w:cs="Arial"/>
                <w:color w:val="000000"/>
                <w:sz w:val="18"/>
                <w:szCs w:val="18"/>
              </w:rPr>
              <w:t>Latin America</w:t>
            </w:r>
          </w:p>
        </w:tc>
        <w:tc>
          <w:tcPr>
            <w:tcW w:w="0" w:type="auto"/>
            <w:gridSpan w:val="3"/>
            <w:tcBorders>
              <w:left w:val="single" w:sz="8" w:space="0" w:color="000000"/>
              <w:right w:val="single" w:sz="8" w:space="0" w:color="000000"/>
            </w:tcBorders>
            <w:tcMar>
              <w:top w:w="30" w:type="dxa"/>
              <w:left w:w="20" w:type="dxa"/>
              <w:bottom w:w="30" w:type="dxa"/>
              <w:right w:w="20" w:type="dxa"/>
            </w:tcMar>
            <w:hideMark/>
          </w:tcPr>
          <w:p w14:paraId="47D2B1E7" w14:textId="77777777" w:rsidR="00000000" w:rsidRDefault="00C01C43">
            <w:pPr>
              <w:jc w:val="center"/>
              <w:rPr>
                <w:rFonts w:eastAsia="Times New Roman"/>
              </w:rPr>
            </w:pPr>
            <w:r>
              <w:rPr>
                <w:rFonts w:ascii="Arial" w:eastAsia="Times New Roman" w:hAnsi="Arial" w:cs="Arial"/>
                <w:color w:val="000000"/>
                <w:sz w:val="18"/>
                <w:szCs w:val="18"/>
              </w:rPr>
              <w:t>10%</w:t>
            </w:r>
          </w:p>
        </w:tc>
      </w:tr>
      <w:tr w:rsidR="00000000" w14:paraId="600DED57" w14:textId="77777777">
        <w:trPr>
          <w:jc w:val="center"/>
        </w:trPr>
        <w:tc>
          <w:tcPr>
            <w:tcW w:w="0" w:type="auto"/>
            <w:gridSpan w:val="3"/>
            <w:tcBorders>
              <w:left w:val="single" w:sz="8" w:space="0" w:color="000000"/>
              <w:bottom w:val="single" w:sz="8" w:space="0" w:color="000000"/>
            </w:tcBorders>
            <w:tcMar>
              <w:top w:w="30" w:type="dxa"/>
              <w:left w:w="20" w:type="dxa"/>
              <w:bottom w:w="30" w:type="dxa"/>
              <w:right w:w="20" w:type="dxa"/>
            </w:tcMar>
            <w:hideMark/>
          </w:tcPr>
          <w:p w14:paraId="05129056" w14:textId="77777777" w:rsidR="00000000" w:rsidRDefault="00C01C43">
            <w:pPr>
              <w:rPr>
                <w:rFonts w:eastAsia="Times New Roman"/>
              </w:rPr>
            </w:pPr>
            <w:r>
              <w:rPr>
                <w:rFonts w:ascii="Arial" w:eastAsia="Times New Roman" w:hAnsi="Arial" w:cs="Arial"/>
                <w:color w:val="000000"/>
                <w:sz w:val="18"/>
                <w:szCs w:val="18"/>
              </w:rPr>
              <w:t>Asia / Pacific</w:t>
            </w:r>
          </w:p>
        </w:tc>
        <w:tc>
          <w:tcPr>
            <w:tcW w:w="0" w:type="auto"/>
            <w:gridSpan w:val="3"/>
            <w:tcBorders>
              <w:left w:val="single" w:sz="8" w:space="0" w:color="000000"/>
              <w:bottom w:val="single" w:sz="8" w:space="0" w:color="000000"/>
              <w:right w:val="single" w:sz="8" w:space="0" w:color="000000"/>
            </w:tcBorders>
            <w:tcMar>
              <w:top w:w="30" w:type="dxa"/>
              <w:left w:w="20" w:type="dxa"/>
              <w:bottom w:w="30" w:type="dxa"/>
              <w:right w:w="20" w:type="dxa"/>
            </w:tcMar>
            <w:hideMark/>
          </w:tcPr>
          <w:p w14:paraId="3437E9B7" w14:textId="77777777" w:rsidR="00000000" w:rsidRDefault="00C01C43">
            <w:pPr>
              <w:jc w:val="center"/>
              <w:rPr>
                <w:rFonts w:eastAsia="Times New Roman"/>
              </w:rPr>
            </w:pPr>
            <w:r>
              <w:rPr>
                <w:rFonts w:ascii="Arial" w:eastAsia="Times New Roman" w:hAnsi="Arial" w:cs="Arial"/>
                <w:color w:val="000000"/>
                <w:sz w:val="18"/>
                <w:szCs w:val="18"/>
              </w:rPr>
              <w:t>5%</w:t>
            </w:r>
          </w:p>
        </w:tc>
      </w:tr>
    </w:tbl>
    <w:p w14:paraId="115716F9" w14:textId="77777777" w:rsidR="00000000" w:rsidRDefault="00C01C43">
      <w:pPr>
        <w:jc w:val="both"/>
        <w:rPr>
          <w:rFonts w:eastAsia="Times New Roman"/>
        </w:rPr>
      </w:pPr>
    </w:p>
    <w:p w14:paraId="5519054E" w14:textId="77777777" w:rsidR="00000000" w:rsidRDefault="00C01C43">
      <w:pPr>
        <w:jc w:val="both"/>
        <w:rPr>
          <w:rFonts w:eastAsia="Times New Roman"/>
        </w:rPr>
      </w:pPr>
    </w:p>
    <w:p w14:paraId="3BED59AD" w14:textId="77777777" w:rsidR="00000000" w:rsidRDefault="00C01C43">
      <w:pPr>
        <w:jc w:val="center"/>
        <w:divId w:val="838424079"/>
        <w:rPr>
          <w:rFonts w:eastAsia="Times New Roman"/>
        </w:rPr>
      </w:pPr>
      <w:r>
        <w:rPr>
          <w:rFonts w:ascii="Arial" w:eastAsia="Times New Roman" w:hAnsi="Arial" w:cs="Arial"/>
          <w:color w:val="000000"/>
          <w:sz w:val="16"/>
          <w:szCs w:val="16"/>
        </w:rPr>
        <w:t>4</w:t>
      </w:r>
    </w:p>
    <w:p w14:paraId="1B96219C" w14:textId="77777777" w:rsidR="00000000" w:rsidRDefault="00C01C43">
      <w:pPr>
        <w:rPr>
          <w:rFonts w:eastAsia="Times New Roman"/>
        </w:rPr>
      </w:pPr>
      <w:r>
        <w:rPr>
          <w:rFonts w:eastAsia="Times New Roman"/>
        </w:rPr>
        <w:pict w14:anchorId="46EB3D36">
          <v:rect id="_x0000_i1032" style="width:0;height:1.5pt" o:hralign="center" o:hrstd="t" o:hr="t" fillcolor="#a0a0a0" stroked="f"/>
        </w:pict>
      </w:r>
    </w:p>
    <w:p w14:paraId="69941664" w14:textId="77777777" w:rsidR="00000000" w:rsidRDefault="00C01C43">
      <w:pPr>
        <w:divId w:val="1541238102"/>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12BE76C" w14:textId="77777777" w:rsidR="00000000" w:rsidRDefault="00C01C43">
      <w:pPr>
        <w:jc w:val="both"/>
        <w:rPr>
          <w:rFonts w:eastAsia="Times New Roman"/>
        </w:rPr>
      </w:pPr>
      <w:r>
        <w:rPr>
          <w:rFonts w:ascii="Arial" w:eastAsia="Times New Roman" w:hAnsi="Arial" w:cs="Arial"/>
          <w:i/>
          <w:iCs/>
          <w:color w:val="000000"/>
          <w:sz w:val="20"/>
          <w:szCs w:val="20"/>
        </w:rPr>
        <w:t>Health and Safety</w:t>
      </w:r>
    </w:p>
    <w:p w14:paraId="3C5A060F" w14:textId="77777777" w:rsidR="00000000" w:rsidRDefault="00C01C43">
      <w:pPr>
        <w:jc w:val="both"/>
        <w:rPr>
          <w:rFonts w:eastAsia="Times New Roman"/>
        </w:rPr>
      </w:pPr>
    </w:p>
    <w:p w14:paraId="64A72F9C" w14:textId="77777777" w:rsidR="00000000" w:rsidRDefault="00C01C43">
      <w:pPr>
        <w:jc w:val="both"/>
        <w:rPr>
          <w:rFonts w:eastAsia="Times New Roman"/>
        </w:rPr>
      </w:pPr>
      <w:r>
        <w:rPr>
          <w:rFonts w:ascii="Arial" w:eastAsia="Times New Roman" w:hAnsi="Arial" w:cs="Arial"/>
          <w:color w:val="000000"/>
          <w:sz w:val="20"/>
          <w:szCs w:val="20"/>
        </w:rPr>
        <w:t>As a global energy supply and logistics company, we are committed to doing the right thing in all that we do and we continua</w:t>
      </w:r>
      <w:r>
        <w:rPr>
          <w:rFonts w:ascii="Arial" w:eastAsia="Times New Roman" w:hAnsi="Arial" w:cs="Arial"/>
          <w:color w:val="000000"/>
          <w:sz w:val="20"/>
          <w:szCs w:val="20"/>
        </w:rPr>
        <w:t>lly seek to protect the health and safety of our employees, contractors, customers, suppliers and the communities in which we operate. We play a leading role in promoting best practices within the transportation industry and are closely involved in develop</w:t>
      </w:r>
      <w:r>
        <w:rPr>
          <w:rFonts w:ascii="Arial" w:eastAsia="Times New Roman" w:hAnsi="Arial" w:cs="Arial"/>
          <w:color w:val="000000"/>
          <w:sz w:val="20"/>
          <w:szCs w:val="20"/>
        </w:rPr>
        <w:t>ing, setting, and maintaining health, safety and environment (“HSE”) industry standards. We have also established a set of “Rules to Live By” to help strengthen our existing Integrated Management System and drive appropriate safety behaviors and practices,</w:t>
      </w:r>
      <w:r>
        <w:rPr>
          <w:rFonts w:ascii="Arial" w:eastAsia="Times New Roman" w:hAnsi="Arial" w:cs="Arial"/>
          <w:color w:val="000000"/>
          <w:sz w:val="20"/>
          <w:szCs w:val="20"/>
        </w:rPr>
        <w:t xml:space="preserve"> which specify certain behaviors that we believe are vital to preventing workplace incidents. These zero-tolerance rules are designed to ensure the safety of our employees, contractors, customers, suppliers and communities around the world.</w:t>
      </w:r>
    </w:p>
    <w:p w14:paraId="7CDA5C6B" w14:textId="77777777" w:rsidR="00000000" w:rsidRDefault="00C01C43">
      <w:pPr>
        <w:jc w:val="both"/>
        <w:rPr>
          <w:rFonts w:eastAsia="Times New Roman"/>
        </w:rPr>
      </w:pPr>
    </w:p>
    <w:p w14:paraId="60187286" w14:textId="77777777" w:rsidR="00000000" w:rsidRDefault="00C01C43">
      <w:pPr>
        <w:jc w:val="both"/>
        <w:rPr>
          <w:rFonts w:eastAsia="Times New Roman"/>
        </w:rPr>
      </w:pPr>
      <w:r>
        <w:rPr>
          <w:rFonts w:ascii="Arial" w:eastAsia="Times New Roman" w:hAnsi="Arial" w:cs="Arial"/>
          <w:color w:val="000000"/>
          <w:sz w:val="20"/>
          <w:szCs w:val="20"/>
        </w:rPr>
        <w:t xml:space="preserve">In addition, </w:t>
      </w:r>
      <w:r>
        <w:rPr>
          <w:rFonts w:ascii="Arial" w:eastAsia="Times New Roman" w:hAnsi="Arial" w:cs="Arial"/>
          <w:color w:val="000000"/>
          <w:sz w:val="20"/>
          <w:szCs w:val="20"/>
        </w:rPr>
        <w:t>in response to the COVID-19 pandemic, we implemented our business continuity and emergency response plans in alignment with mandates from local authorities. To ensure the safety of our employees who are continuing to work through the pandemic, we provide i</w:t>
      </w:r>
      <w:r>
        <w:rPr>
          <w:rFonts w:ascii="Arial" w:eastAsia="Times New Roman" w:hAnsi="Arial" w:cs="Arial"/>
          <w:color w:val="000000"/>
          <w:sz w:val="20"/>
          <w:szCs w:val="20"/>
        </w:rPr>
        <w:t>nstructions and regular updates on how to work safely in the COVID-19 environment. We also provide protective wear and additional training for our employees working in our on-site fueling and trucking operations and have elevated our cleaning protocols for</w:t>
      </w:r>
      <w:r>
        <w:rPr>
          <w:rFonts w:ascii="Arial" w:eastAsia="Times New Roman" w:hAnsi="Arial" w:cs="Arial"/>
          <w:color w:val="000000"/>
          <w:sz w:val="20"/>
          <w:szCs w:val="20"/>
        </w:rPr>
        <w:t xml:space="preserve"> our offices, facilities and equipment. We have also been maximizing remote work throughout our global offices and wherever possible, our employees are collaborating virtually with our customers, suppliers and each other using the information-sharing tools</w:t>
      </w:r>
      <w:r>
        <w:rPr>
          <w:rFonts w:ascii="Arial" w:eastAsia="Times New Roman" w:hAnsi="Arial" w:cs="Arial"/>
          <w:color w:val="000000"/>
          <w:sz w:val="20"/>
          <w:szCs w:val="20"/>
        </w:rPr>
        <w:t xml:space="preserve"> and technology that we have invested in during the last several years.</w:t>
      </w:r>
    </w:p>
    <w:p w14:paraId="24EE700C" w14:textId="77777777" w:rsidR="00000000" w:rsidRDefault="00C01C43">
      <w:pPr>
        <w:jc w:val="both"/>
        <w:rPr>
          <w:rFonts w:eastAsia="Times New Roman"/>
        </w:rPr>
      </w:pPr>
    </w:p>
    <w:p w14:paraId="6A4D4F61" w14:textId="77777777" w:rsidR="00000000" w:rsidRDefault="00C01C43">
      <w:pPr>
        <w:jc w:val="both"/>
        <w:rPr>
          <w:rFonts w:eastAsia="Times New Roman"/>
        </w:rPr>
      </w:pPr>
      <w:r>
        <w:rPr>
          <w:rFonts w:ascii="Arial" w:eastAsia="Times New Roman" w:hAnsi="Arial" w:cs="Arial"/>
          <w:i/>
          <w:iCs/>
          <w:color w:val="000000"/>
          <w:sz w:val="20"/>
          <w:szCs w:val="20"/>
        </w:rPr>
        <w:t>Diversity and Inclusion</w:t>
      </w:r>
    </w:p>
    <w:p w14:paraId="32EB1FF8" w14:textId="77777777" w:rsidR="00000000" w:rsidRDefault="00C01C43">
      <w:pPr>
        <w:jc w:val="both"/>
        <w:rPr>
          <w:rFonts w:eastAsia="Times New Roman"/>
        </w:rPr>
      </w:pPr>
    </w:p>
    <w:p w14:paraId="01363DDF" w14:textId="77777777" w:rsidR="00000000" w:rsidRDefault="00C01C43">
      <w:pPr>
        <w:jc w:val="both"/>
        <w:rPr>
          <w:rFonts w:eastAsia="Times New Roman"/>
        </w:rPr>
      </w:pPr>
      <w:r>
        <w:rPr>
          <w:rFonts w:ascii="Arial" w:eastAsia="Times New Roman" w:hAnsi="Arial" w:cs="Arial"/>
          <w:color w:val="000000"/>
          <w:sz w:val="20"/>
          <w:szCs w:val="20"/>
        </w:rPr>
        <w:t xml:space="preserve">Investing in our employees is a top priority and we continually strive to provide an environment that promotes learning, growth and development to maximize </w:t>
      </w:r>
      <w:r>
        <w:rPr>
          <w:rFonts w:ascii="Arial" w:eastAsia="Times New Roman" w:hAnsi="Arial" w:cs="Arial"/>
          <w:color w:val="000000"/>
          <w:sz w:val="20"/>
          <w:szCs w:val="20"/>
        </w:rPr>
        <w:t>our people's potential. We always seek to attract, develop and retain the most qualified people for all our positions while focusing on embedding diversity inclusion to build a unique blend of cultures, backgrounds, skills and beliefs that mirror the world</w:t>
      </w:r>
      <w:r>
        <w:rPr>
          <w:rFonts w:ascii="Arial" w:eastAsia="Times New Roman" w:hAnsi="Arial" w:cs="Arial"/>
          <w:color w:val="000000"/>
          <w:sz w:val="20"/>
          <w:szCs w:val="20"/>
        </w:rPr>
        <w:t xml:space="preserve"> we live in. We strongly believe our ongoing initiatives in minority, women and veterans hiring contribute to gains in employee retention, growth and development, which invariably lead to improved operating and financial performance. For example, we believ</w:t>
      </w:r>
      <w:r>
        <w:rPr>
          <w:rFonts w:ascii="Arial" w:eastAsia="Times New Roman" w:hAnsi="Arial" w:cs="Arial"/>
          <w:color w:val="000000"/>
          <w:sz w:val="20"/>
          <w:szCs w:val="20"/>
        </w:rPr>
        <w:t>e that the contributions of the women at World Fuel Services are instrumental for the success of our global business and therefore, we strive to seize each opportunity to encourage and support women within our organization, as we recognize the importance o</w:t>
      </w:r>
      <w:r>
        <w:rPr>
          <w:rFonts w:ascii="Arial" w:eastAsia="Times New Roman" w:hAnsi="Arial" w:cs="Arial"/>
          <w:color w:val="000000"/>
          <w:sz w:val="20"/>
          <w:szCs w:val="20"/>
        </w:rPr>
        <w:t>f empowering women to reduce the gender inequalities in our society. We recently gathered more than 200 of our female colleagues globally as part of an International Women’s Day event to celebrate women’s accomplishments and provided opportunities for deve</w:t>
      </w:r>
      <w:r>
        <w:rPr>
          <w:rFonts w:ascii="Arial" w:eastAsia="Times New Roman" w:hAnsi="Arial" w:cs="Arial"/>
          <w:color w:val="000000"/>
          <w:sz w:val="20"/>
          <w:szCs w:val="20"/>
        </w:rPr>
        <w:t>lopment, networking and mentorship. These types of events offer a great platform to facilitate the exchange of experiences among our female colleagues, with the goal of empowering the women of World Fuel Services in their professional and personal lives.</w:t>
      </w:r>
    </w:p>
    <w:p w14:paraId="18F04026" w14:textId="77777777" w:rsidR="00000000" w:rsidRDefault="00C01C43">
      <w:pPr>
        <w:jc w:val="both"/>
        <w:rPr>
          <w:rFonts w:eastAsia="Times New Roman"/>
        </w:rPr>
      </w:pPr>
    </w:p>
    <w:p w14:paraId="53D9A4C2" w14:textId="77777777" w:rsidR="00000000" w:rsidRDefault="00C01C43">
      <w:pPr>
        <w:jc w:val="both"/>
        <w:rPr>
          <w:rFonts w:eastAsia="Times New Roman"/>
        </w:rPr>
      </w:pPr>
      <w:r>
        <w:rPr>
          <w:rFonts w:ascii="Arial" w:eastAsia="Times New Roman" w:hAnsi="Arial" w:cs="Arial"/>
          <w:i/>
          <w:iCs/>
          <w:color w:val="000000"/>
          <w:sz w:val="20"/>
          <w:szCs w:val="20"/>
        </w:rPr>
        <w:t>Employee Development and Well-Being</w:t>
      </w:r>
    </w:p>
    <w:p w14:paraId="5F92793C" w14:textId="77777777" w:rsidR="00000000" w:rsidRDefault="00C01C43">
      <w:pPr>
        <w:jc w:val="both"/>
        <w:rPr>
          <w:rFonts w:eastAsia="Times New Roman"/>
        </w:rPr>
      </w:pPr>
    </w:p>
    <w:p w14:paraId="1141D15C" w14:textId="77777777" w:rsidR="00000000" w:rsidRDefault="00C01C43">
      <w:pPr>
        <w:jc w:val="both"/>
        <w:rPr>
          <w:rFonts w:eastAsia="Times New Roman"/>
        </w:rPr>
      </w:pPr>
      <w:r>
        <w:rPr>
          <w:rFonts w:ascii="Arial" w:eastAsia="Times New Roman" w:hAnsi="Arial" w:cs="Arial"/>
          <w:color w:val="000000"/>
          <w:sz w:val="20"/>
          <w:szCs w:val="20"/>
        </w:rPr>
        <w:t>We place a high degree of focus on growth in position and career enhancement paths for our valued employees by providing professional development opportunities and cultivating a diverse talent pool. We offer competiti</w:t>
      </w:r>
      <w:r>
        <w:rPr>
          <w:rFonts w:ascii="Arial" w:eastAsia="Times New Roman" w:hAnsi="Arial" w:cs="Arial"/>
          <w:color w:val="000000"/>
          <w:sz w:val="20"/>
          <w:szCs w:val="20"/>
        </w:rPr>
        <w:t>ve compensation comprising salaries, incentive bonuses, various forms of equity awards, and comprehensive benefits packages in each of our locations worldwide.</w:t>
      </w:r>
    </w:p>
    <w:p w14:paraId="250972BE" w14:textId="77777777" w:rsidR="00000000" w:rsidRDefault="00C01C43">
      <w:pPr>
        <w:jc w:val="both"/>
        <w:rPr>
          <w:rFonts w:eastAsia="Times New Roman"/>
        </w:rPr>
      </w:pPr>
    </w:p>
    <w:p w14:paraId="76839EF7" w14:textId="77777777" w:rsidR="00000000" w:rsidRDefault="00C01C43">
      <w:pPr>
        <w:jc w:val="both"/>
        <w:rPr>
          <w:rFonts w:eastAsia="Times New Roman"/>
        </w:rPr>
      </w:pPr>
      <w:r>
        <w:rPr>
          <w:rFonts w:ascii="Arial" w:eastAsia="Times New Roman" w:hAnsi="Arial" w:cs="Arial"/>
          <w:color w:val="000000"/>
          <w:sz w:val="20"/>
          <w:szCs w:val="20"/>
        </w:rPr>
        <w:t>We are committed to supporting the health and well-being of our employees and their families, as we believe that the key to successful business operations is a healthy and competent workforce. We have identified a strong connection between employee well-be</w:t>
      </w:r>
      <w:r>
        <w:rPr>
          <w:rFonts w:ascii="Arial" w:eastAsia="Times New Roman" w:hAnsi="Arial" w:cs="Arial"/>
          <w:color w:val="000000"/>
          <w:sz w:val="20"/>
          <w:szCs w:val="20"/>
        </w:rPr>
        <w:t>ing and the safety of business operations. Accordingly, we are devoted to supporting employee well-being in all dimensions, which goes beyond their physical well-being and includes support for emotional, financial and social well-being. It is a holistic ap</w:t>
      </w:r>
      <w:r>
        <w:rPr>
          <w:rFonts w:ascii="Arial" w:eastAsia="Times New Roman" w:hAnsi="Arial" w:cs="Arial"/>
          <w:color w:val="000000"/>
          <w:sz w:val="20"/>
          <w:szCs w:val="20"/>
        </w:rPr>
        <w:t>proach which provides support and resources that empower our employees and their families to embrace a healthy lifestyle and we have launched various programs to build a global culture that promotes and celebrates employee health and well-being in our loca</w:t>
      </w:r>
      <w:r>
        <w:rPr>
          <w:rFonts w:ascii="Arial" w:eastAsia="Times New Roman" w:hAnsi="Arial" w:cs="Arial"/>
          <w:color w:val="000000"/>
          <w:sz w:val="20"/>
          <w:szCs w:val="20"/>
        </w:rPr>
        <w:t xml:space="preserve">tions worldwide. </w:t>
      </w:r>
    </w:p>
    <w:p w14:paraId="32764F8F" w14:textId="77777777" w:rsidR="00000000" w:rsidRDefault="00C01C43">
      <w:pPr>
        <w:jc w:val="both"/>
        <w:rPr>
          <w:rFonts w:eastAsia="Times New Roman"/>
        </w:rPr>
      </w:pPr>
    </w:p>
    <w:p w14:paraId="7FD6F517" w14:textId="77777777" w:rsidR="00000000" w:rsidRDefault="00C01C43">
      <w:pPr>
        <w:jc w:val="both"/>
        <w:rPr>
          <w:rFonts w:eastAsia="Times New Roman"/>
        </w:rPr>
      </w:pPr>
      <w:r>
        <w:rPr>
          <w:rFonts w:ascii="Arial" w:eastAsia="Times New Roman" w:hAnsi="Arial" w:cs="Arial"/>
          <w:i/>
          <w:iCs/>
          <w:color w:val="000000"/>
          <w:sz w:val="20"/>
          <w:szCs w:val="20"/>
        </w:rPr>
        <w:t>Citizenship</w:t>
      </w:r>
    </w:p>
    <w:p w14:paraId="748572E1" w14:textId="77777777" w:rsidR="00000000" w:rsidRDefault="00C01C43">
      <w:pPr>
        <w:jc w:val="both"/>
        <w:rPr>
          <w:rFonts w:eastAsia="Times New Roman"/>
        </w:rPr>
      </w:pPr>
    </w:p>
    <w:p w14:paraId="3E9527EF" w14:textId="77777777" w:rsidR="00000000" w:rsidRDefault="00C01C43">
      <w:pPr>
        <w:jc w:val="both"/>
        <w:rPr>
          <w:rFonts w:eastAsia="Times New Roman"/>
        </w:rPr>
      </w:pPr>
      <w:r>
        <w:rPr>
          <w:rFonts w:ascii="Arial" w:eastAsia="Times New Roman" w:hAnsi="Arial" w:cs="Arial"/>
          <w:color w:val="000000"/>
          <w:sz w:val="20"/>
          <w:szCs w:val="20"/>
        </w:rPr>
        <w:t>We strongly believe that we can play a positive role in the communities in which we operate. At World Fuel Services, we and all of our employees are dedicated to being a good neighbor and charitable partner in all the loca</w:t>
      </w:r>
      <w:r>
        <w:rPr>
          <w:rFonts w:ascii="Arial" w:eastAsia="Times New Roman" w:hAnsi="Arial" w:cs="Arial"/>
          <w:color w:val="000000"/>
          <w:sz w:val="20"/>
          <w:szCs w:val="20"/>
        </w:rPr>
        <w:t>l and global communities where we conduct our operations. We are committed to creating a positive impact in our communities, encouraging our employees to support the communities in which they live and in which we operate, and engaging with and supporting c</w:t>
      </w:r>
      <w:r>
        <w:rPr>
          <w:rFonts w:ascii="Arial" w:eastAsia="Times New Roman" w:hAnsi="Arial" w:cs="Arial"/>
          <w:color w:val="000000"/>
          <w:sz w:val="20"/>
          <w:szCs w:val="20"/>
        </w:rPr>
        <w:t>harities in all aspects of society.</w:t>
      </w:r>
    </w:p>
    <w:p w14:paraId="7B29E1F3" w14:textId="77777777" w:rsidR="00000000" w:rsidRDefault="00C01C43">
      <w:pPr>
        <w:jc w:val="both"/>
        <w:rPr>
          <w:rFonts w:eastAsia="Times New Roman"/>
        </w:rPr>
      </w:pPr>
    </w:p>
    <w:p w14:paraId="10CE1739" w14:textId="77777777" w:rsidR="00000000" w:rsidRDefault="00C01C43">
      <w:pPr>
        <w:jc w:val="center"/>
        <w:divId w:val="1852986691"/>
        <w:rPr>
          <w:rFonts w:eastAsia="Times New Roman"/>
        </w:rPr>
      </w:pPr>
      <w:r>
        <w:rPr>
          <w:rFonts w:ascii="Arial" w:eastAsia="Times New Roman" w:hAnsi="Arial" w:cs="Arial"/>
          <w:color w:val="000000"/>
          <w:sz w:val="16"/>
          <w:szCs w:val="16"/>
        </w:rPr>
        <w:t>5</w:t>
      </w:r>
    </w:p>
    <w:p w14:paraId="4D5DA792" w14:textId="77777777" w:rsidR="00000000" w:rsidRDefault="00C01C43">
      <w:pPr>
        <w:rPr>
          <w:rFonts w:eastAsia="Times New Roman"/>
        </w:rPr>
      </w:pPr>
      <w:r>
        <w:rPr>
          <w:rFonts w:eastAsia="Times New Roman"/>
        </w:rPr>
        <w:pict w14:anchorId="499808FF">
          <v:rect id="_x0000_i1033" style="width:0;height:1.5pt" o:hralign="center" o:hrstd="t" o:hr="t" fillcolor="#a0a0a0" stroked="f"/>
        </w:pict>
      </w:r>
    </w:p>
    <w:p w14:paraId="1CF258EB" w14:textId="77777777" w:rsidR="00000000" w:rsidRDefault="00C01C43">
      <w:pPr>
        <w:divId w:val="969555723"/>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849F0C9" w14:textId="77777777" w:rsidR="00000000" w:rsidRDefault="00C01C43">
      <w:pPr>
        <w:jc w:val="both"/>
        <w:rPr>
          <w:rFonts w:eastAsia="Times New Roman"/>
        </w:rPr>
      </w:pPr>
      <w:r>
        <w:rPr>
          <w:rFonts w:ascii="Arial" w:eastAsia="Times New Roman" w:hAnsi="Arial" w:cs="Arial"/>
          <w:color w:val="000000"/>
          <w:sz w:val="20"/>
          <w:szCs w:val="20"/>
        </w:rPr>
        <w:t>Some of the charities in which we have participated recently include: Adrienne Arsht Center for the Performing Arts of Miami-Dade County; United Way; Muscular Dystrophy Association (MDA); Jet Blue Swing for Good, which supports youth-oriented charities; Fo</w:t>
      </w:r>
      <w:r>
        <w:rPr>
          <w:rFonts w:ascii="Arial" w:eastAsia="Times New Roman" w:hAnsi="Arial" w:cs="Arial"/>
          <w:color w:val="000000"/>
          <w:sz w:val="20"/>
          <w:szCs w:val="20"/>
        </w:rPr>
        <w:t>lds of Honor, which provides educational scholarships to spouses and children of America’s fallen and disabled service-members, and many more local and global institutions and organizations.</w:t>
      </w:r>
    </w:p>
    <w:p w14:paraId="67A71872" w14:textId="77777777" w:rsidR="00000000" w:rsidRDefault="00C01C43">
      <w:pPr>
        <w:jc w:val="both"/>
        <w:rPr>
          <w:rFonts w:eastAsia="Times New Roman"/>
        </w:rPr>
      </w:pPr>
    </w:p>
    <w:p w14:paraId="1061CDEB" w14:textId="77777777" w:rsidR="00000000" w:rsidRDefault="00C01C43">
      <w:pPr>
        <w:jc w:val="both"/>
        <w:divId w:val="1092622493"/>
        <w:rPr>
          <w:rFonts w:eastAsia="Times New Roman"/>
        </w:rPr>
      </w:pPr>
      <w:r>
        <w:rPr>
          <w:rFonts w:ascii="Arial" w:eastAsia="Times New Roman" w:hAnsi="Arial" w:cs="Arial"/>
          <w:b/>
          <w:bCs/>
          <w:color w:val="000000"/>
          <w:sz w:val="20"/>
          <w:szCs w:val="20"/>
        </w:rPr>
        <w:t>Forward-Looking Statements</w:t>
      </w:r>
    </w:p>
    <w:p w14:paraId="1325778E" w14:textId="77777777" w:rsidR="00000000" w:rsidRDefault="00C01C43">
      <w:pPr>
        <w:jc w:val="both"/>
        <w:divId w:val="1362122829"/>
        <w:rPr>
          <w:rFonts w:eastAsia="Times New Roman"/>
        </w:rPr>
      </w:pPr>
      <w:r>
        <w:rPr>
          <w:rFonts w:ascii="Arial" w:eastAsia="Times New Roman" w:hAnsi="Arial" w:cs="Arial"/>
          <w:color w:val="000000"/>
          <w:sz w:val="20"/>
          <w:szCs w:val="20"/>
        </w:rPr>
        <w:t>This 2020 10-K Report and the inform</w:t>
      </w:r>
      <w:r>
        <w:rPr>
          <w:rFonts w:ascii="Arial" w:eastAsia="Times New Roman" w:hAnsi="Arial" w:cs="Arial"/>
          <w:color w:val="000000"/>
          <w:sz w:val="20"/>
          <w:szCs w:val="20"/>
        </w:rPr>
        <w:t>ation incorporated by reference in it, or made by us in other reports, filings with the SEC, press releases, teleconferences, industry conferences or otherwise, contain “forward-looking statements” within the meaning of the Private Securities Litigation Re</w:t>
      </w:r>
      <w:r>
        <w:rPr>
          <w:rFonts w:ascii="Arial" w:eastAsia="Times New Roman" w:hAnsi="Arial" w:cs="Arial"/>
          <w:color w:val="000000"/>
          <w:sz w:val="20"/>
          <w:szCs w:val="20"/>
        </w:rPr>
        <w:t xml:space="preserve">form Act of 1995. The forward-looking statements include, without limitation, any statement that may predict, forecast, indicate or imply future results, performance or achievements, and may contain the words “believe,” “anticipate,” “expect,” “estimate,” </w:t>
      </w:r>
      <w:r>
        <w:rPr>
          <w:rFonts w:ascii="Arial" w:eastAsia="Times New Roman" w:hAnsi="Arial" w:cs="Arial"/>
          <w:color w:val="000000"/>
          <w:sz w:val="20"/>
          <w:szCs w:val="20"/>
        </w:rPr>
        <w:t xml:space="preserve">“project,” “could,” “would,” “will,” “will be,” “will continue,” “will likely result,” “plan,” or words or phrases of similar meaning. Specifically, this 2020 10-K Report includes forward-looking statements about (i) the impact of the coronavirus pandemic </w:t>
      </w:r>
      <w:r>
        <w:rPr>
          <w:rFonts w:ascii="Arial" w:eastAsia="Times New Roman" w:hAnsi="Arial" w:cs="Arial"/>
          <w:color w:val="000000"/>
          <w:sz w:val="20"/>
          <w:szCs w:val="20"/>
        </w:rPr>
        <w:t>("COVID-19") on us and our customers, including our expectations about demand, volume, profitability and the impact of fuel prices, (ii) our expectations regarding the conditions in the aviation, land, and marine markets and their impact on our business, (</w:t>
      </w:r>
      <w:r>
        <w:rPr>
          <w:rFonts w:ascii="Arial" w:eastAsia="Times New Roman" w:hAnsi="Arial" w:cs="Arial"/>
          <w:color w:val="000000"/>
          <w:sz w:val="20"/>
          <w:szCs w:val="20"/>
        </w:rPr>
        <w:t>iii) our expectations regarding government-related activity in Afghanistan with the North Atlantic Treaty Organization (NATO) and the impact of the U.S. troop withdrawals, as well as the related profit contribution, (iv) our estimates regarding the expecte</w:t>
      </w:r>
      <w:r>
        <w:rPr>
          <w:rFonts w:ascii="Arial" w:eastAsia="Times New Roman" w:hAnsi="Arial" w:cs="Arial"/>
          <w:color w:val="000000"/>
          <w:sz w:val="20"/>
          <w:szCs w:val="20"/>
        </w:rPr>
        <w:t>d benefits from our actions to reduce cost and our restructuring initiatives, including the rationalization of our global office footprint, (v) our expectations regarding our working capital, liquidity, capital expenditure requirements, (vi) our expectatio</w:t>
      </w:r>
      <w:r>
        <w:rPr>
          <w:rFonts w:ascii="Arial" w:eastAsia="Times New Roman" w:hAnsi="Arial" w:cs="Arial"/>
          <w:color w:val="000000"/>
          <w:sz w:val="20"/>
          <w:szCs w:val="20"/>
        </w:rPr>
        <w:t>ns and estimates regarding certain tax, legal and accounting matters, including the impact on our financial statements, (vii) our expectations regarding the financial impact and other benefits of previous acquisitions, including estimates of future expense</w:t>
      </w:r>
      <w:r>
        <w:rPr>
          <w:rFonts w:ascii="Arial" w:eastAsia="Times New Roman" w:hAnsi="Arial" w:cs="Arial"/>
          <w:color w:val="000000"/>
          <w:sz w:val="20"/>
          <w:szCs w:val="20"/>
        </w:rPr>
        <w:t>s and our ability to realize estimated synergies, and (viii) estimates regarding the financial impact of our derivative contracts. These forward-looking statements are qualified in their entirety by cautionary statements and risk factor disclosures contain</w:t>
      </w:r>
      <w:r>
        <w:rPr>
          <w:rFonts w:ascii="Arial" w:eastAsia="Times New Roman" w:hAnsi="Arial" w:cs="Arial"/>
          <w:color w:val="000000"/>
          <w:sz w:val="20"/>
          <w:szCs w:val="20"/>
        </w:rPr>
        <w:t>ed in our SEC filings.</w:t>
      </w:r>
    </w:p>
    <w:p w14:paraId="1F684B7E" w14:textId="77777777" w:rsidR="00000000" w:rsidRDefault="00C01C43">
      <w:pPr>
        <w:jc w:val="both"/>
        <w:divId w:val="676074318"/>
        <w:rPr>
          <w:rFonts w:eastAsia="Times New Roman"/>
        </w:rPr>
      </w:pPr>
      <w:r>
        <w:rPr>
          <w:rFonts w:ascii="Arial" w:eastAsia="Times New Roman" w:hAnsi="Arial" w:cs="Arial"/>
          <w:color w:val="000000"/>
          <w:sz w:val="20"/>
          <w:szCs w:val="20"/>
        </w:rPr>
        <w:t xml:space="preserve">These forward-looking statements are estimates and projections reflecting our best judgment and involve risks, uncertainties or other factors relating to our operations and business environment, all of which are difficult to predict </w:t>
      </w:r>
      <w:r>
        <w:rPr>
          <w:rFonts w:ascii="Arial" w:eastAsia="Times New Roman" w:hAnsi="Arial" w:cs="Arial"/>
          <w:color w:val="000000"/>
          <w:sz w:val="20"/>
          <w:szCs w:val="20"/>
        </w:rPr>
        <w:t>and many of which are beyond our control. Although we believe the estimates and projections reflected in the forward-looking statements are reasonable, our expectations may prove to be incorrect. Our actual results may differ materially from the future res</w:t>
      </w:r>
      <w:r>
        <w:rPr>
          <w:rFonts w:ascii="Arial" w:eastAsia="Times New Roman" w:hAnsi="Arial" w:cs="Arial"/>
          <w:color w:val="000000"/>
          <w:sz w:val="20"/>
          <w:szCs w:val="20"/>
        </w:rPr>
        <w:t>ults, performance or achievements expressed or implied by the forward-looking statements.</w:t>
      </w:r>
    </w:p>
    <w:p w14:paraId="7F24F07E" w14:textId="77777777" w:rsidR="00000000" w:rsidRDefault="00C01C43">
      <w:pPr>
        <w:jc w:val="both"/>
        <w:rPr>
          <w:rFonts w:eastAsia="Times New Roman"/>
        </w:rPr>
      </w:pPr>
      <w:r>
        <w:rPr>
          <w:rFonts w:ascii="Arial" w:eastAsia="Times New Roman" w:hAnsi="Arial" w:cs="Arial"/>
          <w:color w:val="000000"/>
          <w:sz w:val="20"/>
          <w:szCs w:val="20"/>
        </w:rPr>
        <w:t xml:space="preserve">Important factors that could cause actual results to differ materially from the results and events anticipated or implied by such forward-looking statements include, </w:t>
      </w:r>
      <w:r>
        <w:rPr>
          <w:rFonts w:ascii="Arial" w:eastAsia="Times New Roman" w:hAnsi="Arial" w:cs="Arial"/>
          <w:color w:val="000000"/>
          <w:sz w:val="20"/>
          <w:szCs w:val="20"/>
        </w:rPr>
        <w:t>but are not limited to:</w:t>
      </w:r>
    </w:p>
    <w:p w14:paraId="472B1C2A" w14:textId="77777777" w:rsidR="00000000" w:rsidRDefault="00C01C43">
      <w:pPr>
        <w:jc w:val="both"/>
        <w:rPr>
          <w:rFonts w:eastAsia="Times New Roman"/>
        </w:rPr>
      </w:pPr>
    </w:p>
    <w:p w14:paraId="5BE463FA" w14:textId="77777777" w:rsidR="00000000" w:rsidRDefault="00C01C43">
      <w:pPr>
        <w:ind w:hanging="360"/>
        <w:jc w:val="both"/>
        <w:divId w:val="730495828"/>
        <w:rPr>
          <w:rFonts w:eastAsia="Times New Roman"/>
        </w:rPr>
      </w:pPr>
      <w:r>
        <w:rPr>
          <w:rFonts w:ascii="Arial" w:eastAsia="Times New Roman" w:hAnsi="Arial" w:cs="Arial"/>
          <w:color w:val="000000"/>
          <w:sz w:val="20"/>
          <w:szCs w:val="20"/>
        </w:rPr>
        <w:t>•customer and counterparty creditworthiness and our ability to collect accounts receivable and settle derivative contracts, particularly for those customers most significantly impacted by the COVID-19 pandemic;</w:t>
      </w:r>
    </w:p>
    <w:p w14:paraId="63DC5D29" w14:textId="77777777" w:rsidR="00000000" w:rsidRDefault="00C01C43">
      <w:pPr>
        <w:ind w:hanging="360"/>
        <w:jc w:val="both"/>
        <w:divId w:val="1730304862"/>
        <w:rPr>
          <w:rFonts w:eastAsia="Times New Roman"/>
        </w:rPr>
      </w:pPr>
      <w:r>
        <w:rPr>
          <w:rFonts w:ascii="Arial" w:eastAsia="Times New Roman" w:hAnsi="Arial" w:cs="Arial"/>
          <w:color w:val="000000"/>
          <w:sz w:val="20"/>
          <w:szCs w:val="20"/>
        </w:rPr>
        <w:t xml:space="preserve">•the extent of the </w:t>
      </w:r>
      <w:r>
        <w:rPr>
          <w:rFonts w:ascii="Arial" w:eastAsia="Times New Roman" w:hAnsi="Arial" w:cs="Arial"/>
          <w:color w:val="000000"/>
          <w:sz w:val="20"/>
          <w:szCs w:val="20"/>
        </w:rPr>
        <w:t xml:space="preserve">impact of the pandemic, including the duration, spread, severity and scope of related government orders and restrictions, on ours and our customers' sales, profitability, operations and supply chains; </w:t>
      </w:r>
    </w:p>
    <w:p w14:paraId="17EEEAF4" w14:textId="77777777" w:rsidR="00000000" w:rsidRDefault="00C01C43">
      <w:pPr>
        <w:ind w:hanging="360"/>
        <w:jc w:val="both"/>
        <w:divId w:val="1059133542"/>
        <w:rPr>
          <w:rFonts w:eastAsia="Times New Roman"/>
        </w:rPr>
      </w:pPr>
      <w:r>
        <w:rPr>
          <w:rFonts w:ascii="Arial" w:eastAsia="Times New Roman" w:hAnsi="Arial" w:cs="Arial"/>
          <w:color w:val="000000"/>
          <w:sz w:val="20"/>
          <w:szCs w:val="20"/>
        </w:rPr>
        <w:t>•loss of, or reduced sales to a significant government</w:t>
      </w:r>
      <w:r>
        <w:rPr>
          <w:rFonts w:ascii="Arial" w:eastAsia="Times New Roman" w:hAnsi="Arial" w:cs="Arial"/>
          <w:color w:val="000000"/>
          <w:sz w:val="20"/>
          <w:szCs w:val="20"/>
        </w:rPr>
        <w:t xml:space="preserve"> customer, such as NATO;</w:t>
      </w:r>
    </w:p>
    <w:p w14:paraId="43B84C30" w14:textId="77777777" w:rsidR="00000000" w:rsidRDefault="00C01C43">
      <w:pPr>
        <w:ind w:hanging="360"/>
        <w:jc w:val="both"/>
        <w:divId w:val="49887506"/>
        <w:rPr>
          <w:rFonts w:eastAsia="Times New Roman"/>
        </w:rPr>
      </w:pPr>
      <w:r>
        <w:rPr>
          <w:rFonts w:ascii="Arial" w:eastAsia="Times New Roman" w:hAnsi="Arial" w:cs="Arial"/>
          <w:color w:val="000000"/>
          <w:sz w:val="20"/>
          <w:szCs w:val="20"/>
        </w:rPr>
        <w:t>•adverse conditions in the industries in which our customers operate, such as the current global economic environment as a result of the coronavirus pandemic;</w:t>
      </w:r>
    </w:p>
    <w:p w14:paraId="104F9419" w14:textId="77777777" w:rsidR="00000000" w:rsidRDefault="00C01C43">
      <w:pPr>
        <w:ind w:hanging="360"/>
        <w:jc w:val="both"/>
        <w:divId w:val="147409493"/>
        <w:rPr>
          <w:rFonts w:eastAsia="Times New Roman"/>
        </w:rPr>
      </w:pPr>
      <w:r>
        <w:rPr>
          <w:rFonts w:ascii="Arial" w:eastAsia="Times New Roman" w:hAnsi="Arial" w:cs="Arial"/>
          <w:color w:val="000000"/>
          <w:sz w:val="20"/>
          <w:szCs w:val="20"/>
        </w:rPr>
        <w:t>•sudden changes in the market price of fuel or extremely high or low fue</w:t>
      </w:r>
      <w:r>
        <w:rPr>
          <w:rFonts w:ascii="Arial" w:eastAsia="Times New Roman" w:hAnsi="Arial" w:cs="Arial"/>
          <w:color w:val="000000"/>
          <w:sz w:val="20"/>
          <w:szCs w:val="20"/>
        </w:rPr>
        <w:t>l prices that continue for an extended period of time;</w:t>
      </w:r>
    </w:p>
    <w:p w14:paraId="57F14192" w14:textId="77777777" w:rsidR="00000000" w:rsidRDefault="00C01C43">
      <w:pPr>
        <w:ind w:hanging="360"/>
        <w:jc w:val="both"/>
        <w:divId w:val="706636280"/>
        <w:rPr>
          <w:rFonts w:eastAsia="Times New Roman"/>
        </w:rPr>
      </w:pPr>
      <w:r>
        <w:rPr>
          <w:rFonts w:ascii="Arial" w:eastAsia="Times New Roman" w:hAnsi="Arial" w:cs="Arial"/>
          <w:color w:val="000000"/>
          <w:sz w:val="20"/>
          <w:szCs w:val="20"/>
        </w:rPr>
        <w:t>•our failure to comply with restrictions and covenants in our senior revolving credit facility (“Credit Facility”) and our senior term loans (“Term Loans”), including our financial covenants;</w:t>
      </w:r>
    </w:p>
    <w:p w14:paraId="5D6D6A9C" w14:textId="77777777" w:rsidR="00000000" w:rsidRDefault="00C01C43">
      <w:pPr>
        <w:ind w:hanging="360"/>
        <w:jc w:val="both"/>
        <w:divId w:val="155340100"/>
        <w:rPr>
          <w:rFonts w:eastAsia="Times New Roman"/>
        </w:rPr>
      </w:pPr>
      <w:r>
        <w:rPr>
          <w:rFonts w:ascii="Arial" w:eastAsia="Times New Roman" w:hAnsi="Arial" w:cs="Arial"/>
          <w:color w:val="000000"/>
          <w:sz w:val="20"/>
          <w:szCs w:val="20"/>
        </w:rPr>
        <w:t xml:space="preserve">•changes </w:t>
      </w:r>
      <w:r>
        <w:rPr>
          <w:rFonts w:ascii="Arial" w:eastAsia="Times New Roman" w:hAnsi="Arial" w:cs="Arial"/>
          <w:color w:val="000000"/>
          <w:sz w:val="20"/>
          <w:szCs w:val="20"/>
        </w:rPr>
        <w:t>in the political, economic or regulatory environment generally and in the markets in which we operate, such as IMO 2020 (defined below);</w:t>
      </w:r>
    </w:p>
    <w:p w14:paraId="499FC414" w14:textId="77777777" w:rsidR="00000000" w:rsidRDefault="00C01C43">
      <w:pPr>
        <w:ind w:hanging="360"/>
        <w:jc w:val="both"/>
        <w:divId w:val="1407341338"/>
        <w:rPr>
          <w:rFonts w:eastAsia="Times New Roman"/>
        </w:rPr>
      </w:pPr>
      <w:r>
        <w:rPr>
          <w:rFonts w:ascii="Arial" w:eastAsia="Times New Roman" w:hAnsi="Arial" w:cs="Arial"/>
          <w:color w:val="000000"/>
          <w:sz w:val="20"/>
          <w:szCs w:val="20"/>
        </w:rPr>
        <w:t>•our failure to effectively hedge certain financial risks and other risks associated with derivatives;</w:t>
      </w:r>
    </w:p>
    <w:p w14:paraId="11321234" w14:textId="77777777" w:rsidR="00000000" w:rsidRDefault="00C01C43">
      <w:pPr>
        <w:ind w:hanging="360"/>
        <w:jc w:val="both"/>
        <w:divId w:val="688870166"/>
        <w:rPr>
          <w:rFonts w:eastAsia="Times New Roman"/>
        </w:rPr>
      </w:pPr>
      <w:r>
        <w:rPr>
          <w:rFonts w:ascii="Arial" w:eastAsia="Times New Roman" w:hAnsi="Arial" w:cs="Arial"/>
          <w:color w:val="000000"/>
          <w:sz w:val="20"/>
          <w:szCs w:val="20"/>
        </w:rPr>
        <w:t>•changes in cred</w:t>
      </w:r>
      <w:r>
        <w:rPr>
          <w:rFonts w:ascii="Arial" w:eastAsia="Times New Roman" w:hAnsi="Arial" w:cs="Arial"/>
          <w:color w:val="000000"/>
          <w:sz w:val="20"/>
          <w:szCs w:val="20"/>
        </w:rPr>
        <w:t>it terms extended to us from our suppliers;</w:t>
      </w:r>
    </w:p>
    <w:p w14:paraId="48F10DB0" w14:textId="77777777" w:rsidR="00000000" w:rsidRDefault="00C01C43">
      <w:pPr>
        <w:ind w:hanging="360"/>
        <w:jc w:val="both"/>
        <w:divId w:val="611127732"/>
        <w:rPr>
          <w:rFonts w:eastAsia="Times New Roman"/>
        </w:rPr>
      </w:pPr>
      <w:r>
        <w:rPr>
          <w:rFonts w:ascii="Arial" w:eastAsia="Times New Roman" w:hAnsi="Arial" w:cs="Arial"/>
          <w:color w:val="000000"/>
          <w:sz w:val="20"/>
          <w:szCs w:val="20"/>
        </w:rPr>
        <w:t>•non-performance of suppliers on their sale commitments and customers on their purchase commitments;</w:t>
      </w:r>
    </w:p>
    <w:p w14:paraId="62A6E6A3" w14:textId="77777777" w:rsidR="00000000" w:rsidRDefault="00C01C43">
      <w:pPr>
        <w:ind w:hanging="360"/>
        <w:jc w:val="both"/>
        <w:divId w:val="1144466721"/>
        <w:rPr>
          <w:rFonts w:eastAsia="Times New Roman"/>
        </w:rPr>
      </w:pPr>
      <w:r>
        <w:rPr>
          <w:rFonts w:ascii="Arial" w:eastAsia="Times New Roman" w:hAnsi="Arial" w:cs="Arial"/>
          <w:color w:val="000000"/>
          <w:sz w:val="20"/>
          <w:szCs w:val="20"/>
        </w:rPr>
        <w:t>•non-performance of third-party service providers;</w:t>
      </w:r>
    </w:p>
    <w:p w14:paraId="37EAE2EB" w14:textId="77777777" w:rsidR="00000000" w:rsidRDefault="00C01C43">
      <w:pPr>
        <w:jc w:val="center"/>
        <w:divId w:val="1365716393"/>
        <w:rPr>
          <w:rFonts w:eastAsia="Times New Roman"/>
        </w:rPr>
      </w:pPr>
      <w:r>
        <w:rPr>
          <w:rFonts w:ascii="Arial" w:eastAsia="Times New Roman" w:hAnsi="Arial" w:cs="Arial"/>
          <w:color w:val="000000"/>
          <w:sz w:val="16"/>
          <w:szCs w:val="16"/>
        </w:rPr>
        <w:t>6</w:t>
      </w:r>
    </w:p>
    <w:p w14:paraId="491013D5" w14:textId="77777777" w:rsidR="00000000" w:rsidRDefault="00C01C43">
      <w:pPr>
        <w:rPr>
          <w:rFonts w:eastAsia="Times New Roman"/>
        </w:rPr>
      </w:pPr>
      <w:r>
        <w:rPr>
          <w:rFonts w:eastAsia="Times New Roman"/>
        </w:rPr>
        <w:pict w14:anchorId="689E0A4E">
          <v:rect id="_x0000_i1034" style="width:0;height:1.5pt" o:hralign="center" o:hrstd="t" o:hr="t" fillcolor="#a0a0a0" stroked="f"/>
        </w:pict>
      </w:r>
    </w:p>
    <w:p w14:paraId="08D5B0A4" w14:textId="77777777" w:rsidR="00000000" w:rsidRDefault="00C01C43">
      <w:pPr>
        <w:divId w:val="2073305785"/>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08E64A64" w14:textId="77777777" w:rsidR="00000000" w:rsidRDefault="00C01C43">
      <w:pPr>
        <w:ind w:hanging="360"/>
        <w:jc w:val="both"/>
        <w:divId w:val="2064402479"/>
        <w:rPr>
          <w:rFonts w:eastAsia="Times New Roman"/>
        </w:rPr>
      </w:pPr>
      <w:r>
        <w:rPr>
          <w:rFonts w:ascii="Arial" w:eastAsia="Times New Roman" w:hAnsi="Arial" w:cs="Arial"/>
          <w:color w:val="000000"/>
          <w:sz w:val="20"/>
          <w:szCs w:val="20"/>
        </w:rPr>
        <w:t>•our ability to meet financial forecasts associated with our operating plan;</w:t>
      </w:r>
    </w:p>
    <w:p w14:paraId="05C08465" w14:textId="77777777" w:rsidR="00000000" w:rsidRDefault="00C01C43">
      <w:pPr>
        <w:ind w:hanging="360"/>
        <w:jc w:val="both"/>
        <w:divId w:val="1641809989"/>
        <w:rPr>
          <w:rFonts w:eastAsia="Times New Roman"/>
        </w:rPr>
      </w:pPr>
      <w:r>
        <w:rPr>
          <w:rFonts w:ascii="Arial" w:eastAsia="Times New Roman" w:hAnsi="Arial" w:cs="Arial"/>
          <w:color w:val="000000"/>
          <w:sz w:val="20"/>
          <w:szCs w:val="20"/>
        </w:rPr>
        <w:t>•lower than expected cash flows and revenues, which could impair ou</w:t>
      </w:r>
      <w:r>
        <w:rPr>
          <w:rFonts w:ascii="Arial" w:eastAsia="Times New Roman" w:hAnsi="Arial" w:cs="Arial"/>
          <w:color w:val="000000"/>
          <w:sz w:val="20"/>
          <w:szCs w:val="20"/>
        </w:rPr>
        <w:t>r ability to realize the value of recorded intangible assets and goodwill;</w:t>
      </w:r>
    </w:p>
    <w:p w14:paraId="45A3D4A8" w14:textId="77777777" w:rsidR="00000000" w:rsidRDefault="00C01C43">
      <w:pPr>
        <w:ind w:hanging="360"/>
        <w:jc w:val="both"/>
        <w:divId w:val="1416435985"/>
        <w:rPr>
          <w:rFonts w:eastAsia="Times New Roman"/>
        </w:rPr>
      </w:pPr>
      <w:r>
        <w:rPr>
          <w:rFonts w:ascii="Arial" w:eastAsia="Times New Roman" w:hAnsi="Arial" w:cs="Arial"/>
          <w:color w:val="000000"/>
          <w:sz w:val="20"/>
          <w:szCs w:val="20"/>
        </w:rPr>
        <w:t>•the availability of cash and sufficient liquidity to fund our working capital and strategic investment needs, particularly in light of the impact of the pandemic on the financial m</w:t>
      </w:r>
      <w:r>
        <w:rPr>
          <w:rFonts w:ascii="Arial" w:eastAsia="Times New Roman" w:hAnsi="Arial" w:cs="Arial"/>
          <w:color w:val="000000"/>
          <w:sz w:val="20"/>
          <w:szCs w:val="20"/>
        </w:rPr>
        <w:t>arkets;</w:t>
      </w:r>
    </w:p>
    <w:p w14:paraId="39221330" w14:textId="77777777" w:rsidR="00000000" w:rsidRDefault="00C01C43">
      <w:pPr>
        <w:ind w:hanging="360"/>
        <w:jc w:val="both"/>
        <w:divId w:val="1010139131"/>
        <w:rPr>
          <w:rFonts w:eastAsia="Times New Roman"/>
        </w:rPr>
      </w:pPr>
      <w:r>
        <w:rPr>
          <w:rFonts w:ascii="Arial" w:eastAsia="Times New Roman" w:hAnsi="Arial" w:cs="Arial"/>
          <w:color w:val="000000"/>
          <w:sz w:val="20"/>
          <w:szCs w:val="20"/>
        </w:rPr>
        <w:t>•the impact of cyber and other information security-related incidents;</w:t>
      </w:r>
    </w:p>
    <w:p w14:paraId="6B46F053" w14:textId="77777777" w:rsidR="00000000" w:rsidRDefault="00C01C43">
      <w:pPr>
        <w:ind w:hanging="360"/>
        <w:jc w:val="both"/>
        <w:divId w:val="1825199742"/>
        <w:rPr>
          <w:rFonts w:eastAsia="Times New Roman"/>
        </w:rPr>
      </w:pPr>
      <w:r>
        <w:rPr>
          <w:rFonts w:ascii="Arial" w:eastAsia="Times New Roman" w:hAnsi="Arial" w:cs="Arial"/>
          <w:color w:val="000000"/>
          <w:sz w:val="20"/>
          <w:szCs w:val="20"/>
        </w:rPr>
        <w:t>•currency exchange fluctuations and the impacts associated with Brexit;</w:t>
      </w:r>
    </w:p>
    <w:p w14:paraId="1B7EA2D4" w14:textId="77777777" w:rsidR="00000000" w:rsidRDefault="00C01C43">
      <w:pPr>
        <w:ind w:hanging="360"/>
        <w:jc w:val="both"/>
        <w:divId w:val="106930774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ability to effectively leverage technology and operating systems and realize the anticipated benefits; </w:t>
      </w:r>
    </w:p>
    <w:p w14:paraId="64397076" w14:textId="77777777" w:rsidR="00000000" w:rsidRDefault="00C01C43">
      <w:pPr>
        <w:ind w:hanging="360"/>
        <w:jc w:val="both"/>
        <w:divId w:val="264313566"/>
        <w:rPr>
          <w:rFonts w:eastAsia="Times New Roman"/>
        </w:rPr>
      </w:pPr>
      <w:r>
        <w:rPr>
          <w:rFonts w:ascii="Arial" w:eastAsia="Times New Roman" w:hAnsi="Arial" w:cs="Arial"/>
          <w:color w:val="000000"/>
          <w:sz w:val="20"/>
          <w:szCs w:val="20"/>
        </w:rPr>
        <w:t>•failure to meet fuel and other products specifications agreed with our customers;</w:t>
      </w:r>
    </w:p>
    <w:p w14:paraId="0A9C49B8" w14:textId="77777777" w:rsidR="00000000" w:rsidRDefault="00C01C43">
      <w:pPr>
        <w:ind w:hanging="360"/>
        <w:jc w:val="both"/>
        <w:divId w:val="906380206"/>
        <w:rPr>
          <w:rFonts w:eastAsia="Times New Roman"/>
        </w:rPr>
      </w:pPr>
      <w:r>
        <w:rPr>
          <w:rFonts w:ascii="Arial" w:eastAsia="Times New Roman" w:hAnsi="Arial" w:cs="Arial"/>
          <w:color w:val="000000"/>
          <w:sz w:val="20"/>
          <w:szCs w:val="20"/>
        </w:rPr>
        <w:t>•our ability to effectively integrate and derive benefits from acquir</w:t>
      </w:r>
      <w:r>
        <w:rPr>
          <w:rFonts w:ascii="Arial" w:eastAsia="Times New Roman" w:hAnsi="Arial" w:cs="Arial"/>
          <w:color w:val="000000"/>
          <w:sz w:val="20"/>
          <w:szCs w:val="20"/>
        </w:rPr>
        <w:t>ed businesses;</w:t>
      </w:r>
    </w:p>
    <w:p w14:paraId="28C4CC12" w14:textId="77777777" w:rsidR="00000000" w:rsidRDefault="00C01C43">
      <w:pPr>
        <w:ind w:hanging="360"/>
        <w:jc w:val="both"/>
        <w:divId w:val="23793718"/>
        <w:rPr>
          <w:rFonts w:eastAsia="Times New Roman"/>
        </w:rPr>
      </w:pPr>
      <w:r>
        <w:rPr>
          <w:rFonts w:ascii="Arial" w:eastAsia="Times New Roman" w:hAnsi="Arial" w:cs="Arial"/>
          <w:color w:val="000000"/>
          <w:sz w:val="20"/>
          <w:szCs w:val="20"/>
        </w:rPr>
        <w:t>•our ability to achieve the expected level of benefit from our restructuring activities and cost reduction initiatives;</w:t>
      </w:r>
    </w:p>
    <w:p w14:paraId="20D5992B" w14:textId="77777777" w:rsidR="00000000" w:rsidRDefault="00C01C43">
      <w:pPr>
        <w:ind w:hanging="360"/>
        <w:jc w:val="both"/>
        <w:divId w:val="1744595927"/>
        <w:rPr>
          <w:rFonts w:eastAsia="Times New Roman"/>
        </w:rPr>
      </w:pPr>
      <w:r>
        <w:rPr>
          <w:rFonts w:ascii="Arial" w:eastAsia="Times New Roman" w:hAnsi="Arial" w:cs="Arial"/>
          <w:color w:val="000000"/>
          <w:sz w:val="20"/>
          <w:szCs w:val="20"/>
        </w:rPr>
        <w:t>•environmental and other risks associated with the storage, transportation and delivery of petroleum products;</w:t>
      </w:r>
    </w:p>
    <w:p w14:paraId="3D61DD2A" w14:textId="77777777" w:rsidR="00000000" w:rsidRDefault="00C01C43">
      <w:pPr>
        <w:ind w:hanging="360"/>
        <w:jc w:val="both"/>
        <w:divId w:val="932322495"/>
        <w:rPr>
          <w:rFonts w:eastAsia="Times New Roman"/>
        </w:rPr>
      </w:pPr>
      <w:r>
        <w:rPr>
          <w:rFonts w:ascii="Arial" w:eastAsia="Times New Roman" w:hAnsi="Arial" w:cs="Arial"/>
          <w:color w:val="000000"/>
          <w:sz w:val="20"/>
          <w:szCs w:val="20"/>
        </w:rPr>
        <w:t>•risks ass</w:t>
      </w:r>
      <w:r>
        <w:rPr>
          <w:rFonts w:ascii="Arial" w:eastAsia="Times New Roman" w:hAnsi="Arial" w:cs="Arial"/>
          <w:color w:val="000000"/>
          <w:sz w:val="20"/>
          <w:szCs w:val="20"/>
        </w:rPr>
        <w:t>ociated with operating in high-risk locations, including supply disruptions, border closures and other logistical difficulties that arise when working in these areas;</w:t>
      </w:r>
    </w:p>
    <w:p w14:paraId="6E6E663A" w14:textId="77777777" w:rsidR="00000000" w:rsidRDefault="00C01C43">
      <w:pPr>
        <w:ind w:hanging="360"/>
        <w:jc w:val="both"/>
        <w:divId w:val="1599367138"/>
        <w:rPr>
          <w:rFonts w:eastAsia="Times New Roman"/>
        </w:rPr>
      </w:pPr>
      <w:r>
        <w:rPr>
          <w:rFonts w:ascii="Arial" w:eastAsia="Times New Roman" w:hAnsi="Arial" w:cs="Arial"/>
          <w:color w:val="000000"/>
          <w:sz w:val="20"/>
          <w:szCs w:val="20"/>
        </w:rPr>
        <w:t>•uninsured losses;</w:t>
      </w:r>
    </w:p>
    <w:p w14:paraId="1C54B456" w14:textId="77777777" w:rsidR="00000000" w:rsidRDefault="00C01C43">
      <w:pPr>
        <w:ind w:hanging="360"/>
        <w:jc w:val="both"/>
        <w:divId w:val="1835029064"/>
        <w:rPr>
          <w:rFonts w:eastAsia="Times New Roman"/>
        </w:rPr>
      </w:pPr>
      <w:r>
        <w:rPr>
          <w:rFonts w:ascii="Arial" w:eastAsia="Times New Roman" w:hAnsi="Arial" w:cs="Arial"/>
          <w:color w:val="000000"/>
          <w:sz w:val="20"/>
          <w:szCs w:val="20"/>
        </w:rPr>
        <w:t>•the impact of natural disasters, such as earthquakes and hurricanes;</w:t>
      </w:r>
    </w:p>
    <w:p w14:paraId="7897050E" w14:textId="77777777" w:rsidR="00000000" w:rsidRDefault="00C01C43">
      <w:pPr>
        <w:ind w:hanging="360"/>
        <w:jc w:val="both"/>
        <w:divId w:val="948008394"/>
        <w:rPr>
          <w:rFonts w:eastAsia="Times New Roman"/>
        </w:rPr>
      </w:pPr>
      <w:r>
        <w:rPr>
          <w:rFonts w:ascii="Arial" w:eastAsia="Times New Roman" w:hAnsi="Arial" w:cs="Arial"/>
          <w:color w:val="000000"/>
          <w:sz w:val="20"/>
          <w:szCs w:val="20"/>
        </w:rPr>
        <w:t>•seasonal variability that adversely affects our revenues and operating results;</w:t>
      </w:r>
    </w:p>
    <w:p w14:paraId="54A9E4AB" w14:textId="77777777" w:rsidR="00000000" w:rsidRDefault="00C01C43">
      <w:pPr>
        <w:ind w:hanging="360"/>
        <w:jc w:val="both"/>
        <w:divId w:val="2072262507"/>
        <w:rPr>
          <w:rFonts w:eastAsia="Times New Roman"/>
        </w:rPr>
      </w:pPr>
      <w:r>
        <w:rPr>
          <w:rFonts w:ascii="Arial" w:eastAsia="Times New Roman" w:hAnsi="Arial" w:cs="Arial"/>
          <w:color w:val="000000"/>
          <w:sz w:val="20"/>
          <w:szCs w:val="20"/>
        </w:rPr>
        <w:t>•declines in the value and liquidity of cash equivalents and investments;</w:t>
      </w:r>
    </w:p>
    <w:p w14:paraId="14B65442" w14:textId="77777777" w:rsidR="00000000" w:rsidRDefault="00C01C43">
      <w:pPr>
        <w:ind w:hanging="360"/>
        <w:jc w:val="both"/>
        <w:divId w:val="653339100"/>
        <w:rPr>
          <w:rFonts w:eastAsia="Times New Roman"/>
        </w:rPr>
      </w:pPr>
      <w:r>
        <w:rPr>
          <w:rFonts w:ascii="Arial" w:eastAsia="Times New Roman" w:hAnsi="Arial" w:cs="Arial"/>
          <w:color w:val="000000"/>
          <w:sz w:val="20"/>
          <w:szCs w:val="20"/>
        </w:rPr>
        <w:t>•our ability to retain and attract senior management and other key employees;</w:t>
      </w:r>
    </w:p>
    <w:p w14:paraId="31CB1D2D" w14:textId="77777777" w:rsidR="00000000" w:rsidRDefault="00C01C43">
      <w:pPr>
        <w:ind w:hanging="360"/>
        <w:jc w:val="both"/>
        <w:divId w:val="63649195"/>
        <w:rPr>
          <w:rFonts w:eastAsia="Times New Roman"/>
        </w:rPr>
      </w:pPr>
      <w:r>
        <w:rPr>
          <w:rFonts w:ascii="Arial" w:eastAsia="Times New Roman" w:hAnsi="Arial" w:cs="Arial"/>
          <w:color w:val="000000"/>
          <w:sz w:val="20"/>
          <w:szCs w:val="20"/>
        </w:rPr>
        <w:t>•changes in U.S. or for</w:t>
      </w:r>
      <w:r>
        <w:rPr>
          <w:rFonts w:ascii="Arial" w:eastAsia="Times New Roman" w:hAnsi="Arial" w:cs="Arial"/>
          <w:color w:val="000000"/>
          <w:sz w:val="20"/>
          <w:szCs w:val="20"/>
        </w:rPr>
        <w:t>eign tax laws, interpretations of such laws, changes in the mix of taxable income among different tax jurisdictions, or adverse results of tax audits, assessments, or disputes;</w:t>
      </w:r>
    </w:p>
    <w:p w14:paraId="582B1FD6" w14:textId="77777777" w:rsidR="00000000" w:rsidRDefault="00C01C43">
      <w:pPr>
        <w:ind w:hanging="360"/>
        <w:jc w:val="both"/>
        <w:divId w:val="49697787"/>
        <w:rPr>
          <w:rFonts w:eastAsia="Times New Roman"/>
        </w:rPr>
      </w:pPr>
      <w:r>
        <w:rPr>
          <w:rFonts w:ascii="Arial" w:eastAsia="Times New Roman" w:hAnsi="Arial" w:cs="Arial"/>
          <w:color w:val="000000"/>
          <w:sz w:val="20"/>
          <w:szCs w:val="20"/>
        </w:rPr>
        <w:t>•our failure to generate sufficient future taxable income in jurisdictions with</w:t>
      </w:r>
      <w:r>
        <w:rPr>
          <w:rFonts w:ascii="Arial" w:eastAsia="Times New Roman" w:hAnsi="Arial" w:cs="Arial"/>
          <w:color w:val="000000"/>
          <w:sz w:val="20"/>
          <w:szCs w:val="20"/>
        </w:rPr>
        <w:t xml:space="preserve"> material deferred tax assets and net operating loss carryforwards;</w:t>
      </w:r>
    </w:p>
    <w:p w14:paraId="09714271" w14:textId="77777777" w:rsidR="00000000" w:rsidRDefault="00C01C43">
      <w:pPr>
        <w:ind w:hanging="360"/>
        <w:jc w:val="both"/>
        <w:divId w:val="1966428246"/>
        <w:rPr>
          <w:rFonts w:eastAsia="Times New Roman"/>
        </w:rPr>
      </w:pPr>
      <w:r>
        <w:rPr>
          <w:rFonts w:ascii="Arial" w:eastAsia="Times New Roman" w:hAnsi="Arial" w:cs="Arial"/>
          <w:color w:val="000000"/>
          <w:sz w:val="20"/>
          <w:szCs w:val="20"/>
        </w:rPr>
        <w:t>•the impact of the U.K.’s exit from the European Union, known as Brexit, on our business, operations and financial condition;</w:t>
      </w:r>
    </w:p>
    <w:p w14:paraId="590E9987" w14:textId="77777777" w:rsidR="00000000" w:rsidRDefault="00C01C43">
      <w:pPr>
        <w:ind w:hanging="360"/>
        <w:jc w:val="both"/>
        <w:divId w:val="216167844"/>
        <w:rPr>
          <w:rFonts w:eastAsia="Times New Roman"/>
        </w:rPr>
      </w:pPr>
      <w:r>
        <w:rPr>
          <w:rFonts w:ascii="Arial" w:eastAsia="Times New Roman" w:hAnsi="Arial" w:cs="Arial"/>
          <w:color w:val="000000"/>
          <w:sz w:val="20"/>
          <w:szCs w:val="20"/>
        </w:rPr>
        <w:t>•our ability to comply with U.S. and international laws and re</w:t>
      </w:r>
      <w:r>
        <w:rPr>
          <w:rFonts w:ascii="Arial" w:eastAsia="Times New Roman" w:hAnsi="Arial" w:cs="Arial"/>
          <w:color w:val="000000"/>
          <w:sz w:val="20"/>
          <w:szCs w:val="20"/>
        </w:rPr>
        <w:t>gulations, including those related to anti-corruption, economic sanction programs and environmental matters;</w:t>
      </w:r>
    </w:p>
    <w:p w14:paraId="2024BDE4" w14:textId="77777777" w:rsidR="00000000" w:rsidRDefault="00C01C43">
      <w:pPr>
        <w:ind w:hanging="360"/>
        <w:jc w:val="both"/>
        <w:divId w:val="789709695"/>
        <w:rPr>
          <w:rFonts w:eastAsia="Times New Roman"/>
        </w:rPr>
      </w:pPr>
      <w:r>
        <w:rPr>
          <w:rFonts w:ascii="Arial" w:eastAsia="Times New Roman" w:hAnsi="Arial" w:cs="Arial"/>
          <w:color w:val="000000"/>
          <w:sz w:val="20"/>
          <w:szCs w:val="20"/>
        </w:rPr>
        <w:t>•the outcome of litigation and other proceedings, including the costs associated in defending any actions;</w:t>
      </w:r>
    </w:p>
    <w:p w14:paraId="3C95923E" w14:textId="77777777" w:rsidR="00000000" w:rsidRDefault="00C01C43">
      <w:pPr>
        <w:ind w:hanging="360"/>
        <w:jc w:val="both"/>
        <w:divId w:val="564343856"/>
        <w:rPr>
          <w:rFonts w:eastAsia="Times New Roman"/>
        </w:rPr>
      </w:pPr>
      <w:r>
        <w:rPr>
          <w:rFonts w:ascii="Arial" w:eastAsia="Times New Roman" w:hAnsi="Arial" w:cs="Arial"/>
          <w:color w:val="000000"/>
          <w:sz w:val="20"/>
          <w:szCs w:val="20"/>
        </w:rPr>
        <w:t>•increases in interest rates; and</w:t>
      </w:r>
    </w:p>
    <w:p w14:paraId="51183A20" w14:textId="77777777" w:rsidR="00000000" w:rsidRDefault="00C01C43">
      <w:pPr>
        <w:ind w:hanging="360"/>
        <w:jc w:val="both"/>
        <w:rPr>
          <w:rFonts w:eastAsia="Times New Roman"/>
        </w:rPr>
      </w:pPr>
      <w:r>
        <w:rPr>
          <w:rFonts w:ascii="Arial" w:eastAsia="Times New Roman" w:hAnsi="Arial" w:cs="Arial"/>
          <w:color w:val="000000"/>
          <w:sz w:val="20"/>
          <w:szCs w:val="20"/>
        </w:rPr>
        <w:t>•other</w:t>
      </w:r>
      <w:r>
        <w:rPr>
          <w:rFonts w:ascii="Arial" w:eastAsia="Times New Roman" w:hAnsi="Arial" w:cs="Arial"/>
          <w:color w:val="000000"/>
          <w:sz w:val="20"/>
          <w:szCs w:val="20"/>
        </w:rPr>
        <w:t xml:space="preserve"> risks, including those described in “Item 1A - Risk Factors” in our 2020 10-K Report and those described from time to time in our other filings with the SEC.</w:t>
      </w:r>
    </w:p>
    <w:p w14:paraId="297AC328" w14:textId="77777777" w:rsidR="00000000" w:rsidRDefault="00C01C43">
      <w:pPr>
        <w:jc w:val="both"/>
        <w:rPr>
          <w:rFonts w:eastAsia="Times New Roman"/>
        </w:rPr>
      </w:pPr>
    </w:p>
    <w:p w14:paraId="659D8DBA" w14:textId="77777777" w:rsidR="00000000" w:rsidRDefault="00C01C43">
      <w:pPr>
        <w:jc w:val="both"/>
        <w:divId w:val="818228034"/>
        <w:rPr>
          <w:rFonts w:eastAsia="Times New Roman"/>
        </w:rPr>
      </w:pPr>
      <w:r>
        <w:rPr>
          <w:rFonts w:ascii="Arial" w:eastAsia="Times New Roman" w:hAnsi="Arial" w:cs="Arial"/>
          <w:color w:val="000000"/>
          <w:sz w:val="20"/>
          <w:szCs w:val="20"/>
        </w:rPr>
        <w:t>We operate in a very competitive and rapidly changing environment. New risks emerge from time to time. It is not possible for us to predict all of those risks, nor can we assess the impact of all of those risks on our business or the extent to which any fa</w:t>
      </w:r>
      <w:r>
        <w:rPr>
          <w:rFonts w:ascii="Arial" w:eastAsia="Times New Roman" w:hAnsi="Arial" w:cs="Arial"/>
          <w:color w:val="000000"/>
          <w:sz w:val="20"/>
          <w:szCs w:val="20"/>
        </w:rPr>
        <w:t>ctor may cause actual results to differ materially from those contained in any forward-looking statement. Further, forward-looking statements speak only as of the date they are made, and unless required by law, we expressly disclaim any obligation or under</w:t>
      </w:r>
      <w:r>
        <w:rPr>
          <w:rFonts w:ascii="Arial" w:eastAsia="Times New Roman" w:hAnsi="Arial" w:cs="Arial"/>
          <w:color w:val="000000"/>
          <w:sz w:val="20"/>
          <w:szCs w:val="20"/>
        </w:rPr>
        <w:t>taking to publicly update any of them in light of new information, future events, or otherwise. Any public statements or disclosures by us following this report that modify or impact any of the forward-looking statements contained in or accompanying this 2</w:t>
      </w:r>
      <w:r>
        <w:rPr>
          <w:rFonts w:ascii="Arial" w:eastAsia="Times New Roman" w:hAnsi="Arial" w:cs="Arial"/>
          <w:color w:val="000000"/>
          <w:sz w:val="20"/>
          <w:szCs w:val="20"/>
        </w:rPr>
        <w:t>020 10-K Report will be deemed to modify or supersede such forward-looking statements.</w:t>
      </w:r>
    </w:p>
    <w:p w14:paraId="6852FB40" w14:textId="77777777" w:rsidR="00000000" w:rsidRDefault="00C01C43">
      <w:pPr>
        <w:jc w:val="both"/>
        <w:divId w:val="193349618"/>
        <w:rPr>
          <w:rFonts w:eastAsia="Times New Roman"/>
        </w:rPr>
      </w:pPr>
      <w:r>
        <w:rPr>
          <w:rFonts w:ascii="Arial" w:eastAsia="Times New Roman" w:hAnsi="Arial" w:cs="Arial"/>
          <w:color w:val="000000"/>
          <w:sz w:val="20"/>
          <w:szCs w:val="20"/>
        </w:rPr>
        <w:t>For these statements, we claim the protection of the safe harbor for forward-looking statements contained in Section 27A of the Securities Act of 1933, as amended, and S</w:t>
      </w:r>
      <w:r>
        <w:rPr>
          <w:rFonts w:ascii="Arial" w:eastAsia="Times New Roman" w:hAnsi="Arial" w:cs="Arial"/>
          <w:color w:val="000000"/>
          <w:sz w:val="20"/>
          <w:szCs w:val="20"/>
        </w:rPr>
        <w:t>ection 21E of the Exchange Act.</w:t>
      </w:r>
    </w:p>
    <w:p w14:paraId="527DA88E" w14:textId="77777777" w:rsidR="00000000" w:rsidRDefault="00C01C43">
      <w:pPr>
        <w:jc w:val="center"/>
        <w:divId w:val="474421265"/>
        <w:rPr>
          <w:rFonts w:eastAsia="Times New Roman"/>
        </w:rPr>
      </w:pPr>
      <w:r>
        <w:rPr>
          <w:rFonts w:ascii="Arial" w:eastAsia="Times New Roman" w:hAnsi="Arial" w:cs="Arial"/>
          <w:color w:val="000000"/>
          <w:sz w:val="16"/>
          <w:szCs w:val="16"/>
        </w:rPr>
        <w:t>7</w:t>
      </w:r>
    </w:p>
    <w:p w14:paraId="39B8356A" w14:textId="77777777" w:rsidR="00000000" w:rsidRDefault="00C01C43">
      <w:pPr>
        <w:rPr>
          <w:rFonts w:eastAsia="Times New Roman"/>
        </w:rPr>
      </w:pPr>
      <w:r>
        <w:rPr>
          <w:rFonts w:eastAsia="Times New Roman"/>
        </w:rPr>
        <w:pict w14:anchorId="11FE5337">
          <v:rect id="_x0000_i1035" style="width:0;height:1.5pt" o:hralign="center" o:hrstd="t" o:hr="t" fillcolor="#a0a0a0" stroked="f"/>
        </w:pict>
      </w:r>
    </w:p>
    <w:p w14:paraId="6AE5F793" w14:textId="77777777" w:rsidR="00000000" w:rsidRDefault="00C01C43">
      <w:pPr>
        <w:divId w:val="166949610"/>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357BAF7" w14:textId="77777777" w:rsidR="00000000" w:rsidRDefault="00C01C43">
      <w:pPr>
        <w:jc w:val="both"/>
        <w:rPr>
          <w:rFonts w:eastAsia="Times New Roman"/>
        </w:rPr>
      </w:pPr>
      <w:r>
        <w:rPr>
          <w:rFonts w:ascii="Arial" w:eastAsia="Times New Roman" w:hAnsi="Arial" w:cs="Arial"/>
          <w:b/>
          <w:bCs/>
          <w:color w:val="000000"/>
        </w:rPr>
        <w:t>Item 1A. Risk Factors</w:t>
      </w:r>
    </w:p>
    <w:p w14:paraId="27AC5340" w14:textId="77777777" w:rsidR="00000000" w:rsidRDefault="00C01C43">
      <w:pPr>
        <w:jc w:val="both"/>
        <w:rPr>
          <w:rFonts w:eastAsia="Times New Roman"/>
        </w:rPr>
      </w:pPr>
    </w:p>
    <w:p w14:paraId="19027699" w14:textId="77777777" w:rsidR="00000000" w:rsidRDefault="00C01C43">
      <w:pPr>
        <w:divId w:val="1491166864"/>
        <w:rPr>
          <w:rFonts w:eastAsia="Times New Roman"/>
        </w:rPr>
      </w:pPr>
      <w:r>
        <w:rPr>
          <w:rFonts w:ascii="Arial" w:eastAsia="Times New Roman" w:hAnsi="Arial" w:cs="Arial"/>
          <w:b/>
          <w:bCs/>
          <w:color w:val="000000"/>
          <w:sz w:val="20"/>
          <w:szCs w:val="20"/>
          <w:u w:val="single"/>
        </w:rPr>
        <w:t>Risks Related to the COVID-19 Pandemic:</w:t>
      </w:r>
    </w:p>
    <w:p w14:paraId="0E8C95D7" w14:textId="77777777" w:rsidR="00000000" w:rsidRDefault="00C01C43">
      <w:pPr>
        <w:jc w:val="both"/>
        <w:rPr>
          <w:rFonts w:eastAsia="Times New Roman"/>
        </w:rPr>
      </w:pPr>
      <w:r>
        <w:rPr>
          <w:rFonts w:ascii="Arial" w:eastAsia="Times New Roman" w:hAnsi="Arial" w:cs="Arial"/>
          <w:b/>
          <w:bCs/>
          <w:color w:val="000000"/>
          <w:sz w:val="20"/>
          <w:szCs w:val="20"/>
        </w:rPr>
        <w:t>The COVID-19 pandemic and related global economic impacts have had and are likely going to continue to have certain adverse effects on our business, results of operations and financial condition.</w:t>
      </w:r>
    </w:p>
    <w:p w14:paraId="425D0CCE" w14:textId="77777777" w:rsidR="00000000" w:rsidRDefault="00C01C43">
      <w:pPr>
        <w:jc w:val="both"/>
        <w:rPr>
          <w:rFonts w:eastAsia="Times New Roman"/>
        </w:rPr>
      </w:pPr>
      <w:r>
        <w:rPr>
          <w:rFonts w:ascii="Arial" w:eastAsia="Times New Roman" w:hAnsi="Arial" w:cs="Arial"/>
          <w:color w:val="000000"/>
          <w:sz w:val="20"/>
          <w:szCs w:val="20"/>
        </w:rPr>
        <w:t xml:space="preserve">The ongoing coronavirus pandemic and efforts to control its </w:t>
      </w:r>
      <w:r>
        <w:rPr>
          <w:rFonts w:ascii="Arial" w:eastAsia="Times New Roman" w:hAnsi="Arial" w:cs="Arial"/>
          <w:color w:val="000000"/>
          <w:sz w:val="20"/>
          <w:szCs w:val="20"/>
        </w:rPr>
        <w:t xml:space="preserve">spread have resulted in a substantial decline in global economic activity, caused disruptions in global supply chains and created significant volatility in financial markets. Governments around the world have implemented stringent preventative measures to </w:t>
      </w:r>
      <w:r>
        <w:rPr>
          <w:rFonts w:ascii="Arial" w:eastAsia="Times New Roman" w:hAnsi="Arial" w:cs="Arial"/>
          <w:color w:val="000000"/>
          <w:sz w:val="20"/>
          <w:szCs w:val="20"/>
        </w:rPr>
        <w:t>contain the spread of the virus, including stay-at-home orders and travel restrictions, together with business, government and school closures. These measures have resulted in reduced demand for fuel and other related products and services, negatively impa</w:t>
      </w:r>
      <w:r>
        <w:rPr>
          <w:rFonts w:ascii="Arial" w:eastAsia="Times New Roman" w:hAnsi="Arial" w:cs="Arial"/>
          <w:color w:val="000000"/>
          <w:sz w:val="20"/>
          <w:szCs w:val="20"/>
        </w:rPr>
        <w:t xml:space="preserve">cting our results of operations in 2020, and led to a decline in fuel prices beginning in early 2020. This was further exacerbated by disagreements regarding crude oil-production levels between the Organization of Petroleum Exporting Countries members and </w:t>
      </w:r>
      <w:r>
        <w:rPr>
          <w:rFonts w:ascii="Arial" w:eastAsia="Times New Roman" w:hAnsi="Arial" w:cs="Arial"/>
          <w:color w:val="000000"/>
          <w:sz w:val="20"/>
          <w:szCs w:val="20"/>
        </w:rPr>
        <w:t>other large oil producing countries (“OPEC+”), as well as related global storage considerations. While OPEC+ members have since agreed on production cuts, there is uncertainty as to whether such agreement will continue to be observed by its members or that</w:t>
      </w:r>
      <w:r>
        <w:rPr>
          <w:rFonts w:ascii="Arial" w:eastAsia="Times New Roman" w:hAnsi="Arial" w:cs="Arial"/>
          <w:color w:val="000000"/>
          <w:sz w:val="20"/>
          <w:szCs w:val="20"/>
        </w:rPr>
        <w:t xml:space="preserve"> the agreed production cuts will be sufficient to offset continuing demand weakness.</w:t>
      </w:r>
    </w:p>
    <w:p w14:paraId="06C1216B" w14:textId="77777777" w:rsidR="00000000" w:rsidRDefault="00C01C43">
      <w:pPr>
        <w:jc w:val="both"/>
        <w:rPr>
          <w:rFonts w:eastAsia="Times New Roman"/>
        </w:rPr>
      </w:pPr>
    </w:p>
    <w:p w14:paraId="3A2BAC89" w14:textId="77777777" w:rsidR="00000000" w:rsidRDefault="00C01C43">
      <w:pPr>
        <w:jc w:val="both"/>
        <w:rPr>
          <w:rFonts w:eastAsia="Times New Roman"/>
        </w:rPr>
      </w:pPr>
      <w:r>
        <w:rPr>
          <w:rFonts w:ascii="Arial" w:eastAsia="Times New Roman" w:hAnsi="Arial" w:cs="Arial"/>
          <w:color w:val="000000"/>
          <w:sz w:val="20"/>
          <w:szCs w:val="20"/>
        </w:rPr>
        <w:t>In response to the pandemic, we took prompt action beginning in the first quarter of 2020 to ensure the safety of our employees and other stakeholders, as well as commen</w:t>
      </w:r>
      <w:r>
        <w:rPr>
          <w:rFonts w:ascii="Arial" w:eastAsia="Times New Roman" w:hAnsi="Arial" w:cs="Arial"/>
          <w:color w:val="000000"/>
          <w:sz w:val="20"/>
          <w:szCs w:val="20"/>
        </w:rPr>
        <w:t>ced a number of initiatives relating to cost reduction, liquidity and operating efficiencies throughout the balance of the year. However, it is uncertain whether such measures will be sufficient to mitigate the risks posed by the virus or a prolonged econo</w:t>
      </w:r>
      <w:r>
        <w:rPr>
          <w:rFonts w:ascii="Arial" w:eastAsia="Times New Roman" w:hAnsi="Arial" w:cs="Arial"/>
          <w:color w:val="000000"/>
          <w:sz w:val="20"/>
          <w:szCs w:val="20"/>
        </w:rPr>
        <w:t>mic downturn, and our ability to successfully execute our business operations could be adversely impacted. The COVID-19 pandemic has had, and we expect will continue to have, certain negative impacts on our business, in addition to the risks described thro</w:t>
      </w:r>
      <w:r>
        <w:rPr>
          <w:rFonts w:ascii="Arial" w:eastAsia="Times New Roman" w:hAnsi="Arial" w:cs="Arial"/>
          <w:color w:val="000000"/>
          <w:sz w:val="20"/>
          <w:szCs w:val="20"/>
        </w:rPr>
        <w:t>ughout this section, including, but not limited to:</w:t>
      </w:r>
    </w:p>
    <w:p w14:paraId="3886D31F" w14:textId="77777777" w:rsidR="00000000" w:rsidRDefault="00C01C43">
      <w:pPr>
        <w:jc w:val="both"/>
        <w:rPr>
          <w:rFonts w:eastAsia="Times New Roman"/>
        </w:rPr>
      </w:pPr>
    </w:p>
    <w:p w14:paraId="275E0D73" w14:textId="77777777" w:rsidR="00000000" w:rsidRDefault="00C01C43">
      <w:pPr>
        <w:ind w:hanging="360"/>
        <w:jc w:val="both"/>
        <w:divId w:val="1008404889"/>
        <w:rPr>
          <w:rFonts w:eastAsia="Times New Roman"/>
        </w:rPr>
      </w:pPr>
      <w:r>
        <w:rPr>
          <w:rFonts w:ascii="Arial" w:eastAsia="Times New Roman" w:hAnsi="Arial" w:cs="Arial"/>
          <w:color w:val="000000"/>
          <w:sz w:val="20"/>
          <w:szCs w:val="20"/>
        </w:rPr>
        <w:t>•disruptions in our supply chains due to transportation delays, travel restrictions, cost increases, and closures of businesses or facilities;</w:t>
      </w:r>
    </w:p>
    <w:p w14:paraId="5E36CFAA" w14:textId="77777777" w:rsidR="00000000" w:rsidRDefault="00C01C43">
      <w:pPr>
        <w:ind w:hanging="360"/>
        <w:jc w:val="both"/>
        <w:divId w:val="1132164573"/>
        <w:rPr>
          <w:rFonts w:eastAsia="Times New Roman"/>
        </w:rPr>
      </w:pPr>
      <w:r>
        <w:rPr>
          <w:rFonts w:ascii="Arial" w:eastAsia="Times New Roman" w:hAnsi="Arial" w:cs="Arial"/>
          <w:color w:val="000000"/>
          <w:sz w:val="20"/>
          <w:szCs w:val="20"/>
        </w:rPr>
        <w:t>•extended periods of reduced demand and volatile fuel price</w:t>
      </w:r>
      <w:r>
        <w:rPr>
          <w:rFonts w:ascii="Arial" w:eastAsia="Times New Roman" w:hAnsi="Arial" w:cs="Arial"/>
          <w:color w:val="000000"/>
          <w:sz w:val="20"/>
          <w:szCs w:val="20"/>
        </w:rPr>
        <w:t>s that impact our sales volume and related profitability;</w:t>
      </w:r>
    </w:p>
    <w:p w14:paraId="77C99342" w14:textId="77777777" w:rsidR="00000000" w:rsidRDefault="00C01C43">
      <w:pPr>
        <w:ind w:hanging="360"/>
        <w:jc w:val="both"/>
        <w:divId w:val="1396390267"/>
        <w:rPr>
          <w:rFonts w:eastAsia="Times New Roman"/>
        </w:rPr>
      </w:pPr>
      <w:r>
        <w:rPr>
          <w:rFonts w:ascii="Arial" w:eastAsia="Times New Roman" w:hAnsi="Arial" w:cs="Arial"/>
          <w:color w:val="000000"/>
          <w:sz w:val="20"/>
          <w:szCs w:val="20"/>
        </w:rPr>
        <w:t>•delayed customer payments and payment defaults associated with customer liquidity issues and bankruptcies;</w:t>
      </w:r>
    </w:p>
    <w:p w14:paraId="0B233767" w14:textId="77777777" w:rsidR="00000000" w:rsidRDefault="00C01C43">
      <w:pPr>
        <w:ind w:hanging="360"/>
        <w:jc w:val="both"/>
        <w:divId w:val="1232740859"/>
        <w:rPr>
          <w:rFonts w:eastAsia="Times New Roman"/>
        </w:rPr>
      </w:pPr>
      <w:r>
        <w:rPr>
          <w:rFonts w:ascii="Arial" w:eastAsia="Times New Roman" w:hAnsi="Arial" w:cs="Arial"/>
          <w:color w:val="000000"/>
          <w:sz w:val="20"/>
          <w:szCs w:val="20"/>
        </w:rPr>
        <w:t>•other liquidity challenges, such as reduced availability under our senior credit facility</w:t>
      </w:r>
      <w:r>
        <w:rPr>
          <w:rFonts w:ascii="Arial" w:eastAsia="Times New Roman" w:hAnsi="Arial" w:cs="Arial"/>
          <w:color w:val="000000"/>
          <w:sz w:val="20"/>
          <w:szCs w:val="20"/>
        </w:rPr>
        <w:t xml:space="preserve"> due to financial covenant restrictions tied to our financial performance;</w:t>
      </w:r>
    </w:p>
    <w:p w14:paraId="61111799" w14:textId="77777777" w:rsidR="00000000" w:rsidRDefault="00C01C43">
      <w:pPr>
        <w:ind w:hanging="360"/>
        <w:jc w:val="both"/>
        <w:divId w:val="995304647"/>
        <w:rPr>
          <w:rFonts w:eastAsia="Times New Roman"/>
        </w:rPr>
      </w:pPr>
      <w:r>
        <w:rPr>
          <w:rFonts w:ascii="Arial" w:eastAsia="Times New Roman" w:hAnsi="Arial" w:cs="Arial"/>
          <w:color w:val="000000"/>
          <w:sz w:val="20"/>
          <w:szCs w:val="20"/>
        </w:rPr>
        <w:t>•losses on hedging transactions with customers arising from sudden changes in fuel prices;</w:t>
      </w:r>
    </w:p>
    <w:p w14:paraId="67C336B9" w14:textId="77777777" w:rsidR="00000000" w:rsidRDefault="00C01C43">
      <w:pPr>
        <w:ind w:hanging="360"/>
        <w:jc w:val="both"/>
        <w:divId w:val="180634917"/>
        <w:rPr>
          <w:rFonts w:eastAsia="Times New Roman"/>
        </w:rPr>
      </w:pPr>
      <w:r>
        <w:rPr>
          <w:rFonts w:ascii="Arial" w:eastAsia="Times New Roman" w:hAnsi="Arial" w:cs="Arial"/>
          <w:color w:val="000000"/>
          <w:sz w:val="20"/>
          <w:szCs w:val="20"/>
        </w:rPr>
        <w:t>•disruptions resulting from office and facility closures and changes in operating procedur</w:t>
      </w:r>
      <w:r>
        <w:rPr>
          <w:rFonts w:ascii="Arial" w:eastAsia="Times New Roman" w:hAnsi="Arial" w:cs="Arial"/>
          <w:color w:val="000000"/>
          <w:sz w:val="20"/>
          <w:szCs w:val="20"/>
        </w:rPr>
        <w:t>es, including additional cleaning and disinfecting procedures;</w:t>
      </w:r>
    </w:p>
    <w:p w14:paraId="471757DC" w14:textId="77777777" w:rsidR="00000000" w:rsidRDefault="00C01C43">
      <w:pPr>
        <w:ind w:hanging="360"/>
        <w:jc w:val="both"/>
        <w:divId w:val="800684591"/>
        <w:rPr>
          <w:rFonts w:eastAsia="Times New Roman"/>
        </w:rPr>
      </w:pPr>
      <w:r>
        <w:rPr>
          <w:rFonts w:ascii="Arial" w:eastAsia="Times New Roman" w:hAnsi="Arial" w:cs="Arial"/>
          <w:color w:val="000000"/>
          <w:sz w:val="20"/>
          <w:szCs w:val="20"/>
        </w:rPr>
        <w:t>•possible infections or quarantining of our employees which could impact our ability to service our customers or operate our business;</w:t>
      </w:r>
    </w:p>
    <w:p w14:paraId="6592680A" w14:textId="77777777" w:rsidR="00000000" w:rsidRDefault="00C01C43">
      <w:pPr>
        <w:ind w:hanging="360"/>
        <w:jc w:val="both"/>
        <w:divId w:val="280385998"/>
        <w:rPr>
          <w:rFonts w:eastAsia="Times New Roman"/>
        </w:rPr>
      </w:pPr>
      <w:r>
        <w:rPr>
          <w:rFonts w:ascii="Arial" w:eastAsia="Times New Roman" w:hAnsi="Arial" w:cs="Arial"/>
          <w:color w:val="000000"/>
          <w:sz w:val="20"/>
          <w:szCs w:val="20"/>
        </w:rPr>
        <w:t>•increased costs associated with the rationalization of ou</w:t>
      </w:r>
      <w:r>
        <w:rPr>
          <w:rFonts w:ascii="Arial" w:eastAsia="Times New Roman" w:hAnsi="Arial" w:cs="Arial"/>
          <w:color w:val="000000"/>
          <w:sz w:val="20"/>
          <w:szCs w:val="20"/>
        </w:rPr>
        <w:t>r portfolio of businesses and other restructuring activities;</w:t>
      </w:r>
    </w:p>
    <w:p w14:paraId="3CAE2EA9" w14:textId="77777777" w:rsidR="00000000" w:rsidRDefault="00C01C43">
      <w:pPr>
        <w:ind w:hanging="360"/>
        <w:jc w:val="both"/>
        <w:divId w:val="1320622738"/>
        <w:rPr>
          <w:rFonts w:eastAsia="Times New Roman"/>
        </w:rPr>
      </w:pPr>
      <w:r>
        <w:rPr>
          <w:rFonts w:ascii="Arial" w:eastAsia="Times New Roman" w:hAnsi="Arial" w:cs="Arial"/>
          <w:color w:val="000000"/>
          <w:sz w:val="20"/>
          <w:szCs w:val="20"/>
        </w:rPr>
        <w:t>•asset impairments, including an impairment of the carrying value of our goodwill, along with other accounting charges if expected future demand for our products and services materially decrease</w:t>
      </w:r>
      <w:r>
        <w:rPr>
          <w:rFonts w:ascii="Arial" w:eastAsia="Times New Roman" w:hAnsi="Arial" w:cs="Arial"/>
          <w:color w:val="000000"/>
          <w:sz w:val="20"/>
          <w:szCs w:val="20"/>
        </w:rPr>
        <w:t>s;</w:t>
      </w:r>
    </w:p>
    <w:p w14:paraId="0140D9DF" w14:textId="77777777" w:rsidR="00000000" w:rsidRDefault="00C01C43">
      <w:pPr>
        <w:ind w:hanging="360"/>
        <w:jc w:val="both"/>
        <w:divId w:val="1805391618"/>
        <w:rPr>
          <w:rFonts w:eastAsia="Times New Roman"/>
        </w:rPr>
      </w:pPr>
      <w:r>
        <w:rPr>
          <w:rFonts w:ascii="Arial" w:eastAsia="Times New Roman" w:hAnsi="Arial" w:cs="Arial"/>
          <w:color w:val="000000"/>
          <w:sz w:val="20"/>
          <w:szCs w:val="20"/>
        </w:rPr>
        <w:t>•volatility in the global financial markets, which could have a negative impact on our ability to access capital and additional sources of financing in the future;</w:t>
      </w:r>
    </w:p>
    <w:p w14:paraId="2FF2F6A3" w14:textId="77777777" w:rsidR="00000000" w:rsidRDefault="00C01C43">
      <w:pPr>
        <w:ind w:hanging="360"/>
        <w:jc w:val="both"/>
        <w:divId w:val="980422833"/>
        <w:rPr>
          <w:rFonts w:eastAsia="Times New Roman"/>
        </w:rPr>
      </w:pPr>
      <w:r>
        <w:rPr>
          <w:rFonts w:ascii="Arial" w:eastAsia="Times New Roman" w:hAnsi="Arial" w:cs="Arial"/>
          <w:color w:val="000000"/>
          <w:sz w:val="20"/>
          <w:szCs w:val="20"/>
        </w:rPr>
        <w:t>•assertion of force majeure or other claims by customers, suppliers and other third parti</w:t>
      </w:r>
      <w:r>
        <w:rPr>
          <w:rFonts w:ascii="Arial" w:eastAsia="Times New Roman" w:hAnsi="Arial" w:cs="Arial"/>
          <w:color w:val="000000"/>
          <w:sz w:val="20"/>
          <w:szCs w:val="20"/>
        </w:rPr>
        <w:t>es for their non-performance;</w:t>
      </w:r>
    </w:p>
    <w:p w14:paraId="16EC8EA8" w14:textId="77777777" w:rsidR="00000000" w:rsidRDefault="00C01C43">
      <w:pPr>
        <w:ind w:hanging="360"/>
        <w:jc w:val="both"/>
        <w:divId w:val="1837456777"/>
        <w:rPr>
          <w:rFonts w:eastAsia="Times New Roman"/>
        </w:rPr>
      </w:pPr>
      <w:r>
        <w:rPr>
          <w:rFonts w:ascii="Arial" w:eastAsia="Times New Roman" w:hAnsi="Arial" w:cs="Arial"/>
          <w:color w:val="000000"/>
          <w:sz w:val="20"/>
          <w:szCs w:val="20"/>
        </w:rPr>
        <w:t>•reduction of our global workforce to adjust to market conditions, including increased severance costs, retention issues, and an inability to hire employees when market conditions improve;</w:t>
      </w:r>
    </w:p>
    <w:p w14:paraId="0C296DEE" w14:textId="77777777" w:rsidR="00000000" w:rsidRDefault="00C01C43">
      <w:pPr>
        <w:ind w:hanging="360"/>
        <w:jc w:val="both"/>
        <w:divId w:val="2067752645"/>
        <w:rPr>
          <w:rFonts w:eastAsia="Times New Roman"/>
        </w:rPr>
      </w:pPr>
      <w:r>
        <w:rPr>
          <w:rFonts w:ascii="Arial" w:eastAsia="Times New Roman" w:hAnsi="Arial" w:cs="Arial"/>
          <w:color w:val="000000"/>
          <w:sz w:val="20"/>
          <w:szCs w:val="20"/>
        </w:rPr>
        <w:t>•litigation risk and possible loss co</w:t>
      </w:r>
      <w:r>
        <w:rPr>
          <w:rFonts w:ascii="Arial" w:eastAsia="Times New Roman" w:hAnsi="Arial" w:cs="Arial"/>
          <w:color w:val="000000"/>
          <w:sz w:val="20"/>
          <w:szCs w:val="20"/>
        </w:rPr>
        <w:t>ntingencies related to COVID-19 and its impact, including with respect to commercial contracts, employee matters and insurance arrangements;</w:t>
      </w:r>
    </w:p>
    <w:p w14:paraId="2C6B09B5" w14:textId="77777777" w:rsidR="00000000" w:rsidRDefault="00C01C43">
      <w:pPr>
        <w:ind w:hanging="360"/>
        <w:jc w:val="both"/>
        <w:divId w:val="1223129696"/>
        <w:rPr>
          <w:rFonts w:eastAsia="Times New Roman"/>
        </w:rPr>
      </w:pPr>
      <w:r>
        <w:rPr>
          <w:rFonts w:ascii="Arial" w:eastAsia="Times New Roman" w:hAnsi="Arial" w:cs="Arial"/>
          <w:color w:val="000000"/>
          <w:sz w:val="20"/>
          <w:szCs w:val="20"/>
        </w:rPr>
        <w:t>•heightened risk of cybersecurity issues, as digital technologies may become more vulnerable and experience a highe</w:t>
      </w:r>
      <w:r>
        <w:rPr>
          <w:rFonts w:ascii="Arial" w:eastAsia="Times New Roman" w:hAnsi="Arial" w:cs="Arial"/>
          <w:color w:val="000000"/>
          <w:sz w:val="20"/>
          <w:szCs w:val="20"/>
        </w:rPr>
        <w:t>r rate of cyber-attacks in a remote connectivity environment; and,</w:t>
      </w:r>
    </w:p>
    <w:p w14:paraId="21603677" w14:textId="77777777" w:rsidR="00000000" w:rsidRDefault="00C01C43">
      <w:pPr>
        <w:ind w:hanging="360"/>
        <w:jc w:val="both"/>
        <w:divId w:val="182177330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structural shift in the global economy and its demand for fuel and related products and services as a result of changes in the way people work, travel and interact, or in connection with a global recession.</w:t>
      </w:r>
    </w:p>
    <w:p w14:paraId="03163CED" w14:textId="77777777" w:rsidR="00000000" w:rsidRDefault="00C01C43">
      <w:pPr>
        <w:jc w:val="both"/>
        <w:rPr>
          <w:rFonts w:eastAsia="Times New Roman"/>
        </w:rPr>
      </w:pPr>
    </w:p>
    <w:p w14:paraId="072C0916" w14:textId="77777777" w:rsidR="00000000" w:rsidRDefault="00C01C43">
      <w:pPr>
        <w:jc w:val="center"/>
        <w:divId w:val="1378889856"/>
        <w:rPr>
          <w:rFonts w:eastAsia="Times New Roman"/>
        </w:rPr>
      </w:pPr>
      <w:r>
        <w:rPr>
          <w:rFonts w:ascii="Arial" w:eastAsia="Times New Roman" w:hAnsi="Arial" w:cs="Arial"/>
          <w:color w:val="000000"/>
          <w:sz w:val="16"/>
          <w:szCs w:val="16"/>
        </w:rPr>
        <w:t>8</w:t>
      </w:r>
    </w:p>
    <w:p w14:paraId="3F653692" w14:textId="77777777" w:rsidR="00000000" w:rsidRDefault="00C01C43">
      <w:pPr>
        <w:rPr>
          <w:rFonts w:eastAsia="Times New Roman"/>
        </w:rPr>
      </w:pPr>
      <w:r>
        <w:rPr>
          <w:rFonts w:eastAsia="Times New Roman"/>
        </w:rPr>
        <w:pict w14:anchorId="64CB28A4">
          <v:rect id="_x0000_i1036" style="width:0;height:1.5pt" o:hralign="center" o:hrstd="t" o:hr="t" fillcolor="#a0a0a0" stroked="f"/>
        </w:pict>
      </w:r>
    </w:p>
    <w:p w14:paraId="28EB6040" w14:textId="77777777" w:rsidR="00000000" w:rsidRDefault="00C01C43">
      <w:pPr>
        <w:divId w:val="861357049"/>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68D848B2" w14:textId="77777777" w:rsidR="00000000" w:rsidRDefault="00C01C43">
      <w:pPr>
        <w:jc w:val="both"/>
        <w:rPr>
          <w:rFonts w:eastAsia="Times New Roman"/>
        </w:rPr>
      </w:pPr>
      <w:r>
        <w:rPr>
          <w:rFonts w:ascii="Arial" w:eastAsia="Times New Roman" w:hAnsi="Arial" w:cs="Arial"/>
          <w:color w:val="000000"/>
          <w:sz w:val="20"/>
          <w:szCs w:val="20"/>
        </w:rPr>
        <w:t>We are monitoring and continue to assess the ongoing effects of the COVID-19 pandemic on our businesses and operations. While many governments have enacted fiscal and monetary stimulus policies intended to counteract the adverse economic impact of the pand</w:t>
      </w:r>
      <w:r>
        <w:rPr>
          <w:rFonts w:ascii="Arial" w:eastAsia="Times New Roman" w:hAnsi="Arial" w:cs="Arial"/>
          <w:color w:val="000000"/>
          <w:sz w:val="20"/>
          <w:szCs w:val="20"/>
        </w:rPr>
        <w:t>emic, the effectiveness of such actions remains uncertain. We expect the full impact of the COVID-19 pandemic, including the extent of its effect on our financial condition and results of operations, to be dictated by future developments which are highly u</w:t>
      </w:r>
      <w:r>
        <w:rPr>
          <w:rFonts w:ascii="Arial" w:eastAsia="Times New Roman" w:hAnsi="Arial" w:cs="Arial"/>
          <w:color w:val="000000"/>
          <w:sz w:val="20"/>
          <w:szCs w:val="20"/>
        </w:rPr>
        <w:t>ncertain and cannot be predicted, such as the speed and effectiveness of efforts to contain and combat the virus, including vaccine development and distribution, the possibility of subsequent widespread outbreaks and the impact of actions taken by governme</w:t>
      </w:r>
      <w:r>
        <w:rPr>
          <w:rFonts w:ascii="Arial" w:eastAsia="Times New Roman" w:hAnsi="Arial" w:cs="Arial"/>
          <w:color w:val="000000"/>
          <w:sz w:val="20"/>
          <w:szCs w:val="20"/>
        </w:rPr>
        <w:t>nts and businesses in response, the ultimate impact on global economic activity and how quickly, and to what extent, normal economic and operating conditions can resume on a sustainable basis globally, as well as the extent and duration of the effect of th</w:t>
      </w:r>
      <w:r>
        <w:rPr>
          <w:rFonts w:ascii="Arial" w:eastAsia="Times New Roman" w:hAnsi="Arial" w:cs="Arial"/>
          <w:color w:val="000000"/>
          <w:sz w:val="20"/>
          <w:szCs w:val="20"/>
        </w:rPr>
        <w:t>e crisis on consumer confidence and spending.</w:t>
      </w:r>
    </w:p>
    <w:p w14:paraId="4C69BF83" w14:textId="77777777" w:rsidR="00000000" w:rsidRDefault="00C01C43">
      <w:pPr>
        <w:jc w:val="both"/>
        <w:rPr>
          <w:rFonts w:eastAsia="Times New Roman"/>
        </w:rPr>
      </w:pPr>
    </w:p>
    <w:p w14:paraId="0FE4DF2E" w14:textId="77777777" w:rsidR="00000000" w:rsidRDefault="00C01C43">
      <w:pPr>
        <w:jc w:val="both"/>
        <w:rPr>
          <w:rFonts w:eastAsia="Times New Roman"/>
        </w:rPr>
      </w:pPr>
      <w:r>
        <w:rPr>
          <w:rFonts w:ascii="Arial" w:eastAsia="Times New Roman" w:hAnsi="Arial" w:cs="Arial"/>
          <w:color w:val="000000"/>
          <w:sz w:val="20"/>
          <w:szCs w:val="20"/>
        </w:rPr>
        <w:t xml:space="preserve">The pandemic may also have the effect of exacerbating many of the other risks discussed in this Annual Report on Form 10-K or in our quarterly reports on Form 10-Q, which could have a material adverse effect </w:t>
      </w:r>
      <w:r>
        <w:rPr>
          <w:rFonts w:ascii="Arial" w:eastAsia="Times New Roman" w:hAnsi="Arial" w:cs="Arial"/>
          <w:color w:val="000000"/>
          <w:sz w:val="20"/>
          <w:szCs w:val="20"/>
        </w:rPr>
        <w:t>on us. Accordingly, the occurrence of one or more of the foregoing factors could increase our costs and/or reduce the demand for our products, which could therefore have a material adverse effect on our business, financial condition, results of operations,</w:t>
      </w:r>
      <w:r>
        <w:rPr>
          <w:rFonts w:ascii="Arial" w:eastAsia="Times New Roman" w:hAnsi="Arial" w:cs="Arial"/>
          <w:color w:val="000000"/>
          <w:sz w:val="20"/>
          <w:szCs w:val="20"/>
        </w:rPr>
        <w:t xml:space="preserve"> liquidity and cash flows. For additional information on the impact of the pandemic, see “Management’s Discussion and Analysis of Financial Condition and Results of Operations - Business Overview."</w:t>
      </w:r>
    </w:p>
    <w:p w14:paraId="5A52B257" w14:textId="77777777" w:rsidR="00000000" w:rsidRDefault="00C01C43">
      <w:pPr>
        <w:jc w:val="both"/>
        <w:rPr>
          <w:rFonts w:eastAsia="Times New Roman"/>
        </w:rPr>
      </w:pPr>
    </w:p>
    <w:p w14:paraId="31908A26" w14:textId="77777777" w:rsidR="00000000" w:rsidRDefault="00C01C43">
      <w:pPr>
        <w:jc w:val="both"/>
        <w:rPr>
          <w:rFonts w:eastAsia="Times New Roman"/>
        </w:rPr>
      </w:pPr>
      <w:r>
        <w:rPr>
          <w:rFonts w:ascii="Arial" w:eastAsia="Times New Roman" w:hAnsi="Arial" w:cs="Arial"/>
          <w:b/>
          <w:bCs/>
          <w:color w:val="000000"/>
          <w:sz w:val="20"/>
          <w:szCs w:val="20"/>
        </w:rPr>
        <w:t>COVID-19 pandemic related impacts affecting the aviation</w:t>
      </w:r>
      <w:r>
        <w:rPr>
          <w:rFonts w:ascii="Arial" w:eastAsia="Times New Roman" w:hAnsi="Arial" w:cs="Arial"/>
          <w:b/>
          <w:bCs/>
          <w:color w:val="000000"/>
          <w:sz w:val="20"/>
          <w:szCs w:val="20"/>
        </w:rPr>
        <w:t>, marine and land transportation industries may have a material adverse effect on our business.</w:t>
      </w:r>
    </w:p>
    <w:p w14:paraId="1110A5C8" w14:textId="77777777" w:rsidR="00000000" w:rsidRDefault="00C01C43">
      <w:pPr>
        <w:jc w:val="both"/>
        <w:rPr>
          <w:rFonts w:eastAsia="Times New Roman"/>
        </w:rPr>
      </w:pPr>
      <w:r>
        <w:rPr>
          <w:rFonts w:ascii="Arial" w:eastAsia="Times New Roman" w:hAnsi="Arial" w:cs="Arial"/>
          <w:color w:val="000000"/>
          <w:sz w:val="20"/>
          <w:szCs w:val="20"/>
        </w:rPr>
        <w:t>The coronavirus pandemic (COVID-19) has had a significant impact on the global economy generally, as well as the aviation, land and marine transportation indust</w:t>
      </w:r>
      <w:r>
        <w:rPr>
          <w:rFonts w:ascii="Arial" w:eastAsia="Times New Roman" w:hAnsi="Arial" w:cs="Arial"/>
          <w:color w:val="000000"/>
          <w:sz w:val="20"/>
          <w:szCs w:val="20"/>
        </w:rPr>
        <w:t>ries, where companies operating in these sectors have experienced substantial declines in demand arising from the various measures enacted by governments around the world to contain the spread of the virus. Commercial passenger airlines and cruise lines ha</w:t>
      </w:r>
      <w:r>
        <w:rPr>
          <w:rFonts w:ascii="Arial" w:eastAsia="Times New Roman" w:hAnsi="Arial" w:cs="Arial"/>
          <w:color w:val="000000"/>
          <w:sz w:val="20"/>
          <w:szCs w:val="20"/>
        </w:rPr>
        <w:t>ve been particularly impacted by the travel restrictions and stay-at-home orders, and various other customers in each of our segments have also been adversely affected by such restrictions, as well as the extended shutdown of various businesses and schools</w:t>
      </w:r>
      <w:r>
        <w:rPr>
          <w:rFonts w:ascii="Arial" w:eastAsia="Times New Roman" w:hAnsi="Arial" w:cs="Arial"/>
          <w:color w:val="000000"/>
          <w:sz w:val="20"/>
          <w:szCs w:val="20"/>
        </w:rPr>
        <w:t xml:space="preserve"> in affected regions. As a result, we experienced a sharp decline in sales volume and profitability across our aviation, land and marine segments beginning in the second quarter of 2020, which persisted throughout the balance of the year and may continue f</w:t>
      </w:r>
      <w:r>
        <w:rPr>
          <w:rFonts w:ascii="Arial" w:eastAsia="Times New Roman" w:hAnsi="Arial" w:cs="Arial"/>
          <w:color w:val="000000"/>
          <w:sz w:val="20"/>
          <w:szCs w:val="20"/>
        </w:rPr>
        <w:t>or an extended period of time. The ultimate magnitude and duration of these adverse impacts on our business will depend on the timing and extent to which the global economy, and our customers in the aviation, land and marine transportation industries in pa</w:t>
      </w:r>
      <w:r>
        <w:rPr>
          <w:rFonts w:ascii="Arial" w:eastAsia="Times New Roman" w:hAnsi="Arial" w:cs="Arial"/>
          <w:color w:val="000000"/>
          <w:sz w:val="20"/>
          <w:szCs w:val="20"/>
        </w:rPr>
        <w:t>rticular, recover from the current crisis and return to normalized operating levels.</w:t>
      </w:r>
    </w:p>
    <w:p w14:paraId="46B49231" w14:textId="77777777" w:rsidR="00000000" w:rsidRDefault="00C01C43">
      <w:pPr>
        <w:jc w:val="both"/>
        <w:rPr>
          <w:rFonts w:eastAsia="Times New Roman"/>
        </w:rPr>
      </w:pPr>
    </w:p>
    <w:p w14:paraId="185945E8" w14:textId="77777777" w:rsidR="00000000" w:rsidRDefault="00C01C43">
      <w:pPr>
        <w:jc w:val="both"/>
        <w:rPr>
          <w:rFonts w:eastAsia="Times New Roman"/>
        </w:rPr>
      </w:pPr>
      <w:r>
        <w:rPr>
          <w:rFonts w:ascii="Arial" w:eastAsia="Times New Roman" w:hAnsi="Arial" w:cs="Arial"/>
          <w:b/>
          <w:bCs/>
          <w:color w:val="000000"/>
          <w:sz w:val="20"/>
          <w:szCs w:val="20"/>
          <w:u w:val="single"/>
        </w:rPr>
        <w:t>Strategic &amp; Operational Risks:</w:t>
      </w:r>
    </w:p>
    <w:p w14:paraId="33DBA289" w14:textId="77777777" w:rsidR="00000000" w:rsidRDefault="00C01C43">
      <w:pPr>
        <w:jc w:val="both"/>
        <w:rPr>
          <w:rFonts w:eastAsia="Times New Roman"/>
        </w:rPr>
      </w:pPr>
      <w:r>
        <w:rPr>
          <w:rFonts w:ascii="Arial" w:eastAsia="Times New Roman" w:hAnsi="Arial" w:cs="Arial"/>
          <w:b/>
          <w:bCs/>
          <w:color w:val="000000"/>
          <w:sz w:val="20"/>
          <w:szCs w:val="20"/>
        </w:rPr>
        <w:t>We extend credit to most of our customers in connection with their purchase of fuel and services from us, and financial condition, results</w:t>
      </w:r>
      <w:r>
        <w:rPr>
          <w:rFonts w:ascii="Arial" w:eastAsia="Times New Roman" w:hAnsi="Arial" w:cs="Arial"/>
          <w:b/>
          <w:bCs/>
          <w:color w:val="000000"/>
          <w:sz w:val="20"/>
          <w:szCs w:val="20"/>
        </w:rPr>
        <w:t xml:space="preserve"> of operations and cash flows will be adversely affected if we are unable to collect accounts receivable.</w:t>
      </w:r>
    </w:p>
    <w:p w14:paraId="0BF71FAA" w14:textId="77777777" w:rsidR="00000000" w:rsidRDefault="00C01C43">
      <w:pPr>
        <w:jc w:val="both"/>
        <w:rPr>
          <w:rFonts w:eastAsia="Times New Roman"/>
        </w:rPr>
      </w:pPr>
      <w:r>
        <w:rPr>
          <w:rFonts w:ascii="Arial" w:eastAsia="Times New Roman" w:hAnsi="Arial" w:cs="Arial"/>
          <w:color w:val="000000"/>
          <w:sz w:val="20"/>
          <w:szCs w:val="20"/>
        </w:rPr>
        <w:t>Our success in attracting customers has been due, in part, to our willingness to extend credit on an unsecured basis to customers as opposed to requir</w:t>
      </w:r>
      <w:r>
        <w:rPr>
          <w:rFonts w:ascii="Arial" w:eastAsia="Times New Roman" w:hAnsi="Arial" w:cs="Arial"/>
          <w:color w:val="000000"/>
          <w:sz w:val="20"/>
          <w:szCs w:val="20"/>
        </w:rPr>
        <w:t>ing prepayment, letters of credit or other forms of credit support. Even in cases where we do obtain credit enhancements, such as guarantees, offset rights, collateral or other forms of security, such rights may not be sufficient or fully collectible depen</w:t>
      </w:r>
      <w:r>
        <w:rPr>
          <w:rFonts w:ascii="Arial" w:eastAsia="Times New Roman" w:hAnsi="Arial" w:cs="Arial"/>
          <w:color w:val="000000"/>
          <w:sz w:val="20"/>
          <w:szCs w:val="20"/>
        </w:rPr>
        <w:t>ding on the circumstances of the customer at the time of default. Furthermore, the diversification of our credit risk is limited, as we primarily conduct business within the aviation, land and marine transportation industries.</w:t>
      </w:r>
    </w:p>
    <w:p w14:paraId="22867196" w14:textId="77777777" w:rsidR="00000000" w:rsidRDefault="00C01C43">
      <w:pPr>
        <w:jc w:val="both"/>
        <w:rPr>
          <w:rFonts w:eastAsia="Times New Roman"/>
        </w:rPr>
      </w:pPr>
    </w:p>
    <w:p w14:paraId="1AC03D25" w14:textId="77777777" w:rsidR="00000000" w:rsidRDefault="00C01C43">
      <w:pPr>
        <w:jc w:val="both"/>
        <w:rPr>
          <w:rFonts w:eastAsia="Times New Roman"/>
        </w:rPr>
      </w:pPr>
      <w:r>
        <w:rPr>
          <w:rFonts w:ascii="Arial" w:eastAsia="Times New Roman" w:hAnsi="Arial" w:cs="Arial"/>
          <w:color w:val="000000"/>
          <w:sz w:val="20"/>
          <w:szCs w:val="20"/>
        </w:rPr>
        <w:t>Our exposure to credit loss</w:t>
      </w:r>
      <w:r>
        <w:rPr>
          <w:rFonts w:ascii="Arial" w:eastAsia="Times New Roman" w:hAnsi="Arial" w:cs="Arial"/>
          <w:color w:val="000000"/>
          <w:sz w:val="20"/>
          <w:szCs w:val="20"/>
        </w:rPr>
        <w:t>es depends primarily on the financial condition of our customers and other factors beyond our control, such as the impact of the coronavirus pandemic (COVID-19) on the global transportation industry, the extent of deteriorating conditions in the world econ</w:t>
      </w:r>
      <w:r>
        <w:rPr>
          <w:rFonts w:ascii="Arial" w:eastAsia="Times New Roman" w:hAnsi="Arial" w:cs="Arial"/>
          <w:color w:val="000000"/>
          <w:sz w:val="20"/>
          <w:szCs w:val="20"/>
        </w:rPr>
        <w:t>omy or in the industries we serve, significant changes in oil prices and political instability. For example, during 2020 our provision for bad debt was materially higher, principally in our aviation segment, due to the ongoing effects of the COVID-19 pande</w:t>
      </w:r>
      <w:r>
        <w:rPr>
          <w:rFonts w:ascii="Arial" w:eastAsia="Times New Roman" w:hAnsi="Arial" w:cs="Arial"/>
          <w:color w:val="000000"/>
          <w:sz w:val="20"/>
          <w:szCs w:val="20"/>
        </w:rPr>
        <w:t xml:space="preserve">mic on the aviation industry arising from the global restrictions on air travel. While we actively manage our credit exposure and work to respond to changes in our customers’ financial condition and other macroeconomic events, there can be no guarantee we </w:t>
      </w:r>
      <w:r>
        <w:rPr>
          <w:rFonts w:ascii="Arial" w:eastAsia="Times New Roman" w:hAnsi="Arial" w:cs="Arial"/>
          <w:color w:val="000000"/>
          <w:sz w:val="20"/>
          <w:szCs w:val="20"/>
        </w:rPr>
        <w:t>will be able to mitigate these risks successfully. Substantial credit losses could have a material adverse effect on our financial condition, results of operations and cash flows.</w:t>
      </w:r>
    </w:p>
    <w:p w14:paraId="5BF66A04" w14:textId="77777777" w:rsidR="00000000" w:rsidRDefault="00C01C43">
      <w:pPr>
        <w:jc w:val="both"/>
        <w:rPr>
          <w:rFonts w:eastAsia="Times New Roman"/>
        </w:rPr>
      </w:pPr>
    </w:p>
    <w:p w14:paraId="174DF06D" w14:textId="77777777" w:rsidR="00000000" w:rsidRDefault="00C01C43">
      <w:pPr>
        <w:jc w:val="both"/>
        <w:rPr>
          <w:rFonts w:eastAsia="Times New Roman"/>
        </w:rPr>
      </w:pPr>
    </w:p>
    <w:p w14:paraId="240D3853" w14:textId="77777777" w:rsidR="00000000" w:rsidRDefault="00C01C43">
      <w:pPr>
        <w:jc w:val="center"/>
        <w:divId w:val="1206719293"/>
        <w:rPr>
          <w:rFonts w:eastAsia="Times New Roman"/>
        </w:rPr>
      </w:pPr>
      <w:r>
        <w:rPr>
          <w:rFonts w:ascii="Arial" w:eastAsia="Times New Roman" w:hAnsi="Arial" w:cs="Arial"/>
          <w:color w:val="000000"/>
          <w:sz w:val="16"/>
          <w:szCs w:val="16"/>
        </w:rPr>
        <w:t>9</w:t>
      </w:r>
    </w:p>
    <w:p w14:paraId="2A36A0DE" w14:textId="77777777" w:rsidR="00000000" w:rsidRDefault="00C01C43">
      <w:pPr>
        <w:rPr>
          <w:rFonts w:eastAsia="Times New Roman"/>
        </w:rPr>
      </w:pPr>
      <w:r>
        <w:rPr>
          <w:rFonts w:eastAsia="Times New Roman"/>
        </w:rPr>
        <w:pict w14:anchorId="60E2F63D">
          <v:rect id="_x0000_i1037" style="width:0;height:1.5pt" o:hralign="center" o:hrstd="t" o:hr="t" fillcolor="#a0a0a0" stroked="f"/>
        </w:pict>
      </w:r>
    </w:p>
    <w:p w14:paraId="0CC640E3" w14:textId="77777777" w:rsidR="00000000" w:rsidRDefault="00C01C43">
      <w:pPr>
        <w:divId w:val="1592854929"/>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2CB40EF2" w14:textId="77777777" w:rsidR="00000000" w:rsidRDefault="00C01C43">
      <w:pPr>
        <w:jc w:val="both"/>
        <w:rPr>
          <w:rFonts w:eastAsia="Times New Roman"/>
        </w:rPr>
      </w:pPr>
      <w:r>
        <w:rPr>
          <w:rFonts w:ascii="Arial" w:eastAsia="Times New Roman" w:hAnsi="Arial" w:cs="Arial"/>
          <w:b/>
          <w:bCs/>
          <w:color w:val="000000"/>
          <w:sz w:val="20"/>
          <w:szCs w:val="20"/>
        </w:rPr>
        <w:t xml:space="preserve">A material portion of our profitability is derived from sales to government customers, particularly sales to NATO in Afghanistan, and the loss or material reduction in business from such sales, would likely have a </w:t>
      </w:r>
      <w:r>
        <w:rPr>
          <w:rFonts w:ascii="Arial" w:eastAsia="Times New Roman" w:hAnsi="Arial" w:cs="Arial"/>
          <w:b/>
          <w:bCs/>
          <w:color w:val="000000"/>
          <w:sz w:val="20"/>
          <w:szCs w:val="20"/>
        </w:rPr>
        <w:t>material adverse effect on our results of operations and cash flows.</w:t>
      </w:r>
    </w:p>
    <w:p w14:paraId="12AE2286" w14:textId="77777777" w:rsidR="00000000" w:rsidRDefault="00C01C43">
      <w:pPr>
        <w:jc w:val="both"/>
        <w:rPr>
          <w:rFonts w:eastAsia="Times New Roman"/>
        </w:rPr>
      </w:pPr>
      <w:r>
        <w:rPr>
          <w:rFonts w:ascii="Arial" w:eastAsia="Times New Roman" w:hAnsi="Arial" w:cs="Arial"/>
          <w:color w:val="000000"/>
          <w:sz w:val="20"/>
          <w:szCs w:val="20"/>
        </w:rPr>
        <w:t xml:space="preserve">Sales to government customers represent a material portion of our profitability. In particular, sales to NATO in support of military operations in Afghanistan accounted for approximately </w:t>
      </w:r>
      <w:r>
        <w:rPr>
          <w:rFonts w:ascii="Arial" w:eastAsia="Times New Roman" w:hAnsi="Arial" w:cs="Arial"/>
          <w:color w:val="000000"/>
          <w:sz w:val="20"/>
          <w:szCs w:val="20"/>
        </w:rPr>
        <w:t>14% of our consolidated gross profit in 2020. T</w:t>
      </w:r>
      <w:r>
        <w:rPr>
          <w:rFonts w:ascii="Arial" w:eastAsia="Times New Roman" w:hAnsi="Arial" w:cs="Arial"/>
          <w:color w:val="000000"/>
          <w:sz w:val="20"/>
          <w:szCs w:val="20"/>
          <w:shd w:val="clear" w:color="auto" w:fill="FFFFFF"/>
        </w:rPr>
        <w:t xml:space="preserve">he current contract for these sales to NATO has been renewed through December 2021, with an additional one-year renewal option remaining at NATO's discretion. </w:t>
      </w:r>
      <w:r>
        <w:rPr>
          <w:rFonts w:ascii="Arial" w:eastAsia="Times New Roman" w:hAnsi="Arial" w:cs="Arial"/>
          <w:color w:val="000000"/>
          <w:sz w:val="20"/>
          <w:szCs w:val="20"/>
        </w:rPr>
        <w:t>There is no guarantee that NATO will exercise the remaining renewal option.</w:t>
      </w:r>
    </w:p>
    <w:p w14:paraId="3D6F2288" w14:textId="77777777" w:rsidR="00000000" w:rsidRDefault="00C01C43">
      <w:pPr>
        <w:jc w:val="both"/>
        <w:rPr>
          <w:rFonts w:eastAsia="Times New Roman"/>
        </w:rPr>
      </w:pPr>
    </w:p>
    <w:p w14:paraId="6B8C898E" w14:textId="77777777" w:rsidR="00000000" w:rsidRDefault="00C01C43">
      <w:pPr>
        <w:jc w:val="both"/>
        <w:rPr>
          <w:rFonts w:eastAsia="Times New Roman"/>
        </w:rPr>
      </w:pPr>
      <w:r>
        <w:rPr>
          <w:rFonts w:ascii="Arial" w:eastAsia="Times New Roman" w:hAnsi="Arial" w:cs="Arial"/>
          <w:color w:val="000000"/>
          <w:sz w:val="20"/>
          <w:szCs w:val="20"/>
        </w:rPr>
        <w:t>The level of troop deployments and military-related activities can cause our government customer sales to vary significantly and materially impact our operating results. Specific</w:t>
      </w:r>
      <w:r>
        <w:rPr>
          <w:rFonts w:ascii="Arial" w:eastAsia="Times New Roman" w:hAnsi="Arial" w:cs="Arial"/>
          <w:color w:val="000000"/>
          <w:sz w:val="20"/>
          <w:szCs w:val="20"/>
        </w:rPr>
        <w:t>ally, the U.S. government has announced its intention to significantly reduce the level of U.S. troops in the Middle East, including the troops supporting NATO in Afghanistan. In the early part of 2020, the U.S. entered into an agreement with the Taliban w</w:t>
      </w:r>
      <w:r>
        <w:rPr>
          <w:rFonts w:ascii="Arial" w:eastAsia="Times New Roman" w:hAnsi="Arial" w:cs="Arial"/>
          <w:color w:val="000000"/>
          <w:sz w:val="20"/>
          <w:szCs w:val="20"/>
        </w:rPr>
        <w:t>here it agreed to reduce the level of troops and negotiate a full withdrawal by 2021, subject to various conditions, including a peace agreement being reached between the government of Afghanistan and the Taliban. The U.S. government thereafter moved forwa</w:t>
      </w:r>
      <w:r>
        <w:rPr>
          <w:rFonts w:ascii="Arial" w:eastAsia="Times New Roman" w:hAnsi="Arial" w:cs="Arial"/>
          <w:color w:val="000000"/>
          <w:sz w:val="20"/>
          <w:szCs w:val="20"/>
        </w:rPr>
        <w:t>rd with a significant reduction in the level of troops throughout 2020 and we experienced a material decline in demand during 2020. While the exact timing and full impact of the troop withdrawal remain uncertain, we expect to continue to experience further</w:t>
      </w:r>
      <w:r>
        <w:rPr>
          <w:rFonts w:ascii="Arial" w:eastAsia="Times New Roman" w:hAnsi="Arial" w:cs="Arial"/>
          <w:color w:val="000000"/>
          <w:sz w:val="20"/>
          <w:szCs w:val="20"/>
        </w:rPr>
        <w:t xml:space="preserve"> reductions in demand through 2021.</w:t>
      </w:r>
    </w:p>
    <w:p w14:paraId="0985F7BD" w14:textId="77777777" w:rsidR="00000000" w:rsidRDefault="00C01C43">
      <w:pPr>
        <w:jc w:val="both"/>
        <w:rPr>
          <w:rFonts w:eastAsia="Times New Roman"/>
        </w:rPr>
      </w:pPr>
    </w:p>
    <w:p w14:paraId="737DB78B" w14:textId="77777777" w:rsidR="00000000" w:rsidRDefault="00C01C43">
      <w:pPr>
        <w:jc w:val="both"/>
        <w:rPr>
          <w:rFonts w:eastAsia="Times New Roman"/>
        </w:rPr>
      </w:pPr>
      <w:r>
        <w:rPr>
          <w:rFonts w:ascii="Arial" w:eastAsia="Times New Roman" w:hAnsi="Arial" w:cs="Arial"/>
          <w:color w:val="000000"/>
          <w:sz w:val="20"/>
          <w:szCs w:val="20"/>
        </w:rPr>
        <w:t>Sales to government customers can also be materially impacted by factors such as supply disruptions, border closures, road blockages, hostility-related product losses, inventory shortages and other logistical difficulties that can arise when sourcing and d</w:t>
      </w:r>
      <w:r>
        <w:rPr>
          <w:rFonts w:ascii="Arial" w:eastAsia="Times New Roman" w:hAnsi="Arial" w:cs="Arial"/>
          <w:color w:val="000000"/>
          <w:sz w:val="20"/>
          <w:szCs w:val="20"/>
        </w:rPr>
        <w:t>elivering fuel in areas that are actively engaged in war or other military conflicts. Moreover, there is a risk of serious injury or loss of life of our employees or subcontractors operating in these high-risk locations. We therefore, may incur substantial</w:t>
      </w:r>
      <w:r>
        <w:rPr>
          <w:rFonts w:ascii="Arial" w:eastAsia="Times New Roman" w:hAnsi="Arial" w:cs="Arial"/>
          <w:color w:val="000000"/>
          <w:sz w:val="20"/>
          <w:szCs w:val="20"/>
        </w:rPr>
        <w:t xml:space="preserve"> operating costs as a result of, among other things, hostility-related product losses, utilizing alternate supply routes or maintaining the safety of our personnel, particularly where our facilities are likely to be targeted by terrorist activity.</w:t>
      </w:r>
    </w:p>
    <w:p w14:paraId="38F73DF1" w14:textId="77777777" w:rsidR="00000000" w:rsidRDefault="00C01C43">
      <w:pPr>
        <w:jc w:val="both"/>
        <w:rPr>
          <w:rFonts w:eastAsia="Times New Roman"/>
        </w:rPr>
      </w:pPr>
    </w:p>
    <w:p w14:paraId="00101681" w14:textId="77777777" w:rsidR="00000000" w:rsidRDefault="00C01C43">
      <w:pPr>
        <w:jc w:val="both"/>
        <w:rPr>
          <w:rFonts w:eastAsia="Times New Roman"/>
        </w:rPr>
      </w:pPr>
      <w:r>
        <w:rPr>
          <w:rFonts w:ascii="Arial" w:eastAsia="Times New Roman" w:hAnsi="Arial" w:cs="Arial"/>
          <w:color w:val="000000"/>
          <w:sz w:val="20"/>
          <w:szCs w:val="20"/>
        </w:rPr>
        <w:t>Finall</w:t>
      </w:r>
      <w:r>
        <w:rPr>
          <w:rFonts w:ascii="Arial" w:eastAsia="Times New Roman" w:hAnsi="Arial" w:cs="Arial"/>
          <w:color w:val="000000"/>
          <w:sz w:val="20"/>
          <w:szCs w:val="20"/>
        </w:rPr>
        <w:t>y, due to complex supply logistics, the indefinite nature of government contracts, and the associated risks of doing business in areas engaged in war or military conflict, sales of products and services to government customers in support of military operat</w:t>
      </w:r>
      <w:r>
        <w:rPr>
          <w:rFonts w:ascii="Arial" w:eastAsia="Times New Roman" w:hAnsi="Arial" w:cs="Arial"/>
          <w:color w:val="000000"/>
          <w:sz w:val="20"/>
          <w:szCs w:val="20"/>
        </w:rPr>
        <w:t>ions typically carry significantly higher net margins than sales to commercial customers. As a result, a significant decrease in sales to our government customers, or loss of a key contract, such as our NATO agreement, would result in a disproportionate re</w:t>
      </w:r>
      <w:r>
        <w:rPr>
          <w:rFonts w:ascii="Arial" w:eastAsia="Times New Roman" w:hAnsi="Arial" w:cs="Arial"/>
          <w:color w:val="000000"/>
          <w:sz w:val="20"/>
          <w:szCs w:val="20"/>
        </w:rPr>
        <w:t>duction in our consolidated operating income and, thus, would likely have a material adverse effect on our financial condition, results of operations and cash flows.</w:t>
      </w:r>
    </w:p>
    <w:p w14:paraId="043BFF13" w14:textId="77777777" w:rsidR="00000000" w:rsidRDefault="00C01C43">
      <w:pPr>
        <w:jc w:val="both"/>
        <w:rPr>
          <w:rFonts w:eastAsia="Times New Roman"/>
        </w:rPr>
      </w:pPr>
    </w:p>
    <w:p w14:paraId="0CB535D4" w14:textId="77777777" w:rsidR="00000000" w:rsidRDefault="00C01C43">
      <w:pPr>
        <w:jc w:val="both"/>
        <w:rPr>
          <w:rFonts w:eastAsia="Times New Roman"/>
        </w:rPr>
      </w:pPr>
      <w:r>
        <w:rPr>
          <w:rFonts w:ascii="Arial" w:eastAsia="Times New Roman" w:hAnsi="Arial" w:cs="Arial"/>
          <w:b/>
          <w:bCs/>
          <w:color w:val="000000"/>
          <w:sz w:val="20"/>
          <w:szCs w:val="20"/>
        </w:rPr>
        <w:t>Changes in the market price of fuel may have a material adverse effect on our business.</w:t>
      </w:r>
    </w:p>
    <w:p w14:paraId="1EDEB072" w14:textId="77777777" w:rsidR="00000000" w:rsidRDefault="00C01C43">
      <w:pPr>
        <w:jc w:val="both"/>
        <w:rPr>
          <w:rFonts w:eastAsia="Times New Roman"/>
        </w:rPr>
      </w:pPr>
      <w:r>
        <w:rPr>
          <w:rFonts w:ascii="Arial" w:eastAsia="Times New Roman" w:hAnsi="Arial" w:cs="Arial"/>
          <w:color w:val="000000"/>
          <w:sz w:val="20"/>
          <w:szCs w:val="20"/>
        </w:rPr>
        <w:t>Fuel prices are impacted by many factors beyond our control, including global economic conditions, changes in global crude oil and natural gas prices, expected and actual supply and demand for fuel, the ability or willingness of OPEC to set and maintain pr</w:t>
      </w:r>
      <w:r>
        <w:rPr>
          <w:rFonts w:ascii="Arial" w:eastAsia="Times New Roman" w:hAnsi="Arial" w:cs="Arial"/>
          <w:color w:val="000000"/>
          <w:sz w:val="20"/>
          <w:szCs w:val="20"/>
        </w:rPr>
        <w:t>oduction levels for oil, oil and gas production levels by non-OPEC countries, geopolitical conditions, laws and regulations related to environmental matters, including those mandating or incentivizing alternative energy sources or otherwise addressing glob</w:t>
      </w:r>
      <w:r>
        <w:rPr>
          <w:rFonts w:ascii="Arial" w:eastAsia="Times New Roman" w:hAnsi="Arial" w:cs="Arial"/>
          <w:color w:val="000000"/>
          <w:sz w:val="20"/>
          <w:szCs w:val="20"/>
        </w:rPr>
        <w:t>al climate change, energy conservation efforts and technological advances affecting energy consumption or supply, regulatory changes in commodities markets, and weather and natural disasters.</w:t>
      </w:r>
    </w:p>
    <w:p w14:paraId="6023D00F" w14:textId="77777777" w:rsidR="00000000" w:rsidRDefault="00C01C43">
      <w:pPr>
        <w:jc w:val="both"/>
        <w:rPr>
          <w:rFonts w:eastAsia="Times New Roman"/>
        </w:rPr>
      </w:pPr>
    </w:p>
    <w:p w14:paraId="58F1C47C" w14:textId="77777777" w:rsidR="00000000" w:rsidRDefault="00C01C43">
      <w:pPr>
        <w:jc w:val="both"/>
        <w:rPr>
          <w:rFonts w:eastAsia="Times New Roman"/>
        </w:rPr>
      </w:pPr>
      <w:r>
        <w:rPr>
          <w:rFonts w:ascii="Arial" w:eastAsia="Times New Roman" w:hAnsi="Arial" w:cs="Arial"/>
          <w:color w:val="000000"/>
          <w:sz w:val="20"/>
          <w:szCs w:val="20"/>
        </w:rPr>
        <w:t>During times of high fuel prices, our customers may not be abl</w:t>
      </w:r>
      <w:r>
        <w:rPr>
          <w:rFonts w:ascii="Arial" w:eastAsia="Times New Roman" w:hAnsi="Arial" w:cs="Arial"/>
          <w:color w:val="000000"/>
          <w:sz w:val="20"/>
          <w:szCs w:val="20"/>
        </w:rPr>
        <w:t>e to purchase as much fuel from us because of their credit limits with us and the resulting adverse impact on their business could cause them to be unable to make payments owed to us for fuel purchased on credit. In addition, if fuel prices increase, our o</w:t>
      </w:r>
      <w:r>
        <w:rPr>
          <w:rFonts w:ascii="Arial" w:eastAsia="Times New Roman" w:hAnsi="Arial" w:cs="Arial"/>
          <w:color w:val="000000"/>
          <w:sz w:val="20"/>
          <w:szCs w:val="20"/>
        </w:rPr>
        <w:t>wn credit limits could prevent us from purchasing enough fuel from our suppliers to meet our customers’ demands or could require us to prepay for fuel purchases which would adversely impact our liquidity.</w:t>
      </w:r>
    </w:p>
    <w:p w14:paraId="4E0BBE9C" w14:textId="77777777" w:rsidR="00000000" w:rsidRDefault="00C01C43">
      <w:pPr>
        <w:jc w:val="both"/>
        <w:rPr>
          <w:rFonts w:eastAsia="Times New Roman"/>
        </w:rPr>
      </w:pPr>
    </w:p>
    <w:p w14:paraId="339C404A" w14:textId="77777777" w:rsidR="00000000" w:rsidRDefault="00C01C43">
      <w:pPr>
        <w:jc w:val="both"/>
        <w:rPr>
          <w:rFonts w:eastAsia="Times New Roman"/>
        </w:rPr>
      </w:pPr>
      <w:r>
        <w:rPr>
          <w:rFonts w:ascii="Arial" w:eastAsia="Times New Roman" w:hAnsi="Arial" w:cs="Arial"/>
          <w:color w:val="000000"/>
          <w:sz w:val="20"/>
          <w:szCs w:val="20"/>
        </w:rPr>
        <w:t xml:space="preserve">Conversely, extended periods of low fuel prices, </w:t>
      </w:r>
      <w:r>
        <w:rPr>
          <w:rFonts w:ascii="Arial" w:eastAsia="Times New Roman" w:hAnsi="Arial" w:cs="Arial"/>
          <w:color w:val="000000"/>
          <w:sz w:val="20"/>
          <w:szCs w:val="20"/>
        </w:rPr>
        <w:t>particularly when coupled with low price volatility, can also have an adverse effect on our results of operations and overall profitability. This can occur due to many factors, such as reduced demand for our price risk management products and decreased sal</w:t>
      </w:r>
      <w:r>
        <w:rPr>
          <w:rFonts w:ascii="Arial" w:eastAsia="Times New Roman" w:hAnsi="Arial" w:cs="Arial"/>
          <w:color w:val="000000"/>
          <w:sz w:val="20"/>
          <w:szCs w:val="20"/>
        </w:rPr>
        <w:t>es to our customers involved in the oil exploration sector. Low fuel prices also facilitate increased competition by reducing financial barriers to entry and enabling existing, lower-capitalized competitors to conduct more business as a result of lower wor</w:t>
      </w:r>
      <w:r>
        <w:rPr>
          <w:rFonts w:ascii="Arial" w:eastAsia="Times New Roman" w:hAnsi="Arial" w:cs="Arial"/>
          <w:color w:val="000000"/>
          <w:sz w:val="20"/>
          <w:szCs w:val="20"/>
        </w:rPr>
        <w:t>king capital requirements.</w:t>
      </w:r>
    </w:p>
    <w:p w14:paraId="0C5B13A7" w14:textId="77777777" w:rsidR="00000000" w:rsidRDefault="00C01C43">
      <w:pPr>
        <w:jc w:val="both"/>
        <w:rPr>
          <w:rFonts w:eastAsia="Times New Roman"/>
        </w:rPr>
      </w:pPr>
    </w:p>
    <w:p w14:paraId="1D0DAD0F" w14:textId="77777777" w:rsidR="00000000" w:rsidRDefault="00C01C43">
      <w:pPr>
        <w:jc w:val="center"/>
        <w:divId w:val="1670792742"/>
        <w:rPr>
          <w:rFonts w:eastAsia="Times New Roman"/>
        </w:rPr>
      </w:pPr>
      <w:r>
        <w:rPr>
          <w:rFonts w:ascii="Arial" w:eastAsia="Times New Roman" w:hAnsi="Arial" w:cs="Arial"/>
          <w:color w:val="000000"/>
          <w:sz w:val="16"/>
          <w:szCs w:val="16"/>
        </w:rPr>
        <w:t>10</w:t>
      </w:r>
    </w:p>
    <w:p w14:paraId="30B4E58D" w14:textId="77777777" w:rsidR="00000000" w:rsidRDefault="00C01C43">
      <w:pPr>
        <w:rPr>
          <w:rFonts w:eastAsia="Times New Roman"/>
        </w:rPr>
      </w:pPr>
      <w:r>
        <w:rPr>
          <w:rFonts w:eastAsia="Times New Roman"/>
        </w:rPr>
        <w:pict w14:anchorId="7E0D7A1E">
          <v:rect id="_x0000_i1038" style="width:0;height:1.5pt" o:hralign="center" o:hrstd="t" o:hr="t" fillcolor="#a0a0a0" stroked="f"/>
        </w:pict>
      </w:r>
    </w:p>
    <w:p w14:paraId="26D7288B" w14:textId="77777777" w:rsidR="00000000" w:rsidRDefault="00C01C43">
      <w:pPr>
        <w:divId w:val="1073550912"/>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273B1991" w14:textId="77777777" w:rsidR="00000000" w:rsidRDefault="00C01C43">
      <w:pPr>
        <w:jc w:val="both"/>
        <w:rPr>
          <w:rFonts w:eastAsia="Times New Roman"/>
        </w:rPr>
      </w:pPr>
      <w:r>
        <w:rPr>
          <w:rFonts w:ascii="Arial" w:eastAsia="Times New Roman" w:hAnsi="Arial" w:cs="Arial"/>
          <w:color w:val="000000"/>
          <w:sz w:val="20"/>
          <w:szCs w:val="20"/>
        </w:rPr>
        <w:t>Finally, we maintain fuel inventories for competitive or logistical reasons. Because fuel is a commodity, we hav</w:t>
      </w:r>
      <w:r>
        <w:rPr>
          <w:rFonts w:ascii="Arial" w:eastAsia="Times New Roman" w:hAnsi="Arial" w:cs="Arial"/>
          <w:color w:val="000000"/>
          <w:sz w:val="20"/>
          <w:szCs w:val="20"/>
        </w:rPr>
        <w:t>e no control over the changing market value of our inventory though we may manage or hedge this price exposure with derivatives. A rapid decline in fuel prices could cause a reduction in our inventory valuation, resulting in our inventory being marked down</w:t>
      </w:r>
      <w:r>
        <w:rPr>
          <w:rFonts w:ascii="Arial" w:eastAsia="Times New Roman" w:hAnsi="Arial" w:cs="Arial"/>
          <w:color w:val="000000"/>
          <w:sz w:val="20"/>
          <w:szCs w:val="20"/>
        </w:rPr>
        <w:t xml:space="preserve"> in value or the inventory itself sold at lower prices. While we attempt to mitigate these fluctuations through hedging, such hedges may not be fully effective. Accordingly, if the market value of our inventory is less than our average cost and to the exte</w:t>
      </w:r>
      <w:r>
        <w:rPr>
          <w:rFonts w:ascii="Arial" w:eastAsia="Times New Roman" w:hAnsi="Arial" w:cs="Arial"/>
          <w:color w:val="000000"/>
          <w:sz w:val="20"/>
          <w:szCs w:val="20"/>
        </w:rPr>
        <w:t>nt our hedges are not effective at mitigating fluctuations in prices, we could record a write-down of inventory on hand and incur a non-cash charge or suffer losses as fuel is sold, which could adversely impact our earnings.</w:t>
      </w:r>
    </w:p>
    <w:p w14:paraId="21508494" w14:textId="77777777" w:rsidR="00000000" w:rsidRDefault="00C01C43">
      <w:pPr>
        <w:jc w:val="both"/>
        <w:rPr>
          <w:rFonts w:eastAsia="Times New Roman"/>
        </w:rPr>
      </w:pPr>
    </w:p>
    <w:p w14:paraId="28FADE62" w14:textId="77777777" w:rsidR="00000000" w:rsidRDefault="00C01C43">
      <w:pPr>
        <w:jc w:val="both"/>
        <w:rPr>
          <w:rFonts w:eastAsia="Times New Roman"/>
        </w:rPr>
      </w:pPr>
      <w:r>
        <w:rPr>
          <w:rFonts w:ascii="Arial" w:eastAsia="Times New Roman" w:hAnsi="Arial" w:cs="Arial"/>
          <w:b/>
          <w:bCs/>
          <w:color w:val="000000"/>
          <w:sz w:val="20"/>
          <w:szCs w:val="20"/>
        </w:rPr>
        <w:t xml:space="preserve">Adverse conditions or events </w:t>
      </w:r>
      <w:r>
        <w:rPr>
          <w:rFonts w:ascii="Arial" w:eastAsia="Times New Roman" w:hAnsi="Arial" w:cs="Arial"/>
          <w:b/>
          <w:bCs/>
          <w:color w:val="000000"/>
          <w:sz w:val="20"/>
          <w:szCs w:val="20"/>
        </w:rPr>
        <w:t>affecting the aviation, marine and land transportation industries may have a material adverse effect on our business.</w:t>
      </w:r>
    </w:p>
    <w:p w14:paraId="3B322D6B" w14:textId="77777777" w:rsidR="00000000" w:rsidRDefault="00C01C43">
      <w:pPr>
        <w:jc w:val="both"/>
        <w:rPr>
          <w:rFonts w:eastAsia="Times New Roman"/>
        </w:rPr>
      </w:pPr>
      <w:r>
        <w:rPr>
          <w:rFonts w:ascii="Arial" w:eastAsia="Times New Roman" w:hAnsi="Arial" w:cs="Arial"/>
          <w:color w:val="000000"/>
          <w:sz w:val="20"/>
          <w:szCs w:val="20"/>
        </w:rPr>
        <w:t>Our business is focused on the marketing of fuel and other related products and services primarily to the aviation, land and marine transp</w:t>
      </w:r>
      <w:r>
        <w:rPr>
          <w:rFonts w:ascii="Arial" w:eastAsia="Times New Roman" w:hAnsi="Arial" w:cs="Arial"/>
          <w:color w:val="000000"/>
          <w:sz w:val="20"/>
          <w:szCs w:val="20"/>
        </w:rPr>
        <w:t xml:space="preserve">ortation industries, which are generally affected by economic cycles. Therefore, weak economic conditions can have a negative impact on our customers' business which may, in turn, have an adverse effect on our business. Additionally, our business and that </w:t>
      </w:r>
      <w:r>
        <w:rPr>
          <w:rFonts w:ascii="Arial" w:eastAsia="Times New Roman" w:hAnsi="Arial" w:cs="Arial"/>
          <w:color w:val="000000"/>
          <w:sz w:val="20"/>
          <w:szCs w:val="20"/>
        </w:rPr>
        <w:t>of our customers can be adversely impacted by political instability, terrorist activity, piracy, military action, transportation, terminal or pipeline capacity constraints, natural disasters and other weather-related events that disrupt shipping, flight op</w:t>
      </w:r>
      <w:r>
        <w:rPr>
          <w:rFonts w:ascii="Arial" w:eastAsia="Times New Roman" w:hAnsi="Arial" w:cs="Arial"/>
          <w:color w:val="000000"/>
          <w:sz w:val="20"/>
          <w:szCs w:val="20"/>
        </w:rPr>
        <w:t>erations, land transportation or the availability of fuel, which may negatively impact sales of our products and services. Any additional political or governmental developments or other global health concerns or crises in the countries in which we or our c</w:t>
      </w:r>
      <w:r>
        <w:rPr>
          <w:rFonts w:ascii="Arial" w:eastAsia="Times New Roman" w:hAnsi="Arial" w:cs="Arial"/>
          <w:color w:val="000000"/>
          <w:sz w:val="20"/>
          <w:szCs w:val="20"/>
        </w:rPr>
        <w:t>ustomers operate, could also result in further social, economic or labor instability. Accordingly, the effects of any of the foregoing risks and uncertainties on us or our customers could have a material adverse effect on our business, results of operation</w:t>
      </w:r>
      <w:r>
        <w:rPr>
          <w:rFonts w:ascii="Arial" w:eastAsia="Times New Roman" w:hAnsi="Arial" w:cs="Arial"/>
          <w:color w:val="000000"/>
          <w:sz w:val="20"/>
          <w:szCs w:val="20"/>
        </w:rPr>
        <w:t>s and financial condition.</w:t>
      </w:r>
    </w:p>
    <w:p w14:paraId="0F053738" w14:textId="77777777" w:rsidR="00000000" w:rsidRDefault="00C01C43">
      <w:pPr>
        <w:jc w:val="both"/>
        <w:rPr>
          <w:rFonts w:eastAsia="Times New Roman"/>
        </w:rPr>
      </w:pPr>
    </w:p>
    <w:p w14:paraId="56240E8C" w14:textId="77777777" w:rsidR="00000000" w:rsidRDefault="00C01C43">
      <w:pPr>
        <w:jc w:val="both"/>
        <w:rPr>
          <w:rFonts w:eastAsia="Times New Roman"/>
        </w:rPr>
      </w:pPr>
      <w:r>
        <w:rPr>
          <w:rFonts w:ascii="Arial" w:eastAsia="Times New Roman" w:hAnsi="Arial" w:cs="Arial"/>
          <w:color w:val="000000"/>
          <w:sz w:val="20"/>
          <w:szCs w:val="20"/>
        </w:rPr>
        <w:t>Finally, our business could also be adversely affected by merger activity in the aviation, land or marine transportation industries, which may reduce the number of customers that purchase our products and services, as well as t</w:t>
      </w:r>
      <w:r>
        <w:rPr>
          <w:rFonts w:ascii="Arial" w:eastAsia="Times New Roman" w:hAnsi="Arial" w:cs="Arial"/>
          <w:color w:val="000000"/>
          <w:sz w:val="20"/>
          <w:szCs w:val="20"/>
        </w:rPr>
        <w:t>he prices we are able to charge for such products and services. Larger shipping companies and airlines often have greater leverage and have a greater ability to buy directly from major oil companies and suppliers. Accordingly, this can negatively impact ou</w:t>
      </w:r>
      <w:r>
        <w:rPr>
          <w:rFonts w:ascii="Arial" w:eastAsia="Times New Roman" w:hAnsi="Arial" w:cs="Arial"/>
          <w:color w:val="000000"/>
          <w:sz w:val="20"/>
          <w:szCs w:val="20"/>
        </w:rPr>
        <w:t>r value proposition to these types of customers and increases the risk of disintermediation.</w:t>
      </w:r>
    </w:p>
    <w:p w14:paraId="404EFB55" w14:textId="77777777" w:rsidR="00000000" w:rsidRDefault="00C01C43">
      <w:pPr>
        <w:jc w:val="both"/>
        <w:rPr>
          <w:rFonts w:eastAsia="Times New Roman"/>
        </w:rPr>
      </w:pPr>
    </w:p>
    <w:p w14:paraId="310CC9FD" w14:textId="77777777" w:rsidR="00000000" w:rsidRDefault="00C01C43">
      <w:pPr>
        <w:jc w:val="both"/>
        <w:rPr>
          <w:rFonts w:eastAsia="Times New Roman"/>
        </w:rPr>
      </w:pPr>
      <w:r>
        <w:rPr>
          <w:rFonts w:ascii="Arial" w:eastAsia="Times New Roman" w:hAnsi="Arial" w:cs="Arial"/>
          <w:b/>
          <w:bCs/>
          <w:color w:val="000000"/>
          <w:sz w:val="20"/>
          <w:szCs w:val="20"/>
        </w:rPr>
        <w:t xml:space="preserve">Our physical operations have inherent risks that could negatively impact our business, financial condition and results of operations. </w:t>
      </w:r>
    </w:p>
    <w:p w14:paraId="52ADCE25" w14:textId="77777777" w:rsidR="00000000" w:rsidRDefault="00C01C43">
      <w:pPr>
        <w:jc w:val="both"/>
        <w:rPr>
          <w:rFonts w:eastAsia="Times New Roman"/>
        </w:rPr>
      </w:pPr>
      <w:r>
        <w:rPr>
          <w:rFonts w:ascii="Arial" w:eastAsia="Times New Roman" w:hAnsi="Arial" w:cs="Arial"/>
          <w:color w:val="000000"/>
          <w:sz w:val="20"/>
          <w:szCs w:val="20"/>
        </w:rPr>
        <w:t>Operating fuel storage and</w:t>
      </w:r>
      <w:r>
        <w:rPr>
          <w:rFonts w:ascii="Arial" w:eastAsia="Times New Roman" w:hAnsi="Arial" w:cs="Arial"/>
          <w:color w:val="000000"/>
          <w:sz w:val="20"/>
          <w:szCs w:val="20"/>
        </w:rPr>
        <w:t xml:space="preserve"> distribution terminals and transporting fuel products involve inherent risks, including:</w:t>
      </w:r>
    </w:p>
    <w:p w14:paraId="70CA361C" w14:textId="77777777" w:rsidR="00000000" w:rsidRDefault="00C01C43">
      <w:pPr>
        <w:jc w:val="both"/>
        <w:rPr>
          <w:rFonts w:eastAsia="Times New Roman"/>
        </w:rPr>
      </w:pPr>
    </w:p>
    <w:p w14:paraId="188AB3C1" w14:textId="77777777" w:rsidR="00000000" w:rsidRDefault="00C01C43">
      <w:pPr>
        <w:ind w:hanging="360"/>
        <w:jc w:val="both"/>
        <w:divId w:val="519665027"/>
        <w:rPr>
          <w:rFonts w:eastAsia="Times New Roman"/>
        </w:rPr>
      </w:pPr>
      <w:r>
        <w:rPr>
          <w:rFonts w:ascii="Arial" w:eastAsia="Times New Roman" w:hAnsi="Arial" w:cs="Arial"/>
          <w:color w:val="000000"/>
          <w:sz w:val="20"/>
          <w:szCs w:val="20"/>
        </w:rPr>
        <w:t>•fires, collisions and other catastrophic disasters;</w:t>
      </w:r>
    </w:p>
    <w:p w14:paraId="1C1EB607" w14:textId="77777777" w:rsidR="00000000" w:rsidRDefault="00C01C43">
      <w:pPr>
        <w:ind w:hanging="360"/>
        <w:jc w:val="both"/>
        <w:divId w:val="1143617992"/>
        <w:rPr>
          <w:rFonts w:eastAsia="Times New Roman"/>
        </w:rPr>
      </w:pPr>
      <w:r>
        <w:rPr>
          <w:rFonts w:ascii="Arial" w:eastAsia="Times New Roman" w:hAnsi="Arial" w:cs="Arial"/>
          <w:color w:val="000000"/>
          <w:sz w:val="20"/>
          <w:szCs w:val="20"/>
        </w:rPr>
        <w:t>•traffic accidents, injuries and loss of life;</w:t>
      </w:r>
    </w:p>
    <w:p w14:paraId="6139E5E2" w14:textId="77777777" w:rsidR="00000000" w:rsidRDefault="00C01C43">
      <w:pPr>
        <w:ind w:hanging="360"/>
        <w:jc w:val="both"/>
        <w:divId w:val="148381153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spills, discharges, contaminations and other releases;</w:t>
      </w:r>
    </w:p>
    <w:p w14:paraId="053509EA" w14:textId="77777777" w:rsidR="00000000" w:rsidRDefault="00C01C43">
      <w:pPr>
        <w:ind w:hanging="360"/>
        <w:jc w:val="both"/>
        <w:divId w:val="319117431"/>
        <w:rPr>
          <w:rFonts w:eastAsia="Times New Roman"/>
        </w:rPr>
      </w:pPr>
      <w:r>
        <w:rPr>
          <w:rFonts w:ascii="Arial" w:eastAsia="Times New Roman" w:hAnsi="Arial" w:cs="Arial"/>
          <w:color w:val="000000"/>
          <w:sz w:val="20"/>
          <w:szCs w:val="20"/>
        </w:rPr>
        <w:t>•severe damage and destruction of property and equipment; and,</w:t>
      </w:r>
    </w:p>
    <w:p w14:paraId="5EC9FE51" w14:textId="77777777" w:rsidR="00000000" w:rsidRDefault="00C01C43">
      <w:pPr>
        <w:ind w:hanging="360"/>
        <w:jc w:val="both"/>
        <w:divId w:val="1909533665"/>
        <w:rPr>
          <w:rFonts w:eastAsia="Times New Roman"/>
        </w:rPr>
      </w:pPr>
      <w:r>
        <w:rPr>
          <w:rFonts w:ascii="Arial" w:eastAsia="Times New Roman" w:hAnsi="Arial" w:cs="Arial"/>
          <w:color w:val="000000"/>
          <w:sz w:val="20"/>
          <w:szCs w:val="20"/>
        </w:rPr>
        <w:t>•loss of product and business interruption.</w:t>
      </w:r>
    </w:p>
    <w:p w14:paraId="062E5EFE" w14:textId="77777777" w:rsidR="00000000" w:rsidRDefault="00C01C43">
      <w:pPr>
        <w:jc w:val="both"/>
        <w:rPr>
          <w:rFonts w:eastAsia="Times New Roman"/>
        </w:rPr>
      </w:pPr>
    </w:p>
    <w:p w14:paraId="3BFEE986" w14:textId="77777777" w:rsidR="00000000" w:rsidRDefault="00C01C43">
      <w:pPr>
        <w:jc w:val="both"/>
        <w:rPr>
          <w:rFonts w:eastAsia="Times New Roman"/>
        </w:rPr>
      </w:pPr>
      <w:r>
        <w:rPr>
          <w:rFonts w:ascii="Arial" w:eastAsia="Times New Roman" w:hAnsi="Arial" w:cs="Arial"/>
          <w:color w:val="000000"/>
          <w:sz w:val="20"/>
          <w:szCs w:val="20"/>
        </w:rPr>
        <w:t>Any of the foregoing could result in distribution difficulties and disruptions, environmental pollution, government-imposed fines or clean-up obligations, personal injury or wrongful death claims, or damage to our properties and the properties of others. T</w:t>
      </w:r>
      <w:r>
        <w:rPr>
          <w:rFonts w:ascii="Arial" w:eastAsia="Times New Roman" w:hAnsi="Arial" w:cs="Arial"/>
          <w:color w:val="000000"/>
          <w:sz w:val="20"/>
          <w:szCs w:val="20"/>
        </w:rPr>
        <w:t>he occurrence of any of these events could also damage our reputation which could adversely affect our business, whether or not we are ultimately held financially liable for such event. While we keep business continuity plans to address these types of cont</w:t>
      </w:r>
      <w:r>
        <w:rPr>
          <w:rFonts w:ascii="Arial" w:eastAsia="Times New Roman" w:hAnsi="Arial" w:cs="Arial"/>
          <w:color w:val="000000"/>
          <w:sz w:val="20"/>
          <w:szCs w:val="20"/>
        </w:rPr>
        <w:t>ingencies, our failure to timely or properly implement these plans could exacerbate the impact on the business. We generally maintain insurance for these types of events, however, certain losses may be in excess of coverage limits or outside the scope of t</w:t>
      </w:r>
      <w:r>
        <w:rPr>
          <w:rFonts w:ascii="Arial" w:eastAsia="Times New Roman" w:hAnsi="Arial" w:cs="Arial"/>
          <w:color w:val="000000"/>
          <w:sz w:val="20"/>
          <w:szCs w:val="20"/>
        </w:rPr>
        <w:t>he coverage. If we are held liable for any material damages, and the liability is not adequately covered by insurance, our financial position and results of operations would likely be adversely affected.</w:t>
      </w:r>
    </w:p>
    <w:p w14:paraId="3D519CCF" w14:textId="77777777" w:rsidR="00000000" w:rsidRDefault="00C01C43">
      <w:pPr>
        <w:jc w:val="both"/>
        <w:rPr>
          <w:rFonts w:eastAsia="Times New Roman"/>
        </w:rPr>
      </w:pPr>
    </w:p>
    <w:p w14:paraId="7EF996F3" w14:textId="77777777" w:rsidR="00000000" w:rsidRDefault="00C01C43">
      <w:pPr>
        <w:jc w:val="both"/>
        <w:rPr>
          <w:rFonts w:eastAsia="Times New Roman"/>
        </w:rPr>
      </w:pPr>
      <w:r>
        <w:rPr>
          <w:rFonts w:ascii="Arial" w:eastAsia="Times New Roman" w:hAnsi="Arial" w:cs="Arial"/>
          <w:color w:val="000000"/>
          <w:sz w:val="20"/>
          <w:szCs w:val="20"/>
        </w:rPr>
        <w:t>In addition, as we invest more heavily in physical</w:t>
      </w:r>
      <w:r>
        <w:rPr>
          <w:rFonts w:ascii="Arial" w:eastAsia="Times New Roman" w:hAnsi="Arial" w:cs="Arial"/>
          <w:color w:val="000000"/>
          <w:sz w:val="20"/>
          <w:szCs w:val="20"/>
        </w:rPr>
        <w:t xml:space="preserve"> assets in certain locations, our ability to quickly reposition our business in the event of a downturn in the economy of a particular geographic area becomes increasingly more difficult. Accordingly, we may be forced to incur significant costs in maintain</w:t>
      </w:r>
      <w:r>
        <w:rPr>
          <w:rFonts w:ascii="Arial" w:eastAsia="Times New Roman" w:hAnsi="Arial" w:cs="Arial"/>
          <w:color w:val="000000"/>
          <w:sz w:val="20"/>
          <w:szCs w:val="20"/>
        </w:rPr>
        <w:t>ing or even exiting a physical location, which would have an adverse effect on our results of operations.</w:t>
      </w:r>
    </w:p>
    <w:p w14:paraId="4820DBBE" w14:textId="77777777" w:rsidR="00000000" w:rsidRDefault="00C01C43">
      <w:pPr>
        <w:jc w:val="both"/>
        <w:rPr>
          <w:rFonts w:eastAsia="Times New Roman"/>
        </w:rPr>
      </w:pPr>
    </w:p>
    <w:p w14:paraId="2F9ADE6B" w14:textId="77777777" w:rsidR="00000000" w:rsidRDefault="00C01C43">
      <w:pPr>
        <w:jc w:val="center"/>
        <w:divId w:val="1804881967"/>
        <w:rPr>
          <w:rFonts w:eastAsia="Times New Roman"/>
        </w:rPr>
      </w:pPr>
      <w:r>
        <w:rPr>
          <w:rFonts w:ascii="Arial" w:eastAsia="Times New Roman" w:hAnsi="Arial" w:cs="Arial"/>
          <w:color w:val="000000"/>
          <w:sz w:val="16"/>
          <w:szCs w:val="16"/>
        </w:rPr>
        <w:t>11</w:t>
      </w:r>
    </w:p>
    <w:p w14:paraId="635372E7" w14:textId="77777777" w:rsidR="00000000" w:rsidRDefault="00C01C43">
      <w:pPr>
        <w:rPr>
          <w:rFonts w:eastAsia="Times New Roman"/>
        </w:rPr>
      </w:pPr>
      <w:r>
        <w:rPr>
          <w:rFonts w:eastAsia="Times New Roman"/>
        </w:rPr>
        <w:pict w14:anchorId="6612C9AE">
          <v:rect id="_x0000_i1039" style="width:0;height:1.5pt" o:hralign="center" o:hrstd="t" o:hr="t" fillcolor="#a0a0a0" stroked="f"/>
        </w:pict>
      </w:r>
    </w:p>
    <w:p w14:paraId="136C056D" w14:textId="77777777" w:rsidR="00000000" w:rsidRDefault="00C01C43">
      <w:pPr>
        <w:divId w:val="655380541"/>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3218E397" w14:textId="77777777" w:rsidR="00000000" w:rsidRDefault="00C01C43">
      <w:pPr>
        <w:jc w:val="both"/>
        <w:rPr>
          <w:rFonts w:eastAsia="Times New Roman"/>
        </w:rPr>
      </w:pPr>
      <w:r>
        <w:rPr>
          <w:rFonts w:ascii="Arial" w:eastAsia="Times New Roman" w:hAnsi="Arial" w:cs="Arial"/>
          <w:color w:val="000000"/>
          <w:sz w:val="20"/>
          <w:szCs w:val="20"/>
        </w:rPr>
        <w:t xml:space="preserve">Finally, some of our employees, </w:t>
      </w:r>
      <w:r>
        <w:rPr>
          <w:rFonts w:ascii="Arial" w:eastAsia="Times New Roman" w:hAnsi="Arial" w:cs="Arial"/>
          <w:color w:val="000000"/>
          <w:sz w:val="20"/>
          <w:szCs w:val="20"/>
        </w:rPr>
        <w:t>including certain of our drivers that transport and deliver fuel products, are represented by labor unions under collective bargaining agreements. Additional unionization of our workforce or any renegotiation of current collective bargaining agreements may</w:t>
      </w:r>
      <w:r>
        <w:rPr>
          <w:rFonts w:ascii="Arial" w:eastAsia="Times New Roman" w:hAnsi="Arial" w:cs="Arial"/>
          <w:color w:val="000000"/>
          <w:sz w:val="20"/>
          <w:szCs w:val="20"/>
        </w:rPr>
        <w:t xml:space="preserve"> result in terms that are less favorable to us. Any strike, work stoppage or other dispute with our own union employees or those of third parties who provide us services could have a material adverse effect on our results of operations and cash flows.</w:t>
      </w:r>
    </w:p>
    <w:p w14:paraId="7FDFEC25" w14:textId="77777777" w:rsidR="00000000" w:rsidRDefault="00C01C43">
      <w:pPr>
        <w:jc w:val="both"/>
        <w:rPr>
          <w:rFonts w:eastAsia="Times New Roman"/>
        </w:rPr>
      </w:pPr>
    </w:p>
    <w:p w14:paraId="4C7354E8" w14:textId="77777777" w:rsidR="00000000" w:rsidRDefault="00C01C43">
      <w:pPr>
        <w:jc w:val="both"/>
        <w:rPr>
          <w:rFonts w:eastAsia="Times New Roman"/>
        </w:rPr>
      </w:pPr>
      <w:r>
        <w:rPr>
          <w:rFonts w:ascii="Arial" w:eastAsia="Times New Roman" w:hAnsi="Arial" w:cs="Arial"/>
          <w:b/>
          <w:bCs/>
          <w:color w:val="000000"/>
          <w:sz w:val="20"/>
          <w:szCs w:val="20"/>
        </w:rPr>
        <w:t>If</w:t>
      </w:r>
      <w:r>
        <w:rPr>
          <w:rFonts w:ascii="Arial" w:eastAsia="Times New Roman" w:hAnsi="Arial" w:cs="Arial"/>
          <w:b/>
          <w:bCs/>
          <w:color w:val="000000"/>
          <w:sz w:val="20"/>
          <w:szCs w:val="20"/>
        </w:rPr>
        <w:t xml:space="preserve"> we fail to provide products or services to our customers as agreed, it could adversely affect our business.</w:t>
      </w:r>
    </w:p>
    <w:p w14:paraId="7F8D1FB8" w14:textId="77777777" w:rsidR="00000000" w:rsidRDefault="00C01C43">
      <w:pPr>
        <w:jc w:val="both"/>
        <w:rPr>
          <w:rFonts w:eastAsia="Times New Roman"/>
        </w:rPr>
      </w:pPr>
      <w:r>
        <w:rPr>
          <w:rFonts w:ascii="Arial" w:eastAsia="Times New Roman" w:hAnsi="Arial" w:cs="Arial"/>
          <w:color w:val="000000"/>
          <w:sz w:val="20"/>
          <w:szCs w:val="20"/>
        </w:rPr>
        <w:t xml:space="preserve">Our business is dependent on the availability and supply of fuel and fuel related products, as well as the satisfactory performance of services by </w:t>
      </w:r>
      <w:r>
        <w:rPr>
          <w:rFonts w:ascii="Arial" w:eastAsia="Times New Roman" w:hAnsi="Arial" w:cs="Arial"/>
          <w:color w:val="000000"/>
          <w:sz w:val="20"/>
          <w:szCs w:val="20"/>
        </w:rPr>
        <w:t xml:space="preserve">us or third parties on our behalf. If the fuel and other products we sell or the services we provide, whether directly or through a third party, fail to meet the specifications we have agreed to with customers or are mandated by law or regulation, such as </w:t>
      </w:r>
      <w:r>
        <w:rPr>
          <w:rFonts w:ascii="Arial" w:eastAsia="Times New Roman" w:hAnsi="Arial" w:cs="Arial"/>
          <w:color w:val="000000"/>
          <w:sz w:val="20"/>
          <w:szCs w:val="20"/>
        </w:rPr>
        <w:t>the International Maritime Association's low sulfur fuel oil requirements, our relationship with our customers could be adversely affected and we could be subject to material claims and liabilities. We could also incur material liabilities if such products</w:t>
      </w:r>
      <w:r>
        <w:rPr>
          <w:rFonts w:ascii="Arial" w:eastAsia="Times New Roman" w:hAnsi="Arial" w:cs="Arial"/>
          <w:color w:val="000000"/>
          <w:sz w:val="20"/>
          <w:szCs w:val="20"/>
        </w:rPr>
        <w:t xml:space="preserve"> cause physical damage to a vessel or aircraft, bodily injury or result in assertion of substantial claims of civil liability against us. Also, adverse publicity about any allegations of contaminated products may negatively impact our business, regardless </w:t>
      </w:r>
      <w:r>
        <w:rPr>
          <w:rFonts w:ascii="Arial" w:eastAsia="Times New Roman" w:hAnsi="Arial" w:cs="Arial"/>
          <w:color w:val="000000"/>
          <w:sz w:val="20"/>
          <w:szCs w:val="20"/>
        </w:rPr>
        <w:t>of whether such allegations are true.</w:t>
      </w:r>
    </w:p>
    <w:p w14:paraId="6406D512" w14:textId="77777777" w:rsidR="00000000" w:rsidRDefault="00C01C43">
      <w:pPr>
        <w:jc w:val="both"/>
        <w:rPr>
          <w:rFonts w:eastAsia="Times New Roman"/>
        </w:rPr>
      </w:pPr>
    </w:p>
    <w:p w14:paraId="7528FDDC" w14:textId="77777777" w:rsidR="00000000" w:rsidRDefault="00C01C43">
      <w:pPr>
        <w:jc w:val="both"/>
        <w:rPr>
          <w:rFonts w:eastAsia="Times New Roman"/>
        </w:rPr>
      </w:pPr>
      <w:r>
        <w:rPr>
          <w:rFonts w:ascii="Arial" w:eastAsia="Times New Roman" w:hAnsi="Arial" w:cs="Arial"/>
          <w:color w:val="000000"/>
          <w:sz w:val="20"/>
          <w:szCs w:val="20"/>
        </w:rPr>
        <w:t>Although most of our agreements with suppliers provide that we have recourse against them for products that fail to meet contractual specifications, such recourse may be time-barred or otherwise insufficient to adequ</w:t>
      </w:r>
      <w:r>
        <w:rPr>
          <w:rFonts w:ascii="Arial" w:eastAsia="Times New Roman" w:hAnsi="Arial" w:cs="Arial"/>
          <w:color w:val="000000"/>
          <w:sz w:val="20"/>
          <w:szCs w:val="20"/>
        </w:rPr>
        <w:t>ately cover the liability we may incur and our ability to enforce such recourse may be limited or costly. For example, several of our supply agreements are with foreign entities, including foreign governments, and are governed by the laws of foreign jurisd</w:t>
      </w:r>
      <w:r>
        <w:rPr>
          <w:rFonts w:ascii="Arial" w:eastAsia="Times New Roman" w:hAnsi="Arial" w:cs="Arial"/>
          <w:color w:val="000000"/>
          <w:sz w:val="20"/>
          <w:szCs w:val="20"/>
        </w:rPr>
        <w:t>ictions. We may incur substantial costs in seeking to enforce our rights against a local supplier in a foreign jurisdiction and the ultimate outcome can be unpredictable. In certain markets, we also rely on a single or limited number of suppliers to sell u</w:t>
      </w:r>
      <w:r>
        <w:rPr>
          <w:rFonts w:ascii="Arial" w:eastAsia="Times New Roman" w:hAnsi="Arial" w:cs="Arial"/>
          <w:color w:val="000000"/>
          <w:sz w:val="20"/>
          <w:szCs w:val="20"/>
        </w:rPr>
        <w:t>s fuel or provide services on our behalf and therefore, we may have limited alternatives if such supplier fails to meet applicable standards or requirements. Any of the foregoing can result in material liabilities that may exceed any applicable insurance c</w:t>
      </w:r>
      <w:r>
        <w:rPr>
          <w:rFonts w:ascii="Arial" w:eastAsia="Times New Roman" w:hAnsi="Arial" w:cs="Arial"/>
          <w:color w:val="000000"/>
          <w:sz w:val="20"/>
          <w:szCs w:val="20"/>
        </w:rPr>
        <w:t>overage and ultimately, could have a material adverse effect on our business, financial condition, results of operations and cash flows.</w:t>
      </w:r>
    </w:p>
    <w:p w14:paraId="409FD775" w14:textId="77777777" w:rsidR="00000000" w:rsidRDefault="00C01C43">
      <w:pPr>
        <w:jc w:val="both"/>
        <w:rPr>
          <w:rFonts w:eastAsia="Times New Roman"/>
        </w:rPr>
      </w:pPr>
    </w:p>
    <w:p w14:paraId="4F198B21" w14:textId="77777777" w:rsidR="00000000" w:rsidRDefault="00C01C43">
      <w:pPr>
        <w:jc w:val="both"/>
        <w:rPr>
          <w:rFonts w:eastAsia="Times New Roman"/>
        </w:rPr>
      </w:pPr>
      <w:r>
        <w:rPr>
          <w:rFonts w:ascii="Arial" w:eastAsia="Times New Roman" w:hAnsi="Arial" w:cs="Arial"/>
          <w:b/>
          <w:bCs/>
          <w:color w:val="000000"/>
          <w:sz w:val="20"/>
          <w:szCs w:val="20"/>
        </w:rPr>
        <w:t>Climate change and the market and regulatory responses relating to GHG emissions could have a significant impact</w:t>
      </w:r>
      <w:r>
        <w:rPr>
          <w:rFonts w:ascii="Arial" w:eastAsia="Times New Roman" w:hAnsi="Arial" w:cs="Arial"/>
          <w:b/>
          <w:bCs/>
          <w:color w:val="000000"/>
        </w:rPr>
        <w:t xml:space="preserve"> </w:t>
      </w:r>
      <w:r>
        <w:rPr>
          <w:rFonts w:ascii="Arial" w:eastAsia="Times New Roman" w:hAnsi="Arial" w:cs="Arial"/>
          <w:b/>
          <w:bCs/>
          <w:color w:val="000000"/>
          <w:sz w:val="20"/>
          <w:szCs w:val="20"/>
        </w:rPr>
        <w:t>on o</w:t>
      </w:r>
      <w:r>
        <w:rPr>
          <w:rFonts w:ascii="Arial" w:eastAsia="Times New Roman" w:hAnsi="Arial" w:cs="Arial"/>
          <w:b/>
          <w:bCs/>
          <w:color w:val="000000"/>
          <w:sz w:val="20"/>
          <w:szCs w:val="20"/>
        </w:rPr>
        <w:t>ur operations and financial results.</w:t>
      </w:r>
    </w:p>
    <w:p w14:paraId="21FB52D9" w14:textId="77777777" w:rsidR="00000000" w:rsidRDefault="00C01C43">
      <w:pPr>
        <w:jc w:val="both"/>
        <w:rPr>
          <w:rFonts w:eastAsia="Times New Roman"/>
        </w:rPr>
      </w:pPr>
      <w:r>
        <w:rPr>
          <w:rFonts w:ascii="Arial" w:eastAsia="Times New Roman" w:hAnsi="Arial" w:cs="Arial"/>
          <w:color w:val="000000"/>
          <w:sz w:val="20"/>
          <w:szCs w:val="20"/>
        </w:rPr>
        <w:t>Climate change continues to attract considerable public and scientific attention in the U.S. and in foreign countries. As a result, numerous proposals have been adopted and will likely continue to be made at various lev</w:t>
      </w:r>
      <w:r>
        <w:rPr>
          <w:rFonts w:ascii="Arial" w:eastAsia="Times New Roman" w:hAnsi="Arial" w:cs="Arial"/>
          <w:color w:val="000000"/>
          <w:sz w:val="20"/>
          <w:szCs w:val="20"/>
        </w:rPr>
        <w:t>els of government globally to monitor and limit GHG emissions or reduce the use of hydrocarbon-based fuels.</w:t>
      </w:r>
      <w:r>
        <w:rPr>
          <w:rFonts w:ascii="Arial" w:eastAsia="Times New Roman" w:hAnsi="Arial" w:cs="Arial"/>
          <w:color w:val="000000"/>
        </w:rPr>
        <w:t xml:space="preserve"> </w:t>
      </w:r>
      <w:r>
        <w:rPr>
          <w:rFonts w:ascii="Arial" w:eastAsia="Times New Roman" w:hAnsi="Arial" w:cs="Arial"/>
          <w:color w:val="000000"/>
          <w:sz w:val="20"/>
          <w:szCs w:val="20"/>
        </w:rPr>
        <w:t>These include the adoption of cap and trade regimes, carbon taxes, trade tariffs, minimum renewable usage requirements, restrictive permitting, incr</w:t>
      </w:r>
      <w:r>
        <w:rPr>
          <w:rFonts w:ascii="Arial" w:eastAsia="Times New Roman" w:hAnsi="Arial" w:cs="Arial"/>
          <w:color w:val="000000"/>
          <w:sz w:val="20"/>
          <w:szCs w:val="20"/>
        </w:rPr>
        <w:t>eased efficiency standards, and incentives or mandates for renewable energy.</w:t>
      </w:r>
      <w:r>
        <w:rPr>
          <w:rFonts w:ascii="Arial" w:eastAsia="Times New Roman" w:hAnsi="Arial" w:cs="Arial"/>
          <w:color w:val="000000"/>
        </w:rPr>
        <w:t xml:space="preserve"> </w:t>
      </w:r>
      <w:r>
        <w:rPr>
          <w:rFonts w:ascii="Arial" w:eastAsia="Times New Roman" w:hAnsi="Arial" w:cs="Arial"/>
          <w:color w:val="000000"/>
          <w:sz w:val="20"/>
          <w:szCs w:val="20"/>
        </w:rPr>
        <w:t xml:space="preserve">In 2015, various countries adopted the Paris Agreement, which seeks to reduce GHG emissions and calls for nations to undertake efforts with respect to global temperatures and GHG </w:t>
      </w:r>
      <w:r>
        <w:rPr>
          <w:rFonts w:ascii="Arial" w:eastAsia="Times New Roman" w:hAnsi="Arial" w:cs="Arial"/>
          <w:color w:val="000000"/>
          <w:sz w:val="20"/>
          <w:szCs w:val="20"/>
        </w:rPr>
        <w:t>emissions by submitting emission reduction goals every five years after 2020.</w:t>
      </w:r>
      <w:r>
        <w:rPr>
          <w:rFonts w:ascii="Arial" w:eastAsia="Times New Roman" w:hAnsi="Arial" w:cs="Arial"/>
          <w:color w:val="000000"/>
        </w:rPr>
        <w:t xml:space="preserve"> </w:t>
      </w:r>
      <w:r>
        <w:rPr>
          <w:rFonts w:ascii="Arial" w:eastAsia="Times New Roman" w:hAnsi="Arial" w:cs="Arial"/>
          <w:color w:val="000000"/>
          <w:sz w:val="20"/>
          <w:szCs w:val="20"/>
        </w:rPr>
        <w:t>We, along with many of our customers and suppliers, have also established goals to reduce carbon emissions throughout our supply chain. The achievement of current or future inter</w:t>
      </w:r>
      <w:r>
        <w:rPr>
          <w:rFonts w:ascii="Arial" w:eastAsia="Times New Roman" w:hAnsi="Arial" w:cs="Arial"/>
          <w:color w:val="000000"/>
          <w:sz w:val="20"/>
          <w:szCs w:val="20"/>
        </w:rPr>
        <w:t>nal initiatives relating to the reduction of GHG emissions, however, may increase our costs both in the near and long-term, particularly if they require significant changes to our operations, infrastructure or business lines.</w:t>
      </w:r>
      <w:r>
        <w:rPr>
          <w:rFonts w:ascii="Arial" w:eastAsia="Times New Roman" w:hAnsi="Arial" w:cs="Arial"/>
          <w:color w:val="000000"/>
        </w:rPr>
        <w:t xml:space="preserve"> </w:t>
      </w:r>
    </w:p>
    <w:p w14:paraId="41A60ADA" w14:textId="77777777" w:rsidR="00000000" w:rsidRDefault="00C01C43">
      <w:pPr>
        <w:divId w:val="1088188551"/>
        <w:rPr>
          <w:rFonts w:eastAsia="Times New Roman"/>
        </w:rPr>
      </w:pPr>
    </w:p>
    <w:p w14:paraId="19FB13A1" w14:textId="77777777" w:rsidR="00000000" w:rsidRDefault="00C01C43">
      <w:pPr>
        <w:jc w:val="both"/>
        <w:rPr>
          <w:rFonts w:eastAsia="Times New Roman"/>
        </w:rPr>
      </w:pPr>
      <w:r>
        <w:rPr>
          <w:rFonts w:ascii="Arial" w:eastAsia="Times New Roman" w:hAnsi="Arial" w:cs="Arial"/>
          <w:color w:val="000000"/>
          <w:sz w:val="20"/>
          <w:szCs w:val="20"/>
        </w:rPr>
        <w:t>In the U.S., various federal, state and local laws and regulations have been enacted relating to GHG emissions.</w:t>
      </w:r>
      <w:r>
        <w:rPr>
          <w:rFonts w:ascii="Arial" w:eastAsia="Times New Roman" w:hAnsi="Arial" w:cs="Arial"/>
          <w:color w:val="000000"/>
        </w:rPr>
        <w:t xml:space="preserve"> </w:t>
      </w:r>
      <w:r>
        <w:rPr>
          <w:rFonts w:ascii="Arial" w:eastAsia="Times New Roman" w:hAnsi="Arial" w:cs="Arial"/>
          <w:color w:val="000000"/>
          <w:sz w:val="20"/>
          <w:szCs w:val="20"/>
        </w:rPr>
        <w:t>However, the direction of future U.S. climate change regulation is difficult to predict given the potential for policy changes under different P</w:t>
      </w:r>
      <w:r>
        <w:rPr>
          <w:rFonts w:ascii="Arial" w:eastAsia="Times New Roman" w:hAnsi="Arial" w:cs="Arial"/>
          <w:color w:val="000000"/>
          <w:sz w:val="20"/>
          <w:szCs w:val="20"/>
        </w:rPr>
        <w:t>residential administrations and Congressional leadership. Although the U.S. withdrew from the Paris Agreement in 2020, President Biden has signed executive orders recommitting the U.S. to the agreement and calling for the federal government to begin formul</w:t>
      </w:r>
      <w:r>
        <w:rPr>
          <w:rFonts w:ascii="Arial" w:eastAsia="Times New Roman" w:hAnsi="Arial" w:cs="Arial"/>
          <w:color w:val="000000"/>
          <w:sz w:val="20"/>
          <w:szCs w:val="20"/>
        </w:rPr>
        <w:t>ating emissions reduction goals and increasing the emphasis on climate-related risk across governmental agencies and economic sectors.</w:t>
      </w:r>
      <w:r>
        <w:rPr>
          <w:rFonts w:ascii="Arial" w:eastAsia="Times New Roman" w:hAnsi="Arial" w:cs="Arial"/>
          <w:color w:val="000000"/>
        </w:rPr>
        <w:t xml:space="preserve"> </w:t>
      </w:r>
      <w:r>
        <w:rPr>
          <w:rFonts w:ascii="Arial" w:eastAsia="Times New Roman" w:hAnsi="Arial" w:cs="Arial"/>
          <w:color w:val="000000"/>
          <w:sz w:val="20"/>
          <w:szCs w:val="20"/>
        </w:rPr>
        <w:t>It remains unclear what, if any, additional actions the Biden administration will take and to what extent any new environ</w:t>
      </w:r>
      <w:r>
        <w:rPr>
          <w:rFonts w:ascii="Arial" w:eastAsia="Times New Roman" w:hAnsi="Arial" w:cs="Arial"/>
          <w:color w:val="000000"/>
          <w:sz w:val="20"/>
          <w:szCs w:val="20"/>
        </w:rPr>
        <w:t>mental laws or regulations, or any repeal of existing environmental laws or regulations, will impact our business or that of our customers.</w:t>
      </w:r>
      <w:r>
        <w:rPr>
          <w:rFonts w:ascii="Arial" w:eastAsia="Times New Roman" w:hAnsi="Arial" w:cs="Arial"/>
          <w:color w:val="000000"/>
        </w:rPr>
        <w:t xml:space="preserve"> </w:t>
      </w:r>
    </w:p>
    <w:p w14:paraId="502CD770" w14:textId="77777777" w:rsidR="00000000" w:rsidRDefault="00C01C43">
      <w:pPr>
        <w:divId w:val="124352312"/>
        <w:rPr>
          <w:rFonts w:eastAsia="Times New Roman"/>
        </w:rPr>
      </w:pPr>
    </w:p>
    <w:p w14:paraId="6351B642" w14:textId="77777777" w:rsidR="00000000" w:rsidRDefault="00C01C43">
      <w:pPr>
        <w:jc w:val="both"/>
        <w:rPr>
          <w:rFonts w:eastAsia="Times New Roman"/>
        </w:rPr>
      </w:pPr>
      <w:r>
        <w:rPr>
          <w:rFonts w:ascii="Arial" w:eastAsia="Times New Roman" w:hAnsi="Arial" w:cs="Arial"/>
          <w:color w:val="000000"/>
          <w:sz w:val="20"/>
          <w:szCs w:val="20"/>
        </w:rPr>
        <w:t>There have also been significant governmental incentives and consumer pressures to increase the use of alternativ</w:t>
      </w:r>
      <w:r>
        <w:rPr>
          <w:rFonts w:ascii="Arial" w:eastAsia="Times New Roman" w:hAnsi="Arial" w:cs="Arial"/>
          <w:color w:val="000000"/>
          <w:sz w:val="20"/>
          <w:szCs w:val="20"/>
        </w:rPr>
        <w:t>e fuels in the U.S. and throughout the world. A number of automotive, industrial and power generation manufacturers are developing more fuel-efficient engines, hybrid engines and alternative clean power systems. The more successful these alternatives becom</w:t>
      </w:r>
      <w:r>
        <w:rPr>
          <w:rFonts w:ascii="Arial" w:eastAsia="Times New Roman" w:hAnsi="Arial" w:cs="Arial"/>
          <w:color w:val="000000"/>
          <w:sz w:val="20"/>
          <w:szCs w:val="20"/>
        </w:rPr>
        <w:t xml:space="preserve">e, as a result of governmental incentives or regulations, technological </w:t>
      </w:r>
    </w:p>
    <w:p w14:paraId="50C9E242" w14:textId="77777777" w:rsidR="00000000" w:rsidRDefault="00C01C43">
      <w:pPr>
        <w:jc w:val="center"/>
        <w:divId w:val="984119436"/>
        <w:rPr>
          <w:rFonts w:eastAsia="Times New Roman"/>
        </w:rPr>
      </w:pPr>
      <w:r>
        <w:rPr>
          <w:rFonts w:ascii="Arial" w:eastAsia="Times New Roman" w:hAnsi="Arial" w:cs="Arial"/>
          <w:color w:val="000000"/>
          <w:sz w:val="16"/>
          <w:szCs w:val="16"/>
        </w:rPr>
        <w:t>12</w:t>
      </w:r>
    </w:p>
    <w:p w14:paraId="6BF9E779" w14:textId="77777777" w:rsidR="00000000" w:rsidRDefault="00C01C43">
      <w:pPr>
        <w:rPr>
          <w:rFonts w:eastAsia="Times New Roman"/>
        </w:rPr>
      </w:pPr>
      <w:r>
        <w:rPr>
          <w:rFonts w:eastAsia="Times New Roman"/>
        </w:rPr>
        <w:pict w14:anchorId="79D010EB">
          <v:rect id="_x0000_i1040" style="width:0;height:1.5pt" o:hralign="center" o:hrstd="t" o:hr="t" fillcolor="#a0a0a0" stroked="f"/>
        </w:pict>
      </w:r>
    </w:p>
    <w:p w14:paraId="6D320391" w14:textId="77777777" w:rsidR="00000000" w:rsidRDefault="00C01C43">
      <w:pPr>
        <w:divId w:val="378093035"/>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32BFC032" w14:textId="77777777" w:rsidR="00000000" w:rsidRDefault="00C01C43">
      <w:pPr>
        <w:jc w:val="both"/>
        <w:rPr>
          <w:rFonts w:eastAsia="Times New Roman"/>
        </w:rPr>
      </w:pPr>
      <w:r>
        <w:rPr>
          <w:rFonts w:ascii="Arial" w:eastAsia="Times New Roman" w:hAnsi="Arial" w:cs="Arial"/>
          <w:color w:val="000000"/>
          <w:sz w:val="20"/>
          <w:szCs w:val="20"/>
        </w:rPr>
        <w:t>advances, consumer demand, improved pricing or otherwise, the greate</w:t>
      </w:r>
      <w:r>
        <w:rPr>
          <w:rFonts w:ascii="Arial" w:eastAsia="Times New Roman" w:hAnsi="Arial" w:cs="Arial"/>
          <w:color w:val="000000"/>
          <w:sz w:val="20"/>
          <w:szCs w:val="20"/>
        </w:rPr>
        <w:t xml:space="preserve">r the potential negative impact on pricing and demand for our fuel products and accordingly, our profitability. </w:t>
      </w:r>
    </w:p>
    <w:p w14:paraId="013D1503" w14:textId="77777777" w:rsidR="00000000" w:rsidRDefault="00C01C43">
      <w:pPr>
        <w:divId w:val="1617565592"/>
        <w:rPr>
          <w:rFonts w:eastAsia="Times New Roman"/>
        </w:rPr>
      </w:pPr>
    </w:p>
    <w:p w14:paraId="1F5BB536" w14:textId="77777777" w:rsidR="00000000" w:rsidRDefault="00C01C43">
      <w:pPr>
        <w:jc w:val="both"/>
        <w:rPr>
          <w:rFonts w:eastAsia="Times New Roman"/>
        </w:rPr>
      </w:pPr>
      <w:r>
        <w:rPr>
          <w:rFonts w:ascii="Arial" w:eastAsia="Times New Roman" w:hAnsi="Arial" w:cs="Arial"/>
          <w:color w:val="000000"/>
          <w:sz w:val="20"/>
          <w:szCs w:val="20"/>
        </w:rPr>
        <w:t>Further changes in regulatory policies or any adverse publicity in the global marketplace about potential impacts on climate change by us or other companies in our industry could also result in a reduction in the demand for hydrocarbon products that are de</w:t>
      </w:r>
      <w:r>
        <w:rPr>
          <w:rFonts w:ascii="Arial" w:eastAsia="Times New Roman" w:hAnsi="Arial" w:cs="Arial"/>
          <w:color w:val="000000"/>
          <w:sz w:val="20"/>
          <w:szCs w:val="20"/>
        </w:rPr>
        <w:t>emed to contribute to GHGs, harm our reputation and adversely impact our sales of fuel products.</w:t>
      </w:r>
      <w:r>
        <w:rPr>
          <w:rFonts w:ascii="Arial" w:eastAsia="Times New Roman" w:hAnsi="Arial" w:cs="Arial"/>
          <w:color w:val="000000"/>
        </w:rPr>
        <w:t xml:space="preserve"> </w:t>
      </w:r>
      <w:r>
        <w:rPr>
          <w:rFonts w:ascii="Arial" w:eastAsia="Times New Roman" w:hAnsi="Arial" w:cs="Arial"/>
          <w:color w:val="000000"/>
          <w:sz w:val="20"/>
          <w:szCs w:val="20"/>
        </w:rPr>
        <w:t>Numerous institutional investors and financial institutions have indicated a focus on matters affecting the environment, which may result in reduced investment</w:t>
      </w:r>
      <w:r>
        <w:rPr>
          <w:rFonts w:ascii="Arial" w:eastAsia="Times New Roman" w:hAnsi="Arial" w:cs="Arial"/>
          <w:color w:val="000000"/>
          <w:sz w:val="20"/>
          <w:szCs w:val="20"/>
        </w:rPr>
        <w:t>s in, or financing available to, industries that emit GHG emissions. Many of these groups believe that climate change will significantly influence many companies’ long-term prospects and have developed environmental, social and governance standards to meas</w:t>
      </w:r>
      <w:r>
        <w:rPr>
          <w:rFonts w:ascii="Arial" w:eastAsia="Times New Roman" w:hAnsi="Arial" w:cs="Arial"/>
          <w:color w:val="000000"/>
          <w:sz w:val="20"/>
          <w:szCs w:val="20"/>
        </w:rPr>
        <w:t>ure companies’ performance.</w:t>
      </w:r>
      <w:r>
        <w:rPr>
          <w:rFonts w:ascii="Arial" w:eastAsia="Times New Roman" w:hAnsi="Arial" w:cs="Arial"/>
          <w:color w:val="000000"/>
        </w:rPr>
        <w:t xml:space="preserve"> </w:t>
      </w:r>
      <w:r>
        <w:rPr>
          <w:rFonts w:ascii="Arial" w:eastAsia="Times New Roman" w:hAnsi="Arial" w:cs="Arial"/>
          <w:color w:val="000000"/>
          <w:sz w:val="20"/>
          <w:szCs w:val="20"/>
        </w:rPr>
        <w:t>Unfavorable ratings under these evolving standards or benchmarks could adversely impact our business, stock price or access to capital.</w:t>
      </w:r>
    </w:p>
    <w:p w14:paraId="1C439709" w14:textId="77777777" w:rsidR="00000000" w:rsidRDefault="00C01C43">
      <w:pPr>
        <w:jc w:val="both"/>
        <w:rPr>
          <w:rFonts w:eastAsia="Times New Roman"/>
        </w:rPr>
      </w:pPr>
    </w:p>
    <w:p w14:paraId="6805FF02" w14:textId="77777777" w:rsidR="00000000" w:rsidRDefault="00C01C43">
      <w:pPr>
        <w:jc w:val="both"/>
        <w:rPr>
          <w:rFonts w:eastAsia="Times New Roman"/>
        </w:rPr>
      </w:pPr>
      <w:r>
        <w:rPr>
          <w:rFonts w:ascii="Arial" w:eastAsia="Times New Roman" w:hAnsi="Arial" w:cs="Arial"/>
          <w:color w:val="000000"/>
          <w:sz w:val="20"/>
          <w:szCs w:val="20"/>
        </w:rPr>
        <w:t>Finally, the potential physical impacts of climate change on our operations are highly unc</w:t>
      </w:r>
      <w:r>
        <w:rPr>
          <w:rFonts w:ascii="Arial" w:eastAsia="Times New Roman" w:hAnsi="Arial" w:cs="Arial"/>
          <w:color w:val="000000"/>
          <w:sz w:val="20"/>
          <w:szCs w:val="20"/>
        </w:rPr>
        <w:t xml:space="preserve">ertain and vary amongst the geographic areas in which we operate. These may include changes in rainfall and storm patterns and intensities, hurricanes, changing sea levels, and changing temperatures that may impact the seasonality of our business, such as </w:t>
      </w:r>
      <w:r>
        <w:rPr>
          <w:rFonts w:ascii="Arial" w:eastAsia="Times New Roman" w:hAnsi="Arial" w:cs="Arial"/>
          <w:color w:val="000000"/>
          <w:sz w:val="20"/>
          <w:szCs w:val="20"/>
        </w:rPr>
        <w:t>our heating oil business in the U.K. The occurrence of any of the foregoing factors could increase our costs and the prices we charge our customers, reduce the demand for our products, and therefore adversely affect our business, financial condition, resul</w:t>
      </w:r>
      <w:r>
        <w:rPr>
          <w:rFonts w:ascii="Arial" w:eastAsia="Times New Roman" w:hAnsi="Arial" w:cs="Arial"/>
          <w:color w:val="000000"/>
          <w:sz w:val="20"/>
          <w:szCs w:val="20"/>
        </w:rPr>
        <w:t>ts of operations and cash flows.</w:t>
      </w:r>
    </w:p>
    <w:p w14:paraId="4914E3E7" w14:textId="77777777" w:rsidR="00000000" w:rsidRDefault="00C01C43">
      <w:pPr>
        <w:jc w:val="both"/>
        <w:rPr>
          <w:rFonts w:eastAsia="Times New Roman"/>
        </w:rPr>
      </w:pPr>
    </w:p>
    <w:p w14:paraId="4177F3ED" w14:textId="77777777" w:rsidR="00000000" w:rsidRDefault="00C01C43">
      <w:pPr>
        <w:jc w:val="both"/>
        <w:rPr>
          <w:rFonts w:eastAsia="Times New Roman"/>
        </w:rPr>
      </w:pPr>
      <w:r>
        <w:rPr>
          <w:rFonts w:ascii="Arial" w:eastAsia="Times New Roman" w:hAnsi="Arial" w:cs="Arial"/>
          <w:b/>
          <w:bCs/>
          <w:color w:val="000000"/>
          <w:sz w:val="20"/>
          <w:szCs w:val="20"/>
        </w:rPr>
        <w:t>Implementation of our growth strategy may place a strain on our management, operational and financial resources, as well as our information systems.</w:t>
      </w:r>
    </w:p>
    <w:p w14:paraId="31D5B13A" w14:textId="77777777" w:rsidR="00000000" w:rsidRDefault="00C01C43">
      <w:pPr>
        <w:jc w:val="both"/>
        <w:rPr>
          <w:rFonts w:eastAsia="Times New Roman"/>
        </w:rPr>
      </w:pPr>
      <w:r>
        <w:rPr>
          <w:rFonts w:ascii="Arial" w:eastAsia="Times New Roman" w:hAnsi="Arial" w:cs="Arial"/>
          <w:color w:val="000000"/>
          <w:sz w:val="20"/>
          <w:szCs w:val="20"/>
        </w:rPr>
        <w:t>A key element of our business strategy has been the growth of our busine</w:t>
      </w:r>
      <w:r>
        <w:rPr>
          <w:rFonts w:ascii="Arial" w:eastAsia="Times New Roman" w:hAnsi="Arial" w:cs="Arial"/>
          <w:color w:val="000000"/>
          <w:sz w:val="20"/>
          <w:szCs w:val="20"/>
        </w:rPr>
        <w:t>ss through acquisitions and strategic investments and divestitures. However, this growth strategy may place a strain on our management, operational and financial resources, as well as our information systems and expose us to additional risks and uncertaint</w:t>
      </w:r>
      <w:r>
        <w:rPr>
          <w:rFonts w:ascii="Arial" w:eastAsia="Times New Roman" w:hAnsi="Arial" w:cs="Arial"/>
          <w:color w:val="000000"/>
          <w:sz w:val="20"/>
          <w:szCs w:val="20"/>
        </w:rPr>
        <w:t>ies, such as:</w:t>
      </w:r>
    </w:p>
    <w:p w14:paraId="6DFCC7A6" w14:textId="77777777" w:rsidR="00000000" w:rsidRDefault="00C01C43">
      <w:pPr>
        <w:jc w:val="both"/>
        <w:rPr>
          <w:rFonts w:eastAsia="Times New Roman"/>
        </w:rPr>
      </w:pPr>
    </w:p>
    <w:p w14:paraId="15841362" w14:textId="77777777" w:rsidR="00000000" w:rsidRDefault="00C01C43">
      <w:pPr>
        <w:ind w:hanging="360"/>
        <w:jc w:val="both"/>
        <w:divId w:val="590704716"/>
        <w:rPr>
          <w:rFonts w:eastAsia="Times New Roman"/>
        </w:rPr>
      </w:pPr>
      <w:r>
        <w:rPr>
          <w:rFonts w:ascii="Arial" w:eastAsia="Times New Roman" w:hAnsi="Arial" w:cs="Arial"/>
          <w:color w:val="000000"/>
          <w:sz w:val="20"/>
          <w:szCs w:val="20"/>
        </w:rPr>
        <w:t>•our ability to effectively and efficiently integrate the operations, financial reporting, IT systems, technology, and personnel of acquired businesses and manage acquired businesses or strategic investments while maintaining uniform standa</w:t>
      </w:r>
      <w:r>
        <w:rPr>
          <w:rFonts w:ascii="Arial" w:eastAsia="Times New Roman" w:hAnsi="Arial" w:cs="Arial"/>
          <w:color w:val="000000"/>
          <w:sz w:val="20"/>
          <w:szCs w:val="20"/>
        </w:rPr>
        <w:t>rds, risk management and controls appropriate for a public company;</w:t>
      </w:r>
    </w:p>
    <w:p w14:paraId="06E8559F" w14:textId="77777777" w:rsidR="00000000" w:rsidRDefault="00C01C43">
      <w:pPr>
        <w:ind w:hanging="360"/>
        <w:jc w:val="both"/>
        <w:divId w:val="1139569154"/>
        <w:rPr>
          <w:rFonts w:eastAsia="Times New Roman"/>
        </w:rPr>
      </w:pPr>
      <w:r>
        <w:rPr>
          <w:rFonts w:ascii="Arial" w:eastAsia="Times New Roman" w:hAnsi="Arial" w:cs="Arial"/>
          <w:color w:val="000000"/>
          <w:sz w:val="20"/>
          <w:szCs w:val="20"/>
        </w:rPr>
        <w:t>•diversion of management’s time and attention from other business concerns;</w:t>
      </w:r>
    </w:p>
    <w:p w14:paraId="1A295F06" w14:textId="77777777" w:rsidR="00000000" w:rsidRDefault="00C01C43">
      <w:pPr>
        <w:ind w:hanging="360"/>
        <w:jc w:val="both"/>
        <w:divId w:val="1600797742"/>
        <w:rPr>
          <w:rFonts w:eastAsia="Times New Roman"/>
        </w:rPr>
      </w:pPr>
      <w:r>
        <w:rPr>
          <w:rFonts w:ascii="Arial" w:eastAsia="Times New Roman" w:hAnsi="Arial" w:cs="Arial"/>
          <w:color w:val="000000"/>
          <w:sz w:val="20"/>
          <w:szCs w:val="20"/>
        </w:rPr>
        <w:t>•potentially negative impact of changes in management on existing business relationships and other disruptions o</w:t>
      </w:r>
      <w:r>
        <w:rPr>
          <w:rFonts w:ascii="Arial" w:eastAsia="Times New Roman" w:hAnsi="Arial" w:cs="Arial"/>
          <w:color w:val="000000"/>
          <w:sz w:val="20"/>
          <w:szCs w:val="20"/>
        </w:rPr>
        <w:t>f the acquired business;</w:t>
      </w:r>
    </w:p>
    <w:p w14:paraId="402F2DBD" w14:textId="77777777" w:rsidR="00000000" w:rsidRDefault="00C01C43">
      <w:pPr>
        <w:ind w:hanging="360"/>
        <w:jc w:val="both"/>
        <w:divId w:val="1339502317"/>
        <w:rPr>
          <w:rFonts w:eastAsia="Times New Roman"/>
        </w:rPr>
      </w:pPr>
      <w:r>
        <w:rPr>
          <w:rFonts w:ascii="Arial" w:eastAsia="Times New Roman" w:hAnsi="Arial" w:cs="Arial"/>
          <w:color w:val="000000"/>
          <w:sz w:val="20"/>
          <w:szCs w:val="20"/>
        </w:rPr>
        <w:t>•acquiring businesses or entering into markets in which we may have no or limited direct prior experience;</w:t>
      </w:r>
    </w:p>
    <w:p w14:paraId="6CFA8D37" w14:textId="77777777" w:rsidR="00000000" w:rsidRDefault="00C01C43">
      <w:pPr>
        <w:ind w:hanging="360"/>
        <w:jc w:val="both"/>
        <w:divId w:val="1405713496"/>
        <w:rPr>
          <w:rFonts w:eastAsia="Times New Roman"/>
        </w:rPr>
      </w:pPr>
      <w:r>
        <w:rPr>
          <w:rFonts w:ascii="Arial" w:eastAsia="Times New Roman" w:hAnsi="Arial" w:cs="Arial"/>
          <w:color w:val="000000"/>
          <w:sz w:val="20"/>
          <w:szCs w:val="20"/>
        </w:rPr>
        <w:t>•our ability to retain key employees, customers or suppliers of the acquired businesses;</w:t>
      </w:r>
    </w:p>
    <w:p w14:paraId="630863D9" w14:textId="77777777" w:rsidR="00000000" w:rsidRDefault="00C01C43">
      <w:pPr>
        <w:ind w:hanging="360"/>
        <w:jc w:val="both"/>
        <w:divId w:val="1867331125"/>
        <w:rPr>
          <w:rFonts w:eastAsia="Times New Roman"/>
        </w:rPr>
      </w:pPr>
      <w:r>
        <w:rPr>
          <w:rFonts w:ascii="Arial" w:eastAsia="Times New Roman" w:hAnsi="Arial" w:cs="Arial"/>
          <w:color w:val="000000"/>
          <w:sz w:val="20"/>
          <w:szCs w:val="20"/>
        </w:rPr>
        <w:t>•reduced liquidity if we use a mate</w:t>
      </w:r>
      <w:r>
        <w:rPr>
          <w:rFonts w:ascii="Arial" w:eastAsia="Times New Roman" w:hAnsi="Arial" w:cs="Arial"/>
          <w:color w:val="000000"/>
          <w:sz w:val="20"/>
          <w:szCs w:val="20"/>
        </w:rPr>
        <w:t>rial portion of our available cash or borrowing capacity to fund acquisitions;</w:t>
      </w:r>
    </w:p>
    <w:p w14:paraId="53EB7930" w14:textId="77777777" w:rsidR="00000000" w:rsidRDefault="00C01C43">
      <w:pPr>
        <w:ind w:hanging="360"/>
        <w:jc w:val="both"/>
        <w:divId w:val="487016260"/>
        <w:rPr>
          <w:rFonts w:eastAsia="Times New Roman"/>
        </w:rPr>
      </w:pPr>
      <w:r>
        <w:rPr>
          <w:rFonts w:ascii="Arial" w:eastAsia="Times New Roman" w:hAnsi="Arial" w:cs="Arial"/>
          <w:color w:val="000000"/>
          <w:sz w:val="20"/>
          <w:szCs w:val="20"/>
        </w:rPr>
        <w:t xml:space="preserve">•capital expenditure requirements that exceed our estimates and impact the return on our investment; </w:t>
      </w:r>
    </w:p>
    <w:p w14:paraId="0B94FBDC" w14:textId="77777777" w:rsidR="00000000" w:rsidRDefault="00C01C43">
      <w:pPr>
        <w:ind w:hanging="360"/>
        <w:jc w:val="both"/>
        <w:divId w:val="543181107"/>
        <w:rPr>
          <w:rFonts w:eastAsia="Times New Roman"/>
        </w:rPr>
      </w:pPr>
      <w:r>
        <w:rPr>
          <w:rFonts w:ascii="Arial" w:eastAsia="Times New Roman" w:hAnsi="Arial" w:cs="Arial"/>
          <w:color w:val="000000"/>
          <w:sz w:val="20"/>
          <w:szCs w:val="20"/>
        </w:rPr>
        <w:t>•assumption of material liabilities, exposure to litigation, regulatory non</w:t>
      </w:r>
      <w:r>
        <w:rPr>
          <w:rFonts w:ascii="Arial" w:eastAsia="Times New Roman" w:hAnsi="Arial" w:cs="Arial"/>
          <w:color w:val="000000"/>
          <w:sz w:val="20"/>
          <w:szCs w:val="20"/>
        </w:rPr>
        <w:t>compliance or unknown liabilities associated with the acquired businesses; and</w:t>
      </w:r>
    </w:p>
    <w:p w14:paraId="6D8EDD18" w14:textId="77777777" w:rsidR="00000000" w:rsidRDefault="00C01C43">
      <w:pPr>
        <w:ind w:hanging="360"/>
        <w:jc w:val="both"/>
        <w:divId w:val="133680441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no or limited indemnities from sellers in an acquisition or ongoing indemnity obligations to purchasers in a divestiture.</w:t>
      </w:r>
    </w:p>
    <w:p w14:paraId="1CC4C813" w14:textId="77777777" w:rsidR="00000000" w:rsidRDefault="00C01C43">
      <w:pPr>
        <w:jc w:val="both"/>
        <w:rPr>
          <w:rFonts w:eastAsia="Times New Roman"/>
        </w:rPr>
      </w:pPr>
    </w:p>
    <w:p w14:paraId="443C392C" w14:textId="77777777" w:rsidR="00000000" w:rsidRDefault="00C01C43">
      <w:pPr>
        <w:jc w:val="both"/>
        <w:rPr>
          <w:rFonts w:eastAsia="Times New Roman"/>
        </w:rPr>
      </w:pPr>
      <w:r>
        <w:rPr>
          <w:rFonts w:ascii="Arial" w:eastAsia="Times New Roman" w:hAnsi="Arial" w:cs="Arial"/>
          <w:color w:val="000000"/>
          <w:sz w:val="20"/>
          <w:szCs w:val="20"/>
        </w:rPr>
        <w:t>These risks may result in an adverse effect on our results of operations or financial condition or result in costs that outweigh the</w:t>
      </w:r>
      <w:r>
        <w:rPr>
          <w:rFonts w:ascii="Arial" w:eastAsia="Times New Roman" w:hAnsi="Arial" w:cs="Arial"/>
          <w:color w:val="000000"/>
          <w:sz w:val="20"/>
          <w:szCs w:val="20"/>
        </w:rPr>
        <w:t xml:space="preserve"> financial benefit of such opportunities. We may also incur significant expenses in connection with these acquisitions or strategic investments or consummate potentially dilutive issuances of equity securities to fund the purchase or ongoing operations of </w:t>
      </w:r>
      <w:r>
        <w:rPr>
          <w:rFonts w:ascii="Arial" w:eastAsia="Times New Roman" w:hAnsi="Arial" w:cs="Arial"/>
          <w:color w:val="000000"/>
          <w:sz w:val="20"/>
          <w:szCs w:val="20"/>
        </w:rPr>
        <w:t>the acquired business. This could adversely affect the market price of our common stock, inhibit our ability to pay dividends or otherwise restrict our operations.</w:t>
      </w:r>
    </w:p>
    <w:p w14:paraId="556A36A2" w14:textId="77777777" w:rsidR="00000000" w:rsidRDefault="00C01C43">
      <w:pPr>
        <w:jc w:val="both"/>
        <w:rPr>
          <w:rFonts w:eastAsia="Times New Roman"/>
        </w:rPr>
      </w:pPr>
    </w:p>
    <w:p w14:paraId="66BEC309" w14:textId="77777777" w:rsidR="00000000" w:rsidRDefault="00C01C43">
      <w:pPr>
        <w:jc w:val="both"/>
        <w:rPr>
          <w:rFonts w:eastAsia="Times New Roman"/>
        </w:rPr>
      </w:pPr>
    </w:p>
    <w:p w14:paraId="3F4D1679" w14:textId="77777777" w:rsidR="00000000" w:rsidRDefault="00C01C43">
      <w:pPr>
        <w:jc w:val="center"/>
        <w:divId w:val="1453398305"/>
        <w:rPr>
          <w:rFonts w:eastAsia="Times New Roman"/>
        </w:rPr>
      </w:pPr>
      <w:r>
        <w:rPr>
          <w:rFonts w:ascii="Arial" w:eastAsia="Times New Roman" w:hAnsi="Arial" w:cs="Arial"/>
          <w:color w:val="000000"/>
          <w:sz w:val="16"/>
          <w:szCs w:val="16"/>
        </w:rPr>
        <w:t>13</w:t>
      </w:r>
    </w:p>
    <w:p w14:paraId="0B63F082" w14:textId="77777777" w:rsidR="00000000" w:rsidRDefault="00C01C43">
      <w:pPr>
        <w:rPr>
          <w:rFonts w:eastAsia="Times New Roman"/>
        </w:rPr>
      </w:pPr>
      <w:r>
        <w:rPr>
          <w:rFonts w:eastAsia="Times New Roman"/>
        </w:rPr>
        <w:pict w14:anchorId="3E25F91D">
          <v:rect id="_x0000_i1041" style="width:0;height:1.5pt" o:hralign="center" o:hrstd="t" o:hr="t" fillcolor="#a0a0a0" stroked="f"/>
        </w:pict>
      </w:r>
    </w:p>
    <w:p w14:paraId="140E68D2" w14:textId="77777777" w:rsidR="00000000" w:rsidRDefault="00C01C43">
      <w:pPr>
        <w:divId w:val="1207714704"/>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07D7FF9B" w14:textId="77777777" w:rsidR="00000000" w:rsidRDefault="00C01C43">
      <w:pPr>
        <w:jc w:val="both"/>
        <w:rPr>
          <w:rFonts w:eastAsia="Times New Roman"/>
        </w:rPr>
      </w:pPr>
      <w:r>
        <w:rPr>
          <w:rFonts w:ascii="Arial" w:eastAsia="Times New Roman" w:hAnsi="Arial" w:cs="Arial"/>
          <w:b/>
          <w:bCs/>
          <w:color w:val="000000"/>
          <w:sz w:val="20"/>
          <w:szCs w:val="20"/>
        </w:rPr>
        <w:t>We may not be able to fully recognize the anticipated benefits of our acquisitions and other strategic investments.</w:t>
      </w:r>
    </w:p>
    <w:p w14:paraId="0475A372" w14:textId="77777777" w:rsidR="00000000" w:rsidRDefault="00C01C43">
      <w:pPr>
        <w:jc w:val="both"/>
        <w:rPr>
          <w:rFonts w:eastAsia="Times New Roman"/>
        </w:rPr>
      </w:pPr>
      <w:r>
        <w:rPr>
          <w:rFonts w:ascii="Arial" w:eastAsia="Times New Roman" w:hAnsi="Arial" w:cs="Arial"/>
          <w:color w:val="000000"/>
          <w:sz w:val="20"/>
          <w:szCs w:val="20"/>
        </w:rPr>
        <w:t>As part of our growth strategy, we have been pursuing acquisition opportunities and strategic investments such a</w:t>
      </w:r>
      <w:r>
        <w:rPr>
          <w:rFonts w:ascii="Arial" w:eastAsia="Times New Roman" w:hAnsi="Arial" w:cs="Arial"/>
          <w:color w:val="000000"/>
          <w:sz w:val="20"/>
          <w:szCs w:val="20"/>
        </w:rPr>
        <w:t>s joint venture arrangements or equity investments intended to complement or expand our business portfolio. The success of our growth strategy depends on our ability to find attractive acquisition or investment candidates or strategic investments and consu</w:t>
      </w:r>
      <w:r>
        <w:rPr>
          <w:rFonts w:ascii="Arial" w:eastAsia="Times New Roman" w:hAnsi="Arial" w:cs="Arial"/>
          <w:color w:val="000000"/>
          <w:sz w:val="20"/>
          <w:szCs w:val="20"/>
        </w:rPr>
        <w:t>mmate such transactions on economically acceptable terms. Before making acquisitions or strategic investments, we conduct due diligence that we deem reasonable and appropriate based on the facts and circumstances applicable to each transaction. Our due dil</w:t>
      </w:r>
      <w:r>
        <w:rPr>
          <w:rFonts w:ascii="Arial" w:eastAsia="Times New Roman" w:hAnsi="Arial" w:cs="Arial"/>
          <w:color w:val="000000"/>
          <w:sz w:val="20"/>
          <w:szCs w:val="20"/>
        </w:rPr>
        <w:t>igence investigation may not reveal or highlight all relevant risks that may be necessary or helpful in evaluating such opportunity. Consequently, these transactions could result in unanticipated costs and liabilities that may impact our results of operati</w:t>
      </w:r>
      <w:r>
        <w:rPr>
          <w:rFonts w:ascii="Arial" w:eastAsia="Times New Roman" w:hAnsi="Arial" w:cs="Arial"/>
          <w:color w:val="000000"/>
          <w:sz w:val="20"/>
          <w:szCs w:val="20"/>
        </w:rPr>
        <w:t>ons and increased demands on our cash resources that may, among other things, impact our ability to explore other opportunities. If our acquisitions or strategic investments do not achieve the financial results anticipated, it could adversely affect our re</w:t>
      </w:r>
      <w:r>
        <w:rPr>
          <w:rFonts w:ascii="Arial" w:eastAsia="Times New Roman" w:hAnsi="Arial" w:cs="Arial"/>
          <w:color w:val="000000"/>
          <w:sz w:val="20"/>
          <w:szCs w:val="20"/>
        </w:rPr>
        <w:t>venues and results of operations.</w:t>
      </w:r>
    </w:p>
    <w:p w14:paraId="300C007E" w14:textId="77777777" w:rsidR="00000000" w:rsidRDefault="00C01C43">
      <w:pPr>
        <w:jc w:val="both"/>
        <w:rPr>
          <w:rFonts w:eastAsia="Times New Roman"/>
        </w:rPr>
      </w:pPr>
    </w:p>
    <w:p w14:paraId="577B9E77" w14:textId="77777777" w:rsidR="00000000" w:rsidRDefault="00C01C43">
      <w:pPr>
        <w:jc w:val="both"/>
        <w:rPr>
          <w:rFonts w:eastAsia="Times New Roman"/>
        </w:rPr>
      </w:pPr>
      <w:r>
        <w:rPr>
          <w:rFonts w:ascii="Arial" w:eastAsia="Times New Roman" w:hAnsi="Arial" w:cs="Arial"/>
          <w:color w:val="000000"/>
          <w:sz w:val="20"/>
          <w:szCs w:val="20"/>
        </w:rPr>
        <w:t>We have incurred, and expect to continue incurring, expenses related to the integration of acquisitions. Transaction and integration expenses could exceed the savings and synergies that we expect to achieve in the future from the elimination of duplicative</w:t>
      </w:r>
      <w:r>
        <w:rPr>
          <w:rFonts w:ascii="Arial" w:eastAsia="Times New Roman" w:hAnsi="Arial" w:cs="Arial"/>
          <w:color w:val="000000"/>
          <w:sz w:val="20"/>
          <w:szCs w:val="20"/>
        </w:rPr>
        <w:t xml:space="preserve"> expenses and the realization of economies of scale. Any of the foregoing factors could have an adverse effect on our business, financial condition, results of operations and cash flows.</w:t>
      </w:r>
    </w:p>
    <w:p w14:paraId="3C7B1A04" w14:textId="77777777" w:rsidR="00000000" w:rsidRDefault="00C01C43">
      <w:pPr>
        <w:jc w:val="both"/>
        <w:rPr>
          <w:rFonts w:eastAsia="Times New Roman"/>
        </w:rPr>
      </w:pPr>
    </w:p>
    <w:p w14:paraId="59A1DCAD" w14:textId="77777777" w:rsidR="00000000" w:rsidRDefault="00C01C43">
      <w:pPr>
        <w:jc w:val="both"/>
        <w:rPr>
          <w:rFonts w:eastAsia="Times New Roman"/>
        </w:rPr>
      </w:pPr>
      <w:r>
        <w:rPr>
          <w:rFonts w:ascii="Arial" w:eastAsia="Times New Roman" w:hAnsi="Arial" w:cs="Arial"/>
          <w:b/>
          <w:bCs/>
          <w:color w:val="000000"/>
          <w:sz w:val="20"/>
          <w:szCs w:val="20"/>
        </w:rPr>
        <w:t xml:space="preserve">Information technology (“IT”) failures and data security breaches, </w:t>
      </w:r>
      <w:r>
        <w:rPr>
          <w:rFonts w:ascii="Arial" w:eastAsia="Times New Roman" w:hAnsi="Arial" w:cs="Arial"/>
          <w:b/>
          <w:bCs/>
          <w:color w:val="000000"/>
          <w:sz w:val="20"/>
          <w:szCs w:val="20"/>
        </w:rPr>
        <w:t>including as a result of cybersecurity attacks, could negatively impact our results of operations and financial condition, subject us to increased operating costs, and expose us to litigation.</w:t>
      </w:r>
    </w:p>
    <w:p w14:paraId="319BAECB" w14:textId="77777777" w:rsidR="00000000" w:rsidRDefault="00C01C43">
      <w:pPr>
        <w:jc w:val="both"/>
        <w:rPr>
          <w:rFonts w:eastAsia="Times New Roman"/>
        </w:rPr>
      </w:pPr>
      <w:r>
        <w:rPr>
          <w:rFonts w:ascii="Arial" w:eastAsia="Times New Roman" w:hAnsi="Arial" w:cs="Arial"/>
          <w:color w:val="000000"/>
          <w:sz w:val="20"/>
          <w:szCs w:val="20"/>
        </w:rPr>
        <w:t>We rely heavily on digital technologies, including both interna</w:t>
      </w:r>
      <w:r>
        <w:rPr>
          <w:rFonts w:ascii="Arial" w:eastAsia="Times New Roman" w:hAnsi="Arial" w:cs="Arial"/>
          <w:color w:val="000000"/>
          <w:sz w:val="20"/>
          <w:szCs w:val="20"/>
        </w:rPr>
        <w:t xml:space="preserve">l and third party IT systems, network infrastructure and cloud applications and services, to support a variety of business processes and activities across our global operations. Despite our implementation of various security and other protective measures, </w:t>
      </w:r>
      <w:r>
        <w:rPr>
          <w:rFonts w:ascii="Arial" w:eastAsia="Times New Roman" w:hAnsi="Arial" w:cs="Arial"/>
          <w:color w:val="000000"/>
          <w:sz w:val="20"/>
          <w:szCs w:val="20"/>
        </w:rPr>
        <w:t>our technology systems and those of our third-party service providers are vulnerable to damage, disability or failures due to physical theft, power outages, telecommunications failure, programming or operational errors, natural disasters and other catastro</w:t>
      </w:r>
      <w:r>
        <w:rPr>
          <w:rFonts w:ascii="Arial" w:eastAsia="Times New Roman" w:hAnsi="Arial" w:cs="Arial"/>
          <w:color w:val="000000"/>
          <w:sz w:val="20"/>
          <w:szCs w:val="20"/>
        </w:rPr>
        <w:t xml:space="preserve">phic events. These systems are also subject to cybersecurity attacks, such as hacking, malware, ransomware, denial-of-service attacks, computer viruses, misconduct by our employees or those of third-party providers, and other unauthorized access, release, </w:t>
      </w:r>
      <w:r>
        <w:rPr>
          <w:rFonts w:ascii="Arial" w:eastAsia="Times New Roman" w:hAnsi="Arial" w:cs="Arial"/>
          <w:color w:val="000000"/>
          <w:sz w:val="20"/>
          <w:szCs w:val="20"/>
        </w:rPr>
        <w:t xml:space="preserve">corruption or loss of data. Given the nature of cybersecurity attacks, some incidents can remain undetected for a period of time despite efforts to detect and respond to them in a timely manner. Any of the foregoing could have a material adverse effect on </w:t>
      </w:r>
      <w:r>
        <w:rPr>
          <w:rFonts w:ascii="Arial" w:eastAsia="Times New Roman" w:hAnsi="Arial" w:cs="Arial"/>
          <w:color w:val="000000"/>
          <w:sz w:val="20"/>
          <w:szCs w:val="20"/>
        </w:rPr>
        <w:t>our cash flows, financial condition or results of operations.</w:t>
      </w:r>
    </w:p>
    <w:p w14:paraId="3C8D6256" w14:textId="77777777" w:rsidR="00000000" w:rsidRDefault="00C01C43">
      <w:pPr>
        <w:jc w:val="both"/>
        <w:rPr>
          <w:rFonts w:eastAsia="Times New Roman"/>
        </w:rPr>
      </w:pPr>
    </w:p>
    <w:p w14:paraId="170246C0" w14:textId="77777777" w:rsidR="00000000" w:rsidRDefault="00C01C43">
      <w:pPr>
        <w:jc w:val="both"/>
        <w:rPr>
          <w:rFonts w:eastAsia="Times New Roman"/>
        </w:rPr>
      </w:pPr>
      <w:r>
        <w:rPr>
          <w:rFonts w:ascii="Arial" w:eastAsia="Times New Roman" w:hAnsi="Arial" w:cs="Arial"/>
          <w:color w:val="000000"/>
          <w:sz w:val="20"/>
          <w:szCs w:val="20"/>
        </w:rPr>
        <w:t>Furthermore, our reliance on email transmissions over public networks also exposes us to risks associated with the failure of our employees, customers, business partners and other third partie</w:t>
      </w:r>
      <w:r>
        <w:rPr>
          <w:rFonts w:ascii="Arial" w:eastAsia="Times New Roman" w:hAnsi="Arial" w:cs="Arial"/>
          <w:color w:val="000000"/>
          <w:sz w:val="20"/>
          <w:szCs w:val="20"/>
        </w:rPr>
        <w:t>s to use appropriate controls to protect sensitive information, due to risks associated with online social engineering (e.g. phishing and impersonation), fraud and email scams. External parties may attempt to fraudulently induce employees, customers, suppl</w:t>
      </w:r>
      <w:r>
        <w:rPr>
          <w:rFonts w:ascii="Arial" w:eastAsia="Times New Roman" w:hAnsi="Arial" w:cs="Arial"/>
          <w:color w:val="000000"/>
          <w:sz w:val="20"/>
          <w:szCs w:val="20"/>
        </w:rPr>
        <w:t>iers or other users of our systems to disclose sensitive information to gain access to our data or use electronic means to induce us to enter into fraudulent transactions. While we regularly conduct employee training and implement security measures and pro</w:t>
      </w:r>
      <w:r>
        <w:rPr>
          <w:rFonts w:ascii="Arial" w:eastAsia="Times New Roman" w:hAnsi="Arial" w:cs="Arial"/>
          <w:color w:val="000000"/>
          <w:sz w:val="20"/>
          <w:szCs w:val="20"/>
        </w:rPr>
        <w:t>grams designed to prevent and mitigate cybersecurity threats and online fraud and email scams, past and future occurrences of any of the foregoing could damage our brand, competitiveness and ability to conduct our business, impact our credit and risk expos</w:t>
      </w:r>
      <w:r>
        <w:rPr>
          <w:rFonts w:ascii="Arial" w:eastAsia="Times New Roman" w:hAnsi="Arial" w:cs="Arial"/>
          <w:color w:val="000000"/>
          <w:sz w:val="20"/>
          <w:szCs w:val="20"/>
        </w:rPr>
        <w:t>ure decisions, cause us to lose customers or revenues and subject us to significant remediation costs, litigation or regulatory actions, fines and penalties.</w:t>
      </w:r>
    </w:p>
    <w:p w14:paraId="4D60EE7E" w14:textId="77777777" w:rsidR="00000000" w:rsidRDefault="00C01C43">
      <w:pPr>
        <w:jc w:val="both"/>
        <w:rPr>
          <w:rFonts w:eastAsia="Times New Roman"/>
        </w:rPr>
      </w:pPr>
    </w:p>
    <w:p w14:paraId="1AAA4133" w14:textId="77777777" w:rsidR="00000000" w:rsidRDefault="00C01C43">
      <w:pPr>
        <w:jc w:val="both"/>
        <w:rPr>
          <w:rFonts w:eastAsia="Times New Roman"/>
        </w:rPr>
      </w:pPr>
      <w:r>
        <w:rPr>
          <w:rFonts w:ascii="Arial" w:eastAsia="Times New Roman" w:hAnsi="Arial" w:cs="Arial"/>
          <w:color w:val="000000"/>
          <w:sz w:val="20"/>
          <w:szCs w:val="20"/>
        </w:rPr>
        <w:t>In addition, due to the large number of transactions that run through our systems each day, sign</w:t>
      </w:r>
      <w:r>
        <w:rPr>
          <w:rFonts w:ascii="Arial" w:eastAsia="Times New Roman" w:hAnsi="Arial" w:cs="Arial"/>
          <w:color w:val="000000"/>
          <w:sz w:val="20"/>
          <w:szCs w:val="20"/>
        </w:rPr>
        <w:t>ificant system downtime or disruption could have a material impact on our, and in the case of our technology offerings, our customers’, ability to conduct business, process and record transactions, make operational and financial decisions or damage our rep</w:t>
      </w:r>
      <w:r>
        <w:rPr>
          <w:rFonts w:ascii="Arial" w:eastAsia="Times New Roman" w:hAnsi="Arial" w:cs="Arial"/>
          <w:color w:val="000000"/>
          <w:sz w:val="20"/>
          <w:szCs w:val="20"/>
        </w:rPr>
        <w:t xml:space="preserve">utation with customers or suppliers, particularly in the event of billing errors or payment delays. Similarly, if ours or any of our cloud service providers’ access to cloud-based platforms and services is disrupted for any reason and leads to disruptions </w:t>
      </w:r>
      <w:r>
        <w:rPr>
          <w:rFonts w:ascii="Arial" w:eastAsia="Times New Roman" w:hAnsi="Arial" w:cs="Arial"/>
          <w:color w:val="000000"/>
          <w:sz w:val="20"/>
          <w:szCs w:val="20"/>
        </w:rPr>
        <w:t>in our critical systems, our operations and ability to manage our business could be adversely impacted. While we seek to obtain contractual protections in our agreements with these providers, we may not have sufficient recourse against these parties in the</w:t>
      </w:r>
      <w:r>
        <w:rPr>
          <w:rFonts w:ascii="Arial" w:eastAsia="Times New Roman" w:hAnsi="Arial" w:cs="Arial"/>
          <w:color w:val="000000"/>
          <w:sz w:val="20"/>
          <w:szCs w:val="20"/>
        </w:rPr>
        <w:t xml:space="preserve"> event they experience a significant cybersecurity attack or other security breach and our or our customers’ data is compromised.</w:t>
      </w:r>
    </w:p>
    <w:p w14:paraId="10940ACF" w14:textId="77777777" w:rsidR="00000000" w:rsidRDefault="00C01C43">
      <w:pPr>
        <w:jc w:val="both"/>
        <w:rPr>
          <w:rFonts w:eastAsia="Times New Roman"/>
        </w:rPr>
      </w:pPr>
    </w:p>
    <w:p w14:paraId="1A6F7367" w14:textId="77777777" w:rsidR="00000000" w:rsidRDefault="00C01C43">
      <w:pPr>
        <w:jc w:val="center"/>
        <w:divId w:val="1578007733"/>
        <w:rPr>
          <w:rFonts w:eastAsia="Times New Roman"/>
        </w:rPr>
      </w:pPr>
      <w:r>
        <w:rPr>
          <w:rFonts w:ascii="Arial" w:eastAsia="Times New Roman" w:hAnsi="Arial" w:cs="Arial"/>
          <w:color w:val="000000"/>
          <w:sz w:val="16"/>
          <w:szCs w:val="16"/>
        </w:rPr>
        <w:t>14</w:t>
      </w:r>
    </w:p>
    <w:p w14:paraId="40AB05D8" w14:textId="77777777" w:rsidR="00000000" w:rsidRDefault="00C01C43">
      <w:pPr>
        <w:rPr>
          <w:rFonts w:eastAsia="Times New Roman"/>
        </w:rPr>
      </w:pPr>
      <w:r>
        <w:rPr>
          <w:rFonts w:eastAsia="Times New Roman"/>
        </w:rPr>
        <w:pict w14:anchorId="51D29D2F">
          <v:rect id="_x0000_i1042" style="width:0;height:1.5pt" o:hralign="center" o:hrstd="t" o:hr="t" fillcolor="#a0a0a0" stroked="f"/>
        </w:pict>
      </w:r>
    </w:p>
    <w:p w14:paraId="7C0BF79F" w14:textId="77777777" w:rsidR="00000000" w:rsidRDefault="00C01C43">
      <w:pPr>
        <w:divId w:val="313067178"/>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2278BE4" w14:textId="77777777" w:rsidR="00000000" w:rsidRDefault="00C01C43">
      <w:pPr>
        <w:jc w:val="both"/>
        <w:rPr>
          <w:rFonts w:eastAsia="Times New Roman"/>
        </w:rPr>
      </w:pPr>
      <w:r>
        <w:rPr>
          <w:rFonts w:ascii="Arial" w:eastAsia="Times New Roman" w:hAnsi="Arial" w:cs="Arial"/>
          <w:color w:val="000000"/>
          <w:sz w:val="20"/>
          <w:szCs w:val="20"/>
        </w:rPr>
        <w:t>As cyber</w:t>
      </w:r>
      <w:r>
        <w:rPr>
          <w:rFonts w:ascii="Arial" w:eastAsia="Times New Roman" w:hAnsi="Arial" w:cs="Arial"/>
          <w:color w:val="000000"/>
          <w:sz w:val="20"/>
          <w:szCs w:val="20"/>
        </w:rPr>
        <w:t>security threats continue to evolve, we may be required to dedicate significant additional resources and incur substantial costs to modify or enhance our security measures or to investigate and remediate any vulnerabilities. Despite these efforts, we may b</w:t>
      </w:r>
      <w:r>
        <w:rPr>
          <w:rFonts w:ascii="Arial" w:eastAsia="Times New Roman" w:hAnsi="Arial" w:cs="Arial"/>
          <w:color w:val="000000"/>
          <w:sz w:val="20"/>
          <w:szCs w:val="20"/>
        </w:rPr>
        <w:t>e unable to fully anticipate or implement adequate preventive measures or mitigate potential harm. To our knowledge, we have not experienced any material losses relating to cybersecurity attacks, however, there can be no assurance that we will not suffer m</w:t>
      </w:r>
      <w:r>
        <w:rPr>
          <w:rFonts w:ascii="Arial" w:eastAsia="Times New Roman" w:hAnsi="Arial" w:cs="Arial"/>
          <w:color w:val="000000"/>
          <w:sz w:val="20"/>
          <w:szCs w:val="20"/>
        </w:rPr>
        <w:t>aterial losses in the future. We currently maintain insurance to protect against cybersecurity risks and incidents. However, this insurance may not be sufficient to cover the financial, legal, business or reputational losses that may result from such incid</w:t>
      </w:r>
      <w:r>
        <w:rPr>
          <w:rFonts w:ascii="Arial" w:eastAsia="Times New Roman" w:hAnsi="Arial" w:cs="Arial"/>
          <w:color w:val="000000"/>
          <w:sz w:val="20"/>
          <w:szCs w:val="20"/>
        </w:rPr>
        <w:t>ents.</w:t>
      </w:r>
    </w:p>
    <w:p w14:paraId="722E90DA" w14:textId="77777777" w:rsidR="00000000" w:rsidRDefault="00C01C43">
      <w:pPr>
        <w:jc w:val="both"/>
        <w:rPr>
          <w:rFonts w:eastAsia="Times New Roman"/>
        </w:rPr>
      </w:pPr>
    </w:p>
    <w:p w14:paraId="7F77F21A" w14:textId="77777777" w:rsidR="00000000" w:rsidRDefault="00C01C43">
      <w:pPr>
        <w:divId w:val="1865821378"/>
        <w:rPr>
          <w:rFonts w:eastAsia="Times New Roman"/>
        </w:rPr>
      </w:pPr>
      <w:r>
        <w:rPr>
          <w:rFonts w:ascii="Arial" w:eastAsia="Times New Roman" w:hAnsi="Arial" w:cs="Arial"/>
          <w:b/>
          <w:bCs/>
          <w:color w:val="000000"/>
          <w:sz w:val="20"/>
          <w:szCs w:val="20"/>
        </w:rPr>
        <w:t>Sales to government customers involve unique risks that could have a material adverse effect on our business and results of operations.</w:t>
      </w:r>
    </w:p>
    <w:p w14:paraId="378FD9D7" w14:textId="77777777" w:rsidR="00000000" w:rsidRDefault="00C01C43">
      <w:pPr>
        <w:jc w:val="both"/>
        <w:rPr>
          <w:rFonts w:eastAsia="Times New Roman"/>
        </w:rPr>
      </w:pPr>
      <w:r>
        <w:rPr>
          <w:rFonts w:ascii="Arial" w:eastAsia="Times New Roman" w:hAnsi="Arial" w:cs="Arial"/>
          <w:color w:val="000000"/>
          <w:sz w:val="20"/>
          <w:szCs w:val="20"/>
        </w:rPr>
        <w:t xml:space="preserve">In addition to other business risks, our supply of products and services to government customers subjects us to </w:t>
      </w:r>
      <w:r>
        <w:rPr>
          <w:rFonts w:ascii="Arial" w:eastAsia="Times New Roman" w:hAnsi="Arial" w:cs="Arial"/>
          <w:color w:val="000000"/>
          <w:sz w:val="20"/>
          <w:szCs w:val="20"/>
        </w:rPr>
        <w:t>unique risks, many of which are beyond our control. These risks include:</w:t>
      </w:r>
    </w:p>
    <w:p w14:paraId="24A4D377" w14:textId="77777777" w:rsidR="00000000" w:rsidRDefault="00C01C43">
      <w:pPr>
        <w:jc w:val="both"/>
        <w:rPr>
          <w:rFonts w:eastAsia="Times New Roman"/>
        </w:rPr>
      </w:pPr>
    </w:p>
    <w:p w14:paraId="62514535" w14:textId="77777777" w:rsidR="00000000" w:rsidRDefault="00C01C43">
      <w:pPr>
        <w:ind w:hanging="360"/>
        <w:jc w:val="both"/>
        <w:divId w:val="518277841"/>
        <w:rPr>
          <w:rFonts w:eastAsia="Times New Roman"/>
        </w:rPr>
      </w:pPr>
      <w:r>
        <w:rPr>
          <w:rFonts w:ascii="Arial" w:eastAsia="Times New Roman" w:hAnsi="Arial" w:cs="Arial"/>
          <w:color w:val="000000"/>
          <w:sz w:val="20"/>
          <w:szCs w:val="20"/>
        </w:rPr>
        <w:t>•dependence on government spending on defense programs, which can be negatively affected by budgetary constraints, changes in defense spending policies, government shutdowns and cha</w:t>
      </w:r>
      <w:r>
        <w:rPr>
          <w:rFonts w:ascii="Arial" w:eastAsia="Times New Roman" w:hAnsi="Arial" w:cs="Arial"/>
          <w:color w:val="000000"/>
          <w:sz w:val="20"/>
          <w:szCs w:val="20"/>
        </w:rPr>
        <w:t>nges in military policies or priorities;</w:t>
      </w:r>
    </w:p>
    <w:p w14:paraId="62D8FF4F" w14:textId="77777777" w:rsidR="00000000" w:rsidRDefault="00C01C43">
      <w:pPr>
        <w:ind w:hanging="360"/>
        <w:jc w:val="both"/>
        <w:divId w:val="1554192961"/>
        <w:rPr>
          <w:rFonts w:eastAsia="Times New Roman"/>
        </w:rPr>
      </w:pPr>
      <w:r>
        <w:rPr>
          <w:rFonts w:ascii="Arial" w:eastAsia="Times New Roman" w:hAnsi="Arial" w:cs="Arial"/>
          <w:color w:val="000000"/>
          <w:sz w:val="20"/>
          <w:szCs w:val="20"/>
        </w:rPr>
        <w:t>•contract awards that are typically made through a competitive bidding process, which can involve substantial costs and managerial time to prepare and submit bids for contracts that may not be awarded to us;</w:t>
      </w:r>
    </w:p>
    <w:p w14:paraId="39C7599C" w14:textId="77777777" w:rsidR="00000000" w:rsidRDefault="00C01C43">
      <w:pPr>
        <w:ind w:hanging="360"/>
        <w:jc w:val="both"/>
        <w:divId w:val="1315791862"/>
        <w:rPr>
          <w:rFonts w:eastAsia="Times New Roman"/>
        </w:rPr>
      </w:pPr>
      <w:r>
        <w:rPr>
          <w:rFonts w:ascii="Arial" w:eastAsia="Times New Roman" w:hAnsi="Arial" w:cs="Arial"/>
          <w:color w:val="000000"/>
          <w:sz w:val="20"/>
          <w:szCs w:val="20"/>
        </w:rPr>
        <w:t>•comple</w:t>
      </w:r>
      <w:r>
        <w:rPr>
          <w:rFonts w:ascii="Arial" w:eastAsia="Times New Roman" w:hAnsi="Arial" w:cs="Arial"/>
          <w:color w:val="000000"/>
          <w:sz w:val="20"/>
          <w:szCs w:val="20"/>
        </w:rPr>
        <w:t>xities associated with government contracting, including extensive procurement regulations, contracts for indefinite delivery (where there are no guarantees on the quantity or timing of the purchases); and, the ability of government customers to unilateral</w:t>
      </w:r>
      <w:r>
        <w:rPr>
          <w:rFonts w:ascii="Arial" w:eastAsia="Times New Roman" w:hAnsi="Arial" w:cs="Arial"/>
          <w:color w:val="000000"/>
          <w:sz w:val="20"/>
          <w:szCs w:val="20"/>
        </w:rPr>
        <w:t>ly modify certain terms and conditions in existing contracts or terminate existing contracts for their convenience.</w:t>
      </w:r>
    </w:p>
    <w:p w14:paraId="2FC57C55" w14:textId="77777777" w:rsidR="00000000" w:rsidRDefault="00C01C43">
      <w:pPr>
        <w:jc w:val="both"/>
        <w:rPr>
          <w:rFonts w:eastAsia="Times New Roman"/>
        </w:rPr>
      </w:pPr>
    </w:p>
    <w:p w14:paraId="463F875E" w14:textId="77777777" w:rsidR="00000000" w:rsidRDefault="00C01C43">
      <w:pPr>
        <w:jc w:val="both"/>
        <w:rPr>
          <w:rFonts w:eastAsia="Times New Roman"/>
        </w:rPr>
      </w:pPr>
      <w:r>
        <w:rPr>
          <w:rFonts w:ascii="Arial" w:eastAsia="Times New Roman" w:hAnsi="Arial" w:cs="Arial"/>
          <w:color w:val="000000"/>
          <w:sz w:val="20"/>
          <w:szCs w:val="20"/>
        </w:rPr>
        <w:t>Government customers routinely audit government contractors to review contract performance, cost structure and compliance with applicable laws, regulations, and standards, as well as the adequacy of and compliance with internal control systems and policies</w:t>
      </w:r>
      <w:r>
        <w:rPr>
          <w:rFonts w:ascii="Arial" w:eastAsia="Times New Roman" w:hAnsi="Arial" w:cs="Arial"/>
          <w:color w:val="000000"/>
          <w:sz w:val="20"/>
          <w:szCs w:val="20"/>
        </w:rPr>
        <w:t>. Any costs found to be misclassified or inaccurately allocated may not be reimbursable, and to the extent already reimbursed, may need to be refunded and could subject us to a variety of government claims. Also, any inadequacies in our systems and policie</w:t>
      </w:r>
      <w:r>
        <w:rPr>
          <w:rFonts w:ascii="Arial" w:eastAsia="Times New Roman" w:hAnsi="Arial" w:cs="Arial"/>
          <w:color w:val="000000"/>
          <w:sz w:val="20"/>
          <w:szCs w:val="20"/>
        </w:rPr>
        <w:t xml:space="preserve">s could result in payments being withheld, penalties and reduced future business. Improper or illegal activities, including those caused by our subcontractors, could subject us to civil or criminal penalties or administrative sanctions, including contract </w:t>
      </w:r>
      <w:r>
        <w:rPr>
          <w:rFonts w:ascii="Arial" w:eastAsia="Times New Roman" w:hAnsi="Arial" w:cs="Arial"/>
          <w:color w:val="000000"/>
          <w:sz w:val="20"/>
          <w:szCs w:val="20"/>
        </w:rPr>
        <w:t>termination, fines, forfeiture of fees, suspension of payment and suspension or debarment from doing business with government agencies, any of which could materially adversely affect our reputation, business, financial condition or results of operations. S</w:t>
      </w:r>
      <w:r>
        <w:rPr>
          <w:rFonts w:ascii="Arial" w:eastAsia="Times New Roman" w:hAnsi="Arial" w:cs="Arial"/>
          <w:color w:val="000000"/>
          <w:sz w:val="20"/>
          <w:szCs w:val="20"/>
        </w:rPr>
        <w:t>ee Part I. Item 1. of this 2020 10-K Report for additional details regarding applicable laws and regulations.</w:t>
      </w:r>
    </w:p>
    <w:p w14:paraId="0E390DB9" w14:textId="77777777" w:rsidR="00000000" w:rsidRDefault="00C01C43">
      <w:pPr>
        <w:jc w:val="both"/>
        <w:rPr>
          <w:rFonts w:eastAsia="Times New Roman"/>
        </w:rPr>
      </w:pPr>
    </w:p>
    <w:p w14:paraId="3DD02D40" w14:textId="77777777" w:rsidR="00000000" w:rsidRDefault="00C01C43">
      <w:pPr>
        <w:jc w:val="both"/>
        <w:rPr>
          <w:rFonts w:eastAsia="Times New Roman"/>
        </w:rPr>
      </w:pPr>
      <w:r>
        <w:rPr>
          <w:rFonts w:ascii="Arial" w:eastAsia="Times New Roman" w:hAnsi="Arial" w:cs="Arial"/>
          <w:b/>
          <w:bCs/>
          <w:color w:val="000000"/>
          <w:sz w:val="20"/>
          <w:szCs w:val="20"/>
          <w:u w:val="single"/>
        </w:rPr>
        <w:t>Financial, Economic &amp; Market Risks:</w:t>
      </w:r>
    </w:p>
    <w:p w14:paraId="7664CF2E" w14:textId="77777777" w:rsidR="00000000" w:rsidRDefault="00C01C43">
      <w:pPr>
        <w:jc w:val="both"/>
        <w:rPr>
          <w:rFonts w:eastAsia="Times New Roman"/>
        </w:rPr>
      </w:pPr>
      <w:r>
        <w:rPr>
          <w:rFonts w:ascii="Arial" w:eastAsia="Times New Roman" w:hAnsi="Arial" w:cs="Arial"/>
          <w:b/>
          <w:bCs/>
          <w:color w:val="000000"/>
          <w:sz w:val="20"/>
          <w:szCs w:val="20"/>
        </w:rPr>
        <w:t>Economic, political and other risks associated with international sales and operations could adversely affec</w:t>
      </w:r>
      <w:r>
        <w:rPr>
          <w:rFonts w:ascii="Arial" w:eastAsia="Times New Roman" w:hAnsi="Arial" w:cs="Arial"/>
          <w:b/>
          <w:bCs/>
          <w:color w:val="000000"/>
          <w:sz w:val="20"/>
          <w:szCs w:val="20"/>
        </w:rPr>
        <w:t>t our business and future operating results.</w:t>
      </w:r>
    </w:p>
    <w:p w14:paraId="146D1D3C" w14:textId="77777777" w:rsidR="00000000" w:rsidRDefault="00C01C43">
      <w:pPr>
        <w:jc w:val="both"/>
        <w:rPr>
          <w:rFonts w:eastAsia="Times New Roman"/>
        </w:rPr>
      </w:pPr>
      <w:r>
        <w:rPr>
          <w:rFonts w:ascii="Arial" w:eastAsia="Times New Roman" w:hAnsi="Arial" w:cs="Arial"/>
          <w:color w:val="000000"/>
          <w:sz w:val="20"/>
          <w:szCs w:val="20"/>
        </w:rPr>
        <w:t>Because we offer fuel products and services on a worldwide basis, our business is subject to risks associated with doing business internationally, such as:</w:t>
      </w:r>
    </w:p>
    <w:p w14:paraId="390754A6" w14:textId="77777777" w:rsidR="00000000" w:rsidRDefault="00C01C43">
      <w:pPr>
        <w:jc w:val="both"/>
        <w:rPr>
          <w:rFonts w:eastAsia="Times New Roman"/>
        </w:rPr>
      </w:pPr>
    </w:p>
    <w:p w14:paraId="69473394" w14:textId="77777777" w:rsidR="00000000" w:rsidRDefault="00C01C43">
      <w:pPr>
        <w:ind w:hanging="360"/>
        <w:jc w:val="both"/>
        <w:divId w:val="181170545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trade protection measures and import, export and other licensing requirements, which could increase our costs or prevent us from doing certain business internationally;</w:t>
      </w:r>
    </w:p>
    <w:p w14:paraId="6B929559" w14:textId="77777777" w:rsidR="00000000" w:rsidRDefault="00C01C43">
      <w:pPr>
        <w:ind w:hanging="360"/>
        <w:jc w:val="both"/>
        <w:divId w:val="687145605"/>
        <w:rPr>
          <w:rFonts w:eastAsia="Times New Roman"/>
        </w:rPr>
      </w:pPr>
      <w:r>
        <w:rPr>
          <w:rFonts w:ascii="Arial" w:eastAsia="Times New Roman" w:hAnsi="Arial" w:cs="Arial"/>
          <w:color w:val="000000"/>
          <w:sz w:val="20"/>
          <w:szCs w:val="20"/>
        </w:rPr>
        <w:t>•higher costs associated with hiring and retaining senior management for overseas opera</w:t>
      </w:r>
      <w:r>
        <w:rPr>
          <w:rFonts w:ascii="Arial" w:eastAsia="Times New Roman" w:hAnsi="Arial" w:cs="Arial"/>
          <w:color w:val="000000"/>
          <w:sz w:val="20"/>
          <w:szCs w:val="20"/>
        </w:rPr>
        <w:t>tions;</w:t>
      </w:r>
    </w:p>
    <w:p w14:paraId="71785657" w14:textId="77777777" w:rsidR="00000000" w:rsidRDefault="00C01C43">
      <w:pPr>
        <w:ind w:hanging="360"/>
        <w:jc w:val="both"/>
        <w:divId w:val="877668947"/>
        <w:rPr>
          <w:rFonts w:eastAsia="Times New Roman"/>
        </w:rPr>
      </w:pPr>
      <w:r>
        <w:rPr>
          <w:rFonts w:ascii="Arial" w:eastAsia="Times New Roman" w:hAnsi="Arial" w:cs="Arial"/>
          <w:color w:val="000000"/>
          <w:sz w:val="20"/>
          <w:szCs w:val="20"/>
        </w:rPr>
        <w:t>•difficulty in staffing and managing widespread operations, which could reduce our productivity;</w:t>
      </w:r>
    </w:p>
    <w:p w14:paraId="30952DBC" w14:textId="77777777" w:rsidR="00000000" w:rsidRDefault="00C01C43">
      <w:pPr>
        <w:ind w:hanging="360"/>
        <w:jc w:val="both"/>
        <w:divId w:val="1066610021"/>
        <w:rPr>
          <w:rFonts w:eastAsia="Times New Roman"/>
        </w:rPr>
      </w:pPr>
      <w:r>
        <w:rPr>
          <w:rFonts w:ascii="Arial" w:eastAsia="Times New Roman" w:hAnsi="Arial" w:cs="Arial"/>
          <w:color w:val="000000"/>
          <w:sz w:val="20"/>
          <w:szCs w:val="20"/>
        </w:rPr>
        <w:t>•changes in regulatory requirements, which may be costly and require significant time to implement;</w:t>
      </w:r>
    </w:p>
    <w:p w14:paraId="66084EF3" w14:textId="77777777" w:rsidR="00000000" w:rsidRDefault="00C01C43">
      <w:pPr>
        <w:ind w:hanging="360"/>
        <w:jc w:val="both"/>
        <w:divId w:val="583300755"/>
        <w:rPr>
          <w:rFonts w:eastAsia="Times New Roman"/>
        </w:rPr>
      </w:pPr>
      <w:r>
        <w:rPr>
          <w:rFonts w:ascii="Arial" w:eastAsia="Times New Roman" w:hAnsi="Arial" w:cs="Arial"/>
          <w:color w:val="000000"/>
          <w:sz w:val="20"/>
          <w:szCs w:val="20"/>
        </w:rPr>
        <w:t>•caws restricting us from repatriating profits earne</w:t>
      </w:r>
      <w:r>
        <w:rPr>
          <w:rFonts w:ascii="Arial" w:eastAsia="Times New Roman" w:hAnsi="Arial" w:cs="Arial"/>
          <w:color w:val="000000"/>
          <w:sz w:val="20"/>
          <w:szCs w:val="20"/>
        </w:rPr>
        <w:t>d from our activities within foreign countries;</w:t>
      </w:r>
    </w:p>
    <w:p w14:paraId="67C9AF52" w14:textId="77777777" w:rsidR="00000000" w:rsidRDefault="00C01C43">
      <w:pPr>
        <w:ind w:hanging="360"/>
        <w:jc w:val="both"/>
        <w:divId w:val="461386365"/>
        <w:rPr>
          <w:rFonts w:eastAsia="Times New Roman"/>
        </w:rPr>
      </w:pPr>
      <w:r>
        <w:rPr>
          <w:rFonts w:ascii="Arial" w:eastAsia="Times New Roman" w:hAnsi="Arial" w:cs="Arial"/>
          <w:color w:val="000000"/>
          <w:sz w:val="20"/>
          <w:szCs w:val="20"/>
        </w:rPr>
        <w:t>•fluctuations in foreign currency exchange rates, including operating within economies susceptible to recessions or severe currency devaluations;</w:t>
      </w:r>
    </w:p>
    <w:p w14:paraId="3F57BDF9" w14:textId="77777777" w:rsidR="00000000" w:rsidRDefault="00C01C43">
      <w:pPr>
        <w:ind w:hanging="360"/>
        <w:jc w:val="both"/>
        <w:divId w:val="1932927966"/>
        <w:rPr>
          <w:rFonts w:eastAsia="Times New Roman"/>
        </w:rPr>
      </w:pPr>
      <w:r>
        <w:rPr>
          <w:rFonts w:ascii="Arial" w:eastAsia="Times New Roman" w:hAnsi="Arial" w:cs="Arial"/>
          <w:color w:val="000000"/>
          <w:sz w:val="20"/>
          <w:szCs w:val="20"/>
        </w:rPr>
        <w:t>•governmental actions that may result in the deprivation of ou</w:t>
      </w:r>
      <w:r>
        <w:rPr>
          <w:rFonts w:ascii="Arial" w:eastAsia="Times New Roman" w:hAnsi="Arial" w:cs="Arial"/>
          <w:color w:val="000000"/>
          <w:sz w:val="20"/>
          <w:szCs w:val="20"/>
        </w:rPr>
        <w:t>r contractual rights or the inability to obtain or retain authorizations required to conduct our business;</w:t>
      </w:r>
    </w:p>
    <w:p w14:paraId="241FC37D" w14:textId="77777777" w:rsidR="00000000" w:rsidRDefault="00C01C43">
      <w:pPr>
        <w:ind w:hanging="360"/>
        <w:jc w:val="both"/>
        <w:divId w:val="4603064"/>
        <w:rPr>
          <w:rFonts w:eastAsia="Times New Roman"/>
        </w:rPr>
      </w:pPr>
      <w:r>
        <w:rPr>
          <w:rFonts w:ascii="Arial" w:eastAsia="Times New Roman" w:hAnsi="Arial" w:cs="Arial"/>
          <w:color w:val="000000"/>
          <w:sz w:val="20"/>
          <w:szCs w:val="20"/>
        </w:rPr>
        <w:t>•political risks, including changes in governments, corruption and uncertain regulatory environments; and,</w:t>
      </w:r>
    </w:p>
    <w:p w14:paraId="719B5791" w14:textId="77777777" w:rsidR="00000000" w:rsidRDefault="00C01C43">
      <w:pPr>
        <w:ind w:hanging="360"/>
        <w:jc w:val="both"/>
        <w:divId w:val="1833642673"/>
        <w:rPr>
          <w:rFonts w:eastAsia="Times New Roman"/>
        </w:rPr>
      </w:pPr>
      <w:r>
        <w:rPr>
          <w:rFonts w:ascii="Arial" w:eastAsia="Times New Roman" w:hAnsi="Arial" w:cs="Arial"/>
          <w:color w:val="000000"/>
          <w:sz w:val="20"/>
          <w:szCs w:val="20"/>
        </w:rPr>
        <w:t xml:space="preserve">•terrorism, war, civil unrest and natural </w:t>
      </w:r>
      <w:r>
        <w:rPr>
          <w:rFonts w:ascii="Arial" w:eastAsia="Times New Roman" w:hAnsi="Arial" w:cs="Arial"/>
          <w:color w:val="000000"/>
          <w:sz w:val="20"/>
          <w:szCs w:val="20"/>
        </w:rPr>
        <w:t>disasters and other weather-related events.</w:t>
      </w:r>
    </w:p>
    <w:p w14:paraId="6F7B489D" w14:textId="77777777" w:rsidR="00000000" w:rsidRDefault="00C01C43">
      <w:pPr>
        <w:jc w:val="center"/>
        <w:divId w:val="1440104334"/>
        <w:rPr>
          <w:rFonts w:eastAsia="Times New Roman"/>
        </w:rPr>
      </w:pPr>
      <w:r>
        <w:rPr>
          <w:rFonts w:ascii="Arial" w:eastAsia="Times New Roman" w:hAnsi="Arial" w:cs="Arial"/>
          <w:color w:val="000000"/>
          <w:sz w:val="16"/>
          <w:szCs w:val="16"/>
        </w:rPr>
        <w:t>15</w:t>
      </w:r>
    </w:p>
    <w:p w14:paraId="679DA173" w14:textId="77777777" w:rsidR="00000000" w:rsidRDefault="00C01C43">
      <w:pPr>
        <w:rPr>
          <w:rFonts w:eastAsia="Times New Roman"/>
        </w:rPr>
      </w:pPr>
      <w:r>
        <w:rPr>
          <w:rFonts w:eastAsia="Times New Roman"/>
        </w:rPr>
        <w:pict w14:anchorId="17E4F123">
          <v:rect id="_x0000_i1043" style="width:0;height:1.5pt" o:hralign="center" o:hrstd="t" o:hr="t" fillcolor="#a0a0a0" stroked="f"/>
        </w:pict>
      </w:r>
    </w:p>
    <w:p w14:paraId="2547A0B4" w14:textId="77777777" w:rsidR="00000000" w:rsidRDefault="00C01C43">
      <w:pPr>
        <w:divId w:val="58864623"/>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47ECF0C2" w14:textId="77777777" w:rsidR="00000000" w:rsidRDefault="00C01C43">
      <w:pPr>
        <w:jc w:val="both"/>
        <w:rPr>
          <w:rFonts w:eastAsia="Times New Roman"/>
        </w:rPr>
      </w:pPr>
    </w:p>
    <w:p w14:paraId="67DD145F" w14:textId="77777777" w:rsidR="00000000" w:rsidRDefault="00C01C43">
      <w:pPr>
        <w:jc w:val="both"/>
        <w:rPr>
          <w:rFonts w:eastAsia="Times New Roman"/>
        </w:rPr>
      </w:pPr>
      <w:r>
        <w:rPr>
          <w:rFonts w:ascii="Arial" w:eastAsia="Times New Roman" w:hAnsi="Arial" w:cs="Arial"/>
          <w:color w:val="000000"/>
          <w:sz w:val="20"/>
          <w:szCs w:val="20"/>
        </w:rPr>
        <w:t>Additionally, we have substantial operations in the U.K., particularly in our land segment, an</w:t>
      </w:r>
      <w:r>
        <w:rPr>
          <w:rFonts w:ascii="Arial" w:eastAsia="Times New Roman" w:hAnsi="Arial" w:cs="Arial"/>
          <w:color w:val="000000"/>
          <w:sz w:val="20"/>
          <w:szCs w:val="20"/>
        </w:rPr>
        <w:t>d the U.K.’s exit from the E.U. in January 2020 (commonly referred to as “Brexit”) may adversely affect our business in the U.K. and the relationships with our existing and future customers, suppliers and other stakeholders. After an 11-month transition pe</w:t>
      </w:r>
      <w:r>
        <w:rPr>
          <w:rFonts w:ascii="Arial" w:eastAsia="Times New Roman" w:hAnsi="Arial" w:cs="Arial"/>
          <w:color w:val="000000"/>
          <w:sz w:val="20"/>
          <w:szCs w:val="20"/>
        </w:rPr>
        <w:t>riod, in December 2020, the U.K. and the E.U. announced a new bilateral trade and cooperation deal which has been applied provisionally since January 1, 2021 but is subject to formal approval by the European Parliament and the Council of the European Union</w:t>
      </w:r>
      <w:r>
        <w:rPr>
          <w:rFonts w:ascii="Arial" w:eastAsia="Times New Roman" w:hAnsi="Arial" w:cs="Arial"/>
          <w:color w:val="000000"/>
          <w:sz w:val="20"/>
          <w:szCs w:val="20"/>
        </w:rPr>
        <w:t xml:space="preserve"> before it comes into effect. However, we continue to face risks associated with the unavoidable uncertainties related to Brexit and the new relationship between the U.K. and E.U., including potential disruption of our supply chains and the free movement o</w:t>
      </w:r>
      <w:r>
        <w:rPr>
          <w:rFonts w:ascii="Arial" w:eastAsia="Times New Roman" w:hAnsi="Arial" w:cs="Arial"/>
          <w:color w:val="000000"/>
          <w:sz w:val="20"/>
          <w:szCs w:val="20"/>
        </w:rPr>
        <w:t>f goods, services and people between the U.K. and the E.U. In addition, Brexit could lead to legal uncertainty and potentially divergent national laws and regulations, including with respect to tax regulations and certain licenses or other rights granted t</w:t>
      </w:r>
      <w:r>
        <w:rPr>
          <w:rFonts w:ascii="Arial" w:eastAsia="Times New Roman" w:hAnsi="Arial" w:cs="Arial"/>
          <w:color w:val="000000"/>
          <w:sz w:val="20"/>
          <w:szCs w:val="20"/>
        </w:rPr>
        <w:t>o us under E.U. laws. Further, uncertainty around these and related issues could lead to adverse effects on the economy of the U.K. and the other economies in which we operate. There can be no assurance that any or all of these events will not have a mater</w:t>
      </w:r>
      <w:r>
        <w:rPr>
          <w:rFonts w:ascii="Arial" w:eastAsia="Times New Roman" w:hAnsi="Arial" w:cs="Arial"/>
          <w:color w:val="000000"/>
          <w:sz w:val="20"/>
          <w:szCs w:val="20"/>
        </w:rPr>
        <w:t>ial adverse effect on our business operations, results of operations and financial condition.</w:t>
      </w:r>
    </w:p>
    <w:p w14:paraId="27636ECF" w14:textId="77777777" w:rsidR="00000000" w:rsidRDefault="00C01C43">
      <w:pPr>
        <w:jc w:val="both"/>
        <w:rPr>
          <w:rFonts w:eastAsia="Times New Roman"/>
        </w:rPr>
      </w:pPr>
    </w:p>
    <w:p w14:paraId="2C9EBD10" w14:textId="77777777" w:rsidR="00000000" w:rsidRDefault="00C01C43">
      <w:pPr>
        <w:jc w:val="both"/>
        <w:rPr>
          <w:rFonts w:eastAsia="Times New Roman"/>
        </w:rPr>
      </w:pPr>
      <w:r>
        <w:rPr>
          <w:rFonts w:ascii="Arial" w:eastAsia="Times New Roman" w:hAnsi="Arial" w:cs="Arial"/>
          <w:b/>
          <w:bCs/>
          <w:color w:val="000000"/>
          <w:sz w:val="20"/>
          <w:szCs w:val="20"/>
        </w:rPr>
        <w:t>Our business is subject to seasonal variability, which has caused our revenues and operating results to fluctuate and can adversely affect the market price of o</w:t>
      </w:r>
      <w:r>
        <w:rPr>
          <w:rFonts w:ascii="Arial" w:eastAsia="Times New Roman" w:hAnsi="Arial" w:cs="Arial"/>
          <w:b/>
          <w:bCs/>
          <w:color w:val="000000"/>
          <w:sz w:val="20"/>
          <w:szCs w:val="20"/>
        </w:rPr>
        <w:t>ur shares.</w:t>
      </w:r>
    </w:p>
    <w:p w14:paraId="60C7DBB0" w14:textId="77777777" w:rsidR="00000000" w:rsidRDefault="00C01C43">
      <w:pPr>
        <w:jc w:val="both"/>
        <w:rPr>
          <w:rFonts w:eastAsia="Times New Roman"/>
        </w:rPr>
      </w:pPr>
      <w:r>
        <w:rPr>
          <w:rFonts w:ascii="Arial" w:eastAsia="Times New Roman" w:hAnsi="Arial" w:cs="Arial"/>
          <w:color w:val="000000"/>
          <w:sz w:val="20"/>
          <w:szCs w:val="20"/>
        </w:rPr>
        <w:t xml:space="preserve">Our operating results are subject to seasonal variability. Seasonality results from numerous factors, including traditionally higher demand for natural gas and home heating oil during the winter months and for aviation and land fuel relating to </w:t>
      </w:r>
      <w:r>
        <w:rPr>
          <w:rFonts w:ascii="Arial" w:eastAsia="Times New Roman" w:hAnsi="Arial" w:cs="Arial"/>
          <w:color w:val="000000"/>
          <w:sz w:val="20"/>
          <w:szCs w:val="20"/>
        </w:rPr>
        <w:t>increased travel during the summer months, as well as other seasonal weather patterns. As such, our results for the second and third quarters of the year tend to be the strongest for our aviation segment and our results for the fourth and first quarters of</w:t>
      </w:r>
      <w:r>
        <w:rPr>
          <w:rFonts w:ascii="Arial" w:eastAsia="Times New Roman" w:hAnsi="Arial" w:cs="Arial"/>
          <w:color w:val="000000"/>
          <w:sz w:val="20"/>
          <w:szCs w:val="20"/>
        </w:rPr>
        <w:t xml:space="preserve"> the year tend to be the strongest for our land segment. However, extreme or unseasonable weather conditions can substantially reduce the demand for our products and services or significantly increase the prices of the fuel products we sell which can, in t</w:t>
      </w:r>
      <w:r>
        <w:rPr>
          <w:rFonts w:ascii="Arial" w:eastAsia="Times New Roman" w:hAnsi="Arial" w:cs="Arial"/>
          <w:color w:val="000000"/>
          <w:sz w:val="20"/>
          <w:szCs w:val="20"/>
        </w:rPr>
        <w:t>urn, adversely impact our results of operations. For example, unseasonably warm winter weather in the U.S. and U.K. in recent years has adversely impacted our results in the land segment. Furthermore, we cannot provide any assurances that the seasonal vari</w:t>
      </w:r>
      <w:r>
        <w:rPr>
          <w:rFonts w:ascii="Arial" w:eastAsia="Times New Roman" w:hAnsi="Arial" w:cs="Arial"/>
          <w:color w:val="000000"/>
          <w:sz w:val="20"/>
          <w:szCs w:val="20"/>
        </w:rPr>
        <w:t>ability will continue in future periods. Accordingly, results for any one quarter may not necessarily be indicative of the results that may be achieved for such quarter the following year or for the full fiscal year. These seasonal fluctuations in our quar</w:t>
      </w:r>
      <w:r>
        <w:rPr>
          <w:rFonts w:ascii="Arial" w:eastAsia="Times New Roman" w:hAnsi="Arial" w:cs="Arial"/>
          <w:color w:val="000000"/>
          <w:sz w:val="20"/>
          <w:szCs w:val="20"/>
        </w:rPr>
        <w:t>terly operating results can therefore adversely affect the market price of our shares.</w:t>
      </w:r>
    </w:p>
    <w:p w14:paraId="6E43D6B6" w14:textId="77777777" w:rsidR="00000000" w:rsidRDefault="00C01C43">
      <w:pPr>
        <w:jc w:val="both"/>
        <w:rPr>
          <w:rFonts w:eastAsia="Times New Roman"/>
        </w:rPr>
      </w:pPr>
    </w:p>
    <w:p w14:paraId="3B90F3E9" w14:textId="77777777" w:rsidR="00000000" w:rsidRDefault="00C01C43">
      <w:pPr>
        <w:jc w:val="both"/>
        <w:rPr>
          <w:rFonts w:eastAsia="Times New Roman"/>
        </w:rPr>
      </w:pPr>
      <w:r>
        <w:rPr>
          <w:rFonts w:ascii="Arial" w:eastAsia="Times New Roman" w:hAnsi="Arial" w:cs="Arial"/>
          <w:b/>
          <w:bCs/>
          <w:color w:val="000000"/>
          <w:sz w:val="20"/>
          <w:szCs w:val="20"/>
        </w:rPr>
        <w:t>A material impairment of our goodwill or intangible assets could reduce our earnings or adversely impact our results of operations.</w:t>
      </w:r>
    </w:p>
    <w:p w14:paraId="42EA0BC9" w14:textId="77777777" w:rsidR="00000000" w:rsidRDefault="00C01C43">
      <w:pPr>
        <w:jc w:val="both"/>
        <w:rPr>
          <w:rFonts w:eastAsia="Times New Roman"/>
        </w:rPr>
      </w:pPr>
      <w:r>
        <w:rPr>
          <w:rFonts w:ascii="Arial" w:eastAsia="Times New Roman" w:hAnsi="Arial" w:cs="Arial"/>
          <w:color w:val="000000"/>
          <w:sz w:val="20"/>
          <w:szCs w:val="20"/>
        </w:rPr>
        <w:t>When we acquire a business, a substantial portion of the purchase price of the acquisition may be allocated to goodwill and other identifiable intangible assets. Factors that could affect whether goodwill or intangible assets may be impaired include a decl</w:t>
      </w:r>
      <w:r>
        <w:rPr>
          <w:rFonts w:ascii="Arial" w:eastAsia="Times New Roman" w:hAnsi="Arial" w:cs="Arial"/>
          <w:color w:val="000000"/>
          <w:sz w:val="20"/>
          <w:szCs w:val="20"/>
        </w:rPr>
        <w:t xml:space="preserve">ine in our stock price or market capitalization, changes in our marketing or branding strategy, reduced estimates of future cash flows in our annual operating plan and slower growth rates in our industry. Our valuation methodology for assessing impairment </w:t>
      </w:r>
      <w:r>
        <w:rPr>
          <w:rFonts w:ascii="Arial" w:eastAsia="Times New Roman" w:hAnsi="Arial" w:cs="Arial"/>
          <w:color w:val="000000"/>
          <w:sz w:val="20"/>
          <w:szCs w:val="20"/>
        </w:rPr>
        <w:t>requires us to make judgments and assumptions based on a number of factors including industry experience, the economic environment and our projections of future operating performance. If our estimates and assumptions prove to be incorrect, there is the pot</w:t>
      </w:r>
      <w:r>
        <w:rPr>
          <w:rFonts w:ascii="Arial" w:eastAsia="Times New Roman" w:hAnsi="Arial" w:cs="Arial"/>
          <w:color w:val="000000"/>
          <w:sz w:val="20"/>
          <w:szCs w:val="20"/>
        </w:rPr>
        <w:t>ential for a partial or total impairment of the carrying amount of goodwill within one or more of our reporting units.</w:t>
      </w:r>
    </w:p>
    <w:p w14:paraId="27D2E534" w14:textId="77777777" w:rsidR="00000000" w:rsidRDefault="00C01C43">
      <w:pPr>
        <w:jc w:val="both"/>
        <w:rPr>
          <w:rFonts w:eastAsia="Times New Roman"/>
        </w:rPr>
      </w:pPr>
    </w:p>
    <w:p w14:paraId="60AFC4CB" w14:textId="77777777" w:rsidR="00000000" w:rsidRDefault="00C01C43">
      <w:pPr>
        <w:jc w:val="both"/>
        <w:rPr>
          <w:rFonts w:eastAsia="Times New Roman"/>
        </w:rPr>
      </w:pPr>
      <w:r>
        <w:rPr>
          <w:rFonts w:ascii="Arial" w:eastAsia="Times New Roman" w:hAnsi="Arial" w:cs="Arial"/>
          <w:color w:val="000000"/>
          <w:sz w:val="20"/>
          <w:szCs w:val="20"/>
        </w:rPr>
        <w:t>In the past, we have recorded impairment charges in connection with various factors such as exiting certain markets or lines of busines</w:t>
      </w:r>
      <w:r>
        <w:rPr>
          <w:rFonts w:ascii="Arial" w:eastAsia="Times New Roman" w:hAnsi="Arial" w:cs="Arial"/>
          <w:color w:val="000000"/>
          <w:sz w:val="20"/>
          <w:szCs w:val="20"/>
        </w:rPr>
        <w:t>s. Due to continual changes in market and general business conditions, we cannot predict whether, and to what extent, our goodwill and long-lived intangible assets may be impaired in future periods. Any resulting impairment loss would have a negative effec</w:t>
      </w:r>
      <w:r>
        <w:rPr>
          <w:rFonts w:ascii="Arial" w:eastAsia="Times New Roman" w:hAnsi="Arial" w:cs="Arial"/>
          <w:color w:val="000000"/>
          <w:sz w:val="20"/>
          <w:szCs w:val="20"/>
        </w:rPr>
        <w:t>t on our results of operations. See Note 7. "Goodwill and Identifiable Intangible Assets" within "Part IV. Item 15. Notes to the Consolidated Financial Statements" for more information.</w:t>
      </w:r>
    </w:p>
    <w:p w14:paraId="521D95D5" w14:textId="77777777" w:rsidR="00000000" w:rsidRDefault="00C01C43">
      <w:pPr>
        <w:jc w:val="both"/>
        <w:rPr>
          <w:rFonts w:eastAsia="Times New Roman"/>
        </w:rPr>
      </w:pPr>
    </w:p>
    <w:p w14:paraId="5409F068" w14:textId="77777777" w:rsidR="00000000" w:rsidRDefault="00C01C43">
      <w:pPr>
        <w:jc w:val="both"/>
        <w:rPr>
          <w:rFonts w:eastAsia="Times New Roman"/>
        </w:rPr>
      </w:pPr>
      <w:r>
        <w:rPr>
          <w:rFonts w:ascii="Arial" w:eastAsia="Times New Roman" w:hAnsi="Arial" w:cs="Arial"/>
          <w:b/>
          <w:bCs/>
          <w:color w:val="000000"/>
          <w:sz w:val="20"/>
          <w:szCs w:val="20"/>
        </w:rPr>
        <w:t>We may be unable to realize the level of benefit that we expect from</w:t>
      </w:r>
      <w:r>
        <w:rPr>
          <w:rFonts w:ascii="Arial" w:eastAsia="Times New Roman" w:hAnsi="Arial" w:cs="Arial"/>
          <w:b/>
          <w:bCs/>
          <w:color w:val="000000"/>
          <w:sz w:val="20"/>
          <w:szCs w:val="20"/>
        </w:rPr>
        <w:t xml:space="preserve"> our restructuring activities and cost reduction initiatives which may hurt our profitability and our business otherwise might be adversely affected.</w:t>
      </w:r>
    </w:p>
    <w:p w14:paraId="1C58B26E" w14:textId="77777777" w:rsidR="00000000" w:rsidRDefault="00C01C43">
      <w:pPr>
        <w:jc w:val="both"/>
        <w:rPr>
          <w:rFonts w:eastAsia="Times New Roman"/>
        </w:rPr>
      </w:pPr>
      <w:r>
        <w:rPr>
          <w:rFonts w:ascii="Arial" w:eastAsia="Times New Roman" w:hAnsi="Arial" w:cs="Arial"/>
          <w:color w:val="000000"/>
          <w:sz w:val="20"/>
          <w:szCs w:val="20"/>
        </w:rPr>
        <w:t>We have in the past and may, in the future, divest of certain non-core assets, exit lines of businesses th</w:t>
      </w:r>
      <w:r>
        <w:rPr>
          <w:rFonts w:ascii="Arial" w:eastAsia="Times New Roman" w:hAnsi="Arial" w:cs="Arial"/>
          <w:color w:val="000000"/>
          <w:sz w:val="20"/>
          <w:szCs w:val="20"/>
        </w:rPr>
        <w:t>at are not achieving the desired return on investment or generate low or highly variable economic value, or otherwise restructure certain of our operations to improve operating efficiencies, cost competitiveness and profitability. We have also engaged in v</w:t>
      </w:r>
      <w:r>
        <w:rPr>
          <w:rFonts w:ascii="Arial" w:eastAsia="Times New Roman" w:hAnsi="Arial" w:cs="Arial"/>
          <w:color w:val="000000"/>
          <w:sz w:val="20"/>
          <w:szCs w:val="20"/>
        </w:rPr>
        <w:t>arious cost reduction initiatives and restructuring activities in recent years and expect to continue to evaluate areas for additional restructuring and cost reduction opportunities, as well as potential divestitures. We may not be able to achieve the leve</w:t>
      </w:r>
      <w:r>
        <w:rPr>
          <w:rFonts w:ascii="Arial" w:eastAsia="Times New Roman" w:hAnsi="Arial" w:cs="Arial"/>
          <w:color w:val="000000"/>
          <w:sz w:val="20"/>
          <w:szCs w:val="20"/>
        </w:rPr>
        <w:t>l of benefit that we expect to realize from our past or future restructuring activities or divestitures. For example, we may be unable to produce returns on the reinvestment of proceeds that are greater than that of the divested activity. Further, these ty</w:t>
      </w:r>
      <w:r>
        <w:rPr>
          <w:rFonts w:ascii="Arial" w:eastAsia="Times New Roman" w:hAnsi="Arial" w:cs="Arial"/>
          <w:color w:val="000000"/>
          <w:sz w:val="20"/>
          <w:szCs w:val="20"/>
        </w:rPr>
        <w:t xml:space="preserve">pes of restructuring activities could result </w:t>
      </w:r>
    </w:p>
    <w:p w14:paraId="11C1E7FA" w14:textId="77777777" w:rsidR="00000000" w:rsidRDefault="00C01C43">
      <w:pPr>
        <w:jc w:val="center"/>
        <w:divId w:val="185413564"/>
        <w:rPr>
          <w:rFonts w:eastAsia="Times New Roman"/>
        </w:rPr>
      </w:pPr>
      <w:r>
        <w:rPr>
          <w:rFonts w:ascii="Arial" w:eastAsia="Times New Roman" w:hAnsi="Arial" w:cs="Arial"/>
          <w:color w:val="000000"/>
          <w:sz w:val="16"/>
          <w:szCs w:val="16"/>
        </w:rPr>
        <w:t>16</w:t>
      </w:r>
    </w:p>
    <w:p w14:paraId="56ED1645" w14:textId="77777777" w:rsidR="00000000" w:rsidRDefault="00C01C43">
      <w:pPr>
        <w:rPr>
          <w:rFonts w:eastAsia="Times New Roman"/>
        </w:rPr>
      </w:pPr>
      <w:r>
        <w:rPr>
          <w:rFonts w:eastAsia="Times New Roman"/>
        </w:rPr>
        <w:pict w14:anchorId="4503961E">
          <v:rect id="_x0000_i1044" style="width:0;height:1.5pt" o:hralign="center" o:hrstd="t" o:hr="t" fillcolor="#a0a0a0" stroked="f"/>
        </w:pict>
      </w:r>
    </w:p>
    <w:p w14:paraId="607C3499" w14:textId="77777777" w:rsidR="00000000" w:rsidRDefault="00C01C43">
      <w:pPr>
        <w:divId w:val="6251286"/>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7FAC221" w14:textId="77777777" w:rsidR="00000000" w:rsidRDefault="00C01C43">
      <w:pPr>
        <w:jc w:val="both"/>
        <w:rPr>
          <w:rFonts w:eastAsia="Times New Roman"/>
        </w:rPr>
      </w:pPr>
      <w:r>
        <w:rPr>
          <w:rFonts w:ascii="Arial" w:eastAsia="Times New Roman" w:hAnsi="Arial" w:cs="Arial"/>
          <w:color w:val="000000"/>
          <w:sz w:val="20"/>
          <w:szCs w:val="20"/>
        </w:rPr>
        <w:t>in unintended consequences such as diversion of our management and employees’ attention from ongoing business operations, business disruption, including as a result of any interconnectivity between our retained business and the one divested, attrition beyo</w:t>
      </w:r>
      <w:r>
        <w:rPr>
          <w:rFonts w:ascii="Arial" w:eastAsia="Times New Roman" w:hAnsi="Arial" w:cs="Arial"/>
          <w:color w:val="000000"/>
          <w:sz w:val="20"/>
          <w:szCs w:val="20"/>
        </w:rPr>
        <w:t xml:space="preserve">nd any planned reduction in workforce, potential loss of key customers, inability to attract or retain key personnel and reduced employee productivity or morale, which could adversely affect our business. Finally, restructuring activities and divestitures </w:t>
      </w:r>
      <w:r>
        <w:rPr>
          <w:rFonts w:ascii="Arial" w:eastAsia="Times New Roman" w:hAnsi="Arial" w:cs="Arial"/>
          <w:color w:val="000000"/>
          <w:sz w:val="20"/>
          <w:szCs w:val="20"/>
        </w:rPr>
        <w:t>may result in restructuring charges and material write-offs, including those related to goodwill and other intangible assets, as well as ongoing indemnity obligations to purchasers, any of which could have a material adverse effect on our results of operat</w:t>
      </w:r>
      <w:r>
        <w:rPr>
          <w:rFonts w:ascii="Arial" w:eastAsia="Times New Roman" w:hAnsi="Arial" w:cs="Arial"/>
          <w:color w:val="000000"/>
          <w:sz w:val="20"/>
          <w:szCs w:val="20"/>
        </w:rPr>
        <w:t>ions and financial condition.</w:t>
      </w:r>
    </w:p>
    <w:p w14:paraId="09F618B9" w14:textId="77777777" w:rsidR="00000000" w:rsidRDefault="00C01C43">
      <w:pPr>
        <w:jc w:val="both"/>
        <w:rPr>
          <w:rFonts w:eastAsia="Times New Roman"/>
        </w:rPr>
      </w:pPr>
    </w:p>
    <w:p w14:paraId="411F358B" w14:textId="77777777" w:rsidR="00000000" w:rsidRDefault="00C01C43">
      <w:pPr>
        <w:jc w:val="both"/>
        <w:rPr>
          <w:rFonts w:eastAsia="Times New Roman"/>
        </w:rPr>
      </w:pPr>
      <w:r>
        <w:rPr>
          <w:rFonts w:ascii="Arial" w:eastAsia="Times New Roman" w:hAnsi="Arial" w:cs="Arial"/>
          <w:b/>
          <w:bCs/>
          <w:color w:val="000000"/>
          <w:sz w:val="20"/>
          <w:szCs w:val="20"/>
        </w:rPr>
        <w:t>We face intense competition and, if we are not able to effectively compete in our markets, our revenues and profits may decrease.</w:t>
      </w:r>
      <w:r>
        <w:rPr>
          <w:rFonts w:ascii="Arial" w:eastAsia="Times New Roman" w:hAnsi="Arial" w:cs="Arial"/>
          <w:color w:val="000000"/>
          <w:sz w:val="20"/>
          <w:szCs w:val="20"/>
        </w:rPr>
        <w:t xml:space="preserve"> </w:t>
      </w:r>
    </w:p>
    <w:p w14:paraId="6555E225" w14:textId="77777777" w:rsidR="00000000" w:rsidRDefault="00C01C43">
      <w:pPr>
        <w:jc w:val="both"/>
        <w:rPr>
          <w:rFonts w:eastAsia="Times New Roman"/>
        </w:rPr>
      </w:pPr>
      <w:r>
        <w:rPr>
          <w:rFonts w:ascii="Arial" w:eastAsia="Times New Roman" w:hAnsi="Arial" w:cs="Arial"/>
          <w:color w:val="000000"/>
          <w:sz w:val="20"/>
          <w:szCs w:val="20"/>
        </w:rPr>
        <w:t>Competitive pressures in our markets could adversely affect our competitive position, leading</w:t>
      </w:r>
      <w:r>
        <w:rPr>
          <w:rFonts w:ascii="Arial" w:eastAsia="Times New Roman" w:hAnsi="Arial" w:cs="Arial"/>
          <w:color w:val="000000"/>
          <w:sz w:val="20"/>
          <w:szCs w:val="20"/>
        </w:rPr>
        <w:t xml:space="preserve"> to a possible loss of market share or a decrease in prices, either of which could result in decreased revenues and profits. Our competitors are numerous, ranging from large multinational corporations, which have significantly greater capital resources tha</w:t>
      </w:r>
      <w:r>
        <w:rPr>
          <w:rFonts w:ascii="Arial" w:eastAsia="Times New Roman" w:hAnsi="Arial" w:cs="Arial"/>
          <w:color w:val="000000"/>
          <w:sz w:val="20"/>
          <w:szCs w:val="20"/>
        </w:rPr>
        <w:t>n we do, to relatively small and specialized firms. Industry developments, such as fuel price transparency, procurement technology tools, increased regulation and increasing customer sophistication may, over time, reduce demand for our services and thereby</w:t>
      </w:r>
      <w:r>
        <w:rPr>
          <w:rFonts w:ascii="Arial" w:eastAsia="Times New Roman" w:hAnsi="Arial" w:cs="Arial"/>
          <w:color w:val="000000"/>
          <w:sz w:val="20"/>
          <w:szCs w:val="20"/>
        </w:rPr>
        <w:t xml:space="preserve"> exacerbate the risks associated with competition. In addition, we rely on a single or limited number of suppliers for the provision of fuel and related products and services in certain markets. These parties may have significant negotiating leverage over </w:t>
      </w:r>
      <w:r>
        <w:rPr>
          <w:rFonts w:ascii="Arial" w:eastAsia="Times New Roman" w:hAnsi="Arial" w:cs="Arial"/>
          <w:color w:val="000000"/>
          <w:sz w:val="20"/>
          <w:szCs w:val="20"/>
        </w:rPr>
        <w:t>us, and if they are unable or unwilling to supply us on commercially reasonable terms, our business would be adversely affected.</w:t>
      </w:r>
    </w:p>
    <w:p w14:paraId="2AD19EAD" w14:textId="77777777" w:rsidR="00000000" w:rsidRDefault="00C01C43">
      <w:pPr>
        <w:jc w:val="both"/>
        <w:rPr>
          <w:rFonts w:eastAsia="Times New Roman"/>
        </w:rPr>
      </w:pPr>
    </w:p>
    <w:p w14:paraId="46C128A4" w14:textId="77777777" w:rsidR="00000000" w:rsidRDefault="00C01C43">
      <w:pPr>
        <w:jc w:val="both"/>
        <w:rPr>
          <w:rFonts w:eastAsia="Times New Roman"/>
        </w:rPr>
      </w:pPr>
      <w:r>
        <w:rPr>
          <w:rFonts w:ascii="Arial" w:eastAsia="Times New Roman" w:hAnsi="Arial" w:cs="Arial"/>
          <w:color w:val="000000"/>
          <w:sz w:val="20"/>
          <w:szCs w:val="20"/>
        </w:rPr>
        <w:t>In addition to competing with resellers, we also compete with the major oil producers that market fuel and other energy produ</w:t>
      </w:r>
      <w:r>
        <w:rPr>
          <w:rFonts w:ascii="Arial" w:eastAsia="Times New Roman" w:hAnsi="Arial" w:cs="Arial"/>
          <w:color w:val="000000"/>
          <w:sz w:val="20"/>
          <w:szCs w:val="20"/>
        </w:rPr>
        <w:t xml:space="preserve">cts directly to the large commercial airlines, shipping companies and commercial and industrial users. In recent years, a low fuel price environment has caused many major oil companies to remain in or re-enter the downstream markets. Our business could be </w:t>
      </w:r>
      <w:r>
        <w:rPr>
          <w:rFonts w:ascii="Arial" w:eastAsia="Times New Roman" w:hAnsi="Arial" w:cs="Arial"/>
          <w:color w:val="000000"/>
          <w:sz w:val="20"/>
          <w:szCs w:val="20"/>
        </w:rPr>
        <w:t>adversely affected and subject to the risk of disintermediation if our suppliers choose to increase their direct marketing to compete with us or provide less advantageous price and credit terms to us than to our fuel reseller competitors.</w:t>
      </w:r>
    </w:p>
    <w:p w14:paraId="7B40F497" w14:textId="77777777" w:rsidR="00000000" w:rsidRDefault="00C01C43">
      <w:pPr>
        <w:jc w:val="both"/>
        <w:rPr>
          <w:rFonts w:eastAsia="Times New Roman"/>
        </w:rPr>
      </w:pPr>
    </w:p>
    <w:p w14:paraId="05F43CF8" w14:textId="77777777" w:rsidR="00000000" w:rsidRDefault="00C01C43">
      <w:pPr>
        <w:jc w:val="both"/>
        <w:rPr>
          <w:rFonts w:eastAsia="Times New Roman"/>
        </w:rPr>
      </w:pPr>
      <w:r>
        <w:rPr>
          <w:rFonts w:ascii="Arial" w:eastAsia="Times New Roman" w:hAnsi="Arial" w:cs="Arial"/>
          <w:b/>
          <w:bCs/>
          <w:color w:val="000000"/>
          <w:sz w:val="20"/>
          <w:szCs w:val="20"/>
        </w:rPr>
        <w:t>Our business is</w:t>
      </w:r>
      <w:r>
        <w:rPr>
          <w:rFonts w:ascii="Arial" w:eastAsia="Times New Roman" w:hAnsi="Arial" w:cs="Arial"/>
          <w:b/>
          <w:bCs/>
          <w:color w:val="000000"/>
          <w:sz w:val="20"/>
          <w:szCs w:val="20"/>
        </w:rPr>
        <w:t xml:space="preserve"> dependent on our ability to adequately finance our capital requirements and fund our investments, which, if not available to us, would impact our ability to conduct our operations.</w:t>
      </w:r>
    </w:p>
    <w:p w14:paraId="05D3B02B" w14:textId="77777777" w:rsidR="00000000" w:rsidRDefault="00C01C43">
      <w:pPr>
        <w:jc w:val="both"/>
        <w:rPr>
          <w:rFonts w:eastAsia="Times New Roman"/>
        </w:rPr>
      </w:pPr>
      <w:r>
        <w:rPr>
          <w:rFonts w:ascii="Arial" w:eastAsia="Times New Roman" w:hAnsi="Arial" w:cs="Arial"/>
          <w:color w:val="000000"/>
          <w:sz w:val="20"/>
          <w:szCs w:val="20"/>
        </w:rPr>
        <w:t xml:space="preserve">We rely on credit arrangements with banks, suppliers and other parties as </w:t>
      </w:r>
      <w:r>
        <w:rPr>
          <w:rFonts w:ascii="Arial" w:eastAsia="Times New Roman" w:hAnsi="Arial" w:cs="Arial"/>
          <w:color w:val="000000"/>
          <w:sz w:val="20"/>
          <w:szCs w:val="20"/>
        </w:rPr>
        <w:t xml:space="preserve">an important source of liquidity for capital requirements not satisfied by our operating cash flow. Future market volatility, generally, and persistent weakness in global energy markets may adversely affect our ability to access capital and credit markets </w:t>
      </w:r>
      <w:r>
        <w:rPr>
          <w:rFonts w:ascii="Arial" w:eastAsia="Times New Roman" w:hAnsi="Arial" w:cs="Arial"/>
          <w:color w:val="000000"/>
          <w:sz w:val="20"/>
          <w:szCs w:val="20"/>
        </w:rPr>
        <w:t>or to obtain funds at low interest rates or on other advantageous terms. If we are unable to obtain credit on acceptable terms or at all, such as in the event there is a substantial tightening of the global credit markets or a substantial increase in inter</w:t>
      </w:r>
      <w:r>
        <w:rPr>
          <w:rFonts w:ascii="Arial" w:eastAsia="Times New Roman" w:hAnsi="Arial" w:cs="Arial"/>
          <w:color w:val="000000"/>
          <w:sz w:val="20"/>
          <w:szCs w:val="20"/>
        </w:rPr>
        <w:t>est rates, it could have a negative impact on our liquidity, business, financial condition, and cash flows, as well as our future development and growth. In addition, if we are unable to obtain debt or other forms of financing and instead raise capital thr</w:t>
      </w:r>
      <w:r>
        <w:rPr>
          <w:rFonts w:ascii="Arial" w:eastAsia="Times New Roman" w:hAnsi="Arial" w:cs="Arial"/>
          <w:color w:val="000000"/>
          <w:sz w:val="20"/>
          <w:szCs w:val="20"/>
        </w:rPr>
        <w:t>ough equity issuance, existing shareholders would be diluted.</w:t>
      </w:r>
    </w:p>
    <w:p w14:paraId="251A0C55" w14:textId="77777777" w:rsidR="00000000" w:rsidRDefault="00C01C43">
      <w:pPr>
        <w:jc w:val="both"/>
        <w:rPr>
          <w:rFonts w:eastAsia="Times New Roman"/>
        </w:rPr>
      </w:pPr>
    </w:p>
    <w:p w14:paraId="7357E0E2" w14:textId="77777777" w:rsidR="00000000" w:rsidRDefault="00C01C43">
      <w:pPr>
        <w:jc w:val="both"/>
        <w:rPr>
          <w:rFonts w:eastAsia="Times New Roman"/>
        </w:rPr>
      </w:pPr>
      <w:r>
        <w:rPr>
          <w:rFonts w:ascii="Arial" w:eastAsia="Times New Roman" w:hAnsi="Arial" w:cs="Arial"/>
          <w:color w:val="000000"/>
          <w:sz w:val="20"/>
          <w:szCs w:val="20"/>
        </w:rPr>
        <w:t>Our business is also impacted by the availability of trade credit to fund fuel purchases and an actual or perceived decline in our liquidity or business could cause our suppliers to reduce our</w:t>
      </w:r>
      <w:r>
        <w:rPr>
          <w:rFonts w:ascii="Arial" w:eastAsia="Times New Roman" w:hAnsi="Arial" w:cs="Arial"/>
          <w:color w:val="000000"/>
          <w:sz w:val="20"/>
          <w:szCs w:val="20"/>
        </w:rPr>
        <w:t xml:space="preserve"> credit lines, seek credit support in the form of additional collateral or otherwise materially modify their payment terms. Adverse changes in our payment terms from principal suppliers, including shortened payment cycles or requiring prepayment, could imp</w:t>
      </w:r>
      <w:r>
        <w:rPr>
          <w:rFonts w:ascii="Arial" w:eastAsia="Times New Roman" w:hAnsi="Arial" w:cs="Arial"/>
          <w:color w:val="000000"/>
          <w:sz w:val="20"/>
          <w:szCs w:val="20"/>
        </w:rPr>
        <w:t>act our liquidity, business, results of operations and cash flows.</w:t>
      </w:r>
    </w:p>
    <w:p w14:paraId="0D5B2D4C" w14:textId="77777777" w:rsidR="00000000" w:rsidRDefault="00C01C43">
      <w:pPr>
        <w:jc w:val="both"/>
        <w:rPr>
          <w:rFonts w:eastAsia="Times New Roman"/>
        </w:rPr>
      </w:pPr>
    </w:p>
    <w:p w14:paraId="7DE5855C" w14:textId="77777777" w:rsidR="00000000" w:rsidRDefault="00C01C43">
      <w:pPr>
        <w:jc w:val="both"/>
        <w:rPr>
          <w:rFonts w:eastAsia="Times New Roman"/>
        </w:rPr>
      </w:pPr>
      <w:r>
        <w:rPr>
          <w:rFonts w:ascii="Arial" w:eastAsia="Times New Roman" w:hAnsi="Arial" w:cs="Arial"/>
          <w:color w:val="000000"/>
          <w:sz w:val="20"/>
          <w:szCs w:val="20"/>
        </w:rPr>
        <w:t xml:space="preserve">Finally, our Credit Facility and Term Loans impose certain operating and financial covenants on us, which, among other things, restrict our ability to pay dividends or make certain other </w:t>
      </w:r>
      <w:r>
        <w:rPr>
          <w:rFonts w:ascii="Arial" w:eastAsia="Times New Roman" w:hAnsi="Arial" w:cs="Arial"/>
          <w:color w:val="000000"/>
          <w:sz w:val="20"/>
          <w:szCs w:val="20"/>
        </w:rPr>
        <w:t>restricted payments, incur additional debt, create liens and sell a material amount of assets. Our failure or inability to comply with the requirements of these facilities, including meeting certain financial ratios or other covenants, could limit the avai</w:t>
      </w:r>
      <w:r>
        <w:rPr>
          <w:rFonts w:ascii="Arial" w:eastAsia="Times New Roman" w:hAnsi="Arial" w:cs="Arial"/>
          <w:color w:val="000000"/>
          <w:sz w:val="20"/>
          <w:szCs w:val="20"/>
        </w:rPr>
        <w:t>lability under our Credit Facility or result in an event of default. An event of default, if not cured or waived, would permit acceleration of any outstanding indebtedness under these facilities, could trigger cross-defaults under other agreements to which</w:t>
      </w:r>
      <w:r>
        <w:rPr>
          <w:rFonts w:ascii="Arial" w:eastAsia="Times New Roman" w:hAnsi="Arial" w:cs="Arial"/>
          <w:color w:val="000000"/>
          <w:sz w:val="20"/>
          <w:szCs w:val="20"/>
        </w:rPr>
        <w:t xml:space="preserve"> we are a party (such as certain derivative contracts), and would impair our ability to obtain working capital advances and letters of credit, any of which could have a material adverse effect on our business, financial condition, results of operations and</w:t>
      </w:r>
      <w:r>
        <w:rPr>
          <w:rFonts w:ascii="Arial" w:eastAsia="Times New Roman" w:hAnsi="Arial" w:cs="Arial"/>
          <w:color w:val="000000"/>
          <w:sz w:val="20"/>
          <w:szCs w:val="20"/>
        </w:rPr>
        <w:t xml:space="preserve"> cash flows.</w:t>
      </w:r>
    </w:p>
    <w:p w14:paraId="693A28EF" w14:textId="77777777" w:rsidR="00000000" w:rsidRDefault="00C01C43">
      <w:pPr>
        <w:jc w:val="both"/>
        <w:rPr>
          <w:rFonts w:eastAsia="Times New Roman"/>
        </w:rPr>
      </w:pPr>
    </w:p>
    <w:p w14:paraId="7741453E" w14:textId="77777777" w:rsidR="00000000" w:rsidRDefault="00C01C43">
      <w:pPr>
        <w:jc w:val="both"/>
        <w:rPr>
          <w:rFonts w:eastAsia="Times New Roman"/>
        </w:rPr>
      </w:pPr>
    </w:p>
    <w:p w14:paraId="1E0A555C" w14:textId="77777777" w:rsidR="00000000" w:rsidRDefault="00C01C43">
      <w:pPr>
        <w:jc w:val="center"/>
        <w:divId w:val="2118716228"/>
        <w:rPr>
          <w:rFonts w:eastAsia="Times New Roman"/>
        </w:rPr>
      </w:pPr>
      <w:r>
        <w:rPr>
          <w:rFonts w:ascii="Arial" w:eastAsia="Times New Roman" w:hAnsi="Arial" w:cs="Arial"/>
          <w:color w:val="000000"/>
          <w:sz w:val="16"/>
          <w:szCs w:val="16"/>
        </w:rPr>
        <w:t>17</w:t>
      </w:r>
    </w:p>
    <w:p w14:paraId="0D796B63" w14:textId="77777777" w:rsidR="00000000" w:rsidRDefault="00C01C43">
      <w:pPr>
        <w:rPr>
          <w:rFonts w:eastAsia="Times New Roman"/>
        </w:rPr>
      </w:pPr>
      <w:r>
        <w:rPr>
          <w:rFonts w:eastAsia="Times New Roman"/>
        </w:rPr>
        <w:pict w14:anchorId="35A2E4E6">
          <v:rect id="_x0000_i1045" style="width:0;height:1.5pt" o:hralign="center" o:hrstd="t" o:hr="t" fillcolor="#a0a0a0" stroked="f"/>
        </w:pict>
      </w:r>
    </w:p>
    <w:p w14:paraId="06197AF4" w14:textId="77777777" w:rsidR="00000000" w:rsidRDefault="00C01C43">
      <w:pPr>
        <w:divId w:val="2128961098"/>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A8E88C8" w14:textId="77777777" w:rsidR="00000000" w:rsidRDefault="00C01C43">
      <w:pPr>
        <w:jc w:val="both"/>
        <w:rPr>
          <w:rFonts w:eastAsia="Times New Roman"/>
        </w:rPr>
      </w:pPr>
      <w:r>
        <w:rPr>
          <w:rFonts w:ascii="Arial" w:eastAsia="Times New Roman" w:hAnsi="Arial" w:cs="Arial"/>
          <w:b/>
          <w:bCs/>
          <w:color w:val="000000"/>
          <w:sz w:val="20"/>
          <w:szCs w:val="20"/>
        </w:rPr>
        <w:t>Our derivative transactions with customers, suppliers, merchants and financial institutions expose us to price and credit ri</w:t>
      </w:r>
      <w:r>
        <w:rPr>
          <w:rFonts w:ascii="Arial" w:eastAsia="Times New Roman" w:hAnsi="Arial" w:cs="Arial"/>
          <w:b/>
          <w:bCs/>
          <w:color w:val="000000"/>
          <w:sz w:val="20"/>
          <w:szCs w:val="20"/>
        </w:rPr>
        <w:t>sks, which could have a material adverse effect on our business.</w:t>
      </w:r>
    </w:p>
    <w:p w14:paraId="69222597" w14:textId="77777777" w:rsidR="00000000" w:rsidRDefault="00C01C43">
      <w:pPr>
        <w:jc w:val="both"/>
        <w:rPr>
          <w:rFonts w:eastAsia="Times New Roman"/>
        </w:rPr>
      </w:pPr>
      <w:r>
        <w:rPr>
          <w:rFonts w:ascii="Arial" w:eastAsia="Times New Roman" w:hAnsi="Arial" w:cs="Arial"/>
          <w:color w:val="000000"/>
          <w:sz w:val="20"/>
          <w:szCs w:val="20"/>
        </w:rPr>
        <w:t xml:space="preserve">As part of our price risk management services, we offer customers various pricing structures for the purchase of energy products, including derivatives products designed to hedge exposure to </w:t>
      </w:r>
      <w:r>
        <w:rPr>
          <w:rFonts w:ascii="Arial" w:eastAsia="Times New Roman" w:hAnsi="Arial" w:cs="Arial"/>
          <w:color w:val="000000"/>
          <w:sz w:val="20"/>
          <w:szCs w:val="20"/>
        </w:rPr>
        <w:t>fluctuations in energy prices. In the ordinary course of business, we enter into fixed forward contracts with some of our counterparties under which we agree to sell or purchase certain volumes of energy products at fixed prices. In addition, we may act as</w:t>
      </w:r>
      <w:r>
        <w:rPr>
          <w:rFonts w:ascii="Arial" w:eastAsia="Times New Roman" w:hAnsi="Arial" w:cs="Arial"/>
          <w:color w:val="000000"/>
          <w:sz w:val="20"/>
          <w:szCs w:val="20"/>
        </w:rPr>
        <w:t xml:space="preserve"> a counterparty in over-the-counter swap transactions with some of our customers where the customer may be required to pay us in connection with changes in the price of the underlying energy product. Further, we may use derivatives to hedge price risks ass</w:t>
      </w:r>
      <w:r>
        <w:rPr>
          <w:rFonts w:ascii="Arial" w:eastAsia="Times New Roman" w:hAnsi="Arial" w:cs="Arial"/>
          <w:color w:val="000000"/>
          <w:sz w:val="20"/>
          <w:szCs w:val="20"/>
        </w:rPr>
        <w:t>ociated with our fuel inventories and purchase and sale commitments. We typically hedge our price risk in any of the foregoing types of transactions by entering into derivative instruments with large energy companies, trading houses and financial instituti</w:t>
      </w:r>
      <w:r>
        <w:rPr>
          <w:rFonts w:ascii="Arial" w:eastAsia="Times New Roman" w:hAnsi="Arial" w:cs="Arial"/>
          <w:color w:val="000000"/>
          <w:sz w:val="20"/>
          <w:szCs w:val="20"/>
        </w:rPr>
        <w:t>ons.</w:t>
      </w:r>
    </w:p>
    <w:p w14:paraId="5E08EFE4" w14:textId="77777777" w:rsidR="00000000" w:rsidRDefault="00C01C43">
      <w:pPr>
        <w:jc w:val="both"/>
        <w:rPr>
          <w:rFonts w:eastAsia="Times New Roman"/>
        </w:rPr>
      </w:pPr>
    </w:p>
    <w:p w14:paraId="17E7D619" w14:textId="77777777" w:rsidR="00000000" w:rsidRDefault="00C01C43">
      <w:pPr>
        <w:jc w:val="both"/>
        <w:rPr>
          <w:rFonts w:eastAsia="Times New Roman"/>
        </w:rPr>
      </w:pPr>
      <w:r>
        <w:rPr>
          <w:rFonts w:ascii="Arial" w:eastAsia="Times New Roman" w:hAnsi="Arial" w:cs="Arial"/>
          <w:color w:val="000000"/>
          <w:sz w:val="20"/>
          <w:szCs w:val="20"/>
        </w:rPr>
        <w:t>If we have not required a customer to post collateral in connection with a fixed forward contract or swap transaction and there is an outstanding mark-to-market liability owing, we will have effectively extended unsecured credit to that customer and such a</w:t>
      </w:r>
      <w:r>
        <w:rPr>
          <w:rFonts w:ascii="Arial" w:eastAsia="Times New Roman" w:hAnsi="Arial" w:cs="Arial"/>
          <w:color w:val="000000"/>
          <w:sz w:val="20"/>
          <w:szCs w:val="20"/>
        </w:rPr>
        <w:t>mounts could be substantial. Based on the volatility of energy prices, our counterparties may not be willing or able to fulfill their obligations to us under their fixed forward contracts or swap transactions. In such cases, we would be exposed to potentia</w:t>
      </w:r>
      <w:r>
        <w:rPr>
          <w:rFonts w:ascii="Arial" w:eastAsia="Times New Roman" w:hAnsi="Arial" w:cs="Arial"/>
          <w:color w:val="000000"/>
          <w:sz w:val="20"/>
          <w:szCs w:val="20"/>
        </w:rPr>
        <w:t xml:space="preserve">l losses or costs associated with any resulting default. For example, in the event the spot market price of fuel at the time of delivery is substantially less than the fixed price of the contract with the customer, a customer could default on its purchase </w:t>
      </w:r>
      <w:r>
        <w:rPr>
          <w:rFonts w:ascii="Arial" w:eastAsia="Times New Roman" w:hAnsi="Arial" w:cs="Arial"/>
          <w:color w:val="000000"/>
          <w:sz w:val="20"/>
          <w:szCs w:val="20"/>
        </w:rPr>
        <w:t>obligation to us and purchase the fuel at a lower “spot” market price from another supplier. Meanwhile, we may have entered into a corresponding commitment with a supplier to offer our customer specified fixed pricing or terms and would be obligated to per</w:t>
      </w:r>
      <w:r>
        <w:rPr>
          <w:rFonts w:ascii="Arial" w:eastAsia="Times New Roman" w:hAnsi="Arial" w:cs="Arial"/>
          <w:color w:val="000000"/>
          <w:sz w:val="20"/>
          <w:szCs w:val="20"/>
        </w:rPr>
        <w:t>form our fixed price purchase obligations to such supplier. Similarly, the counterparties with whom we may hedge our price risk exposure may not be willing or able to fulfill their obligations to us under their swap transactions.</w:t>
      </w:r>
    </w:p>
    <w:p w14:paraId="340D2F83" w14:textId="77777777" w:rsidR="00000000" w:rsidRDefault="00C01C43">
      <w:pPr>
        <w:jc w:val="both"/>
        <w:rPr>
          <w:rFonts w:eastAsia="Times New Roman"/>
        </w:rPr>
      </w:pPr>
    </w:p>
    <w:p w14:paraId="78E4716E" w14:textId="77777777" w:rsidR="00000000" w:rsidRDefault="00C01C43">
      <w:pPr>
        <w:jc w:val="both"/>
        <w:rPr>
          <w:rFonts w:eastAsia="Times New Roman"/>
        </w:rPr>
      </w:pPr>
      <w:r>
        <w:rPr>
          <w:rFonts w:ascii="Arial" w:eastAsia="Times New Roman" w:hAnsi="Arial" w:cs="Arial"/>
          <w:color w:val="000000"/>
          <w:sz w:val="20"/>
          <w:szCs w:val="20"/>
        </w:rPr>
        <w:t>If we are unable to reco</w:t>
      </w:r>
      <w:r>
        <w:rPr>
          <w:rFonts w:ascii="Arial" w:eastAsia="Times New Roman" w:hAnsi="Arial" w:cs="Arial"/>
          <w:color w:val="000000"/>
          <w:sz w:val="20"/>
          <w:szCs w:val="20"/>
        </w:rPr>
        <w:t xml:space="preserve">ver losses from a defaulting counterparty, we could sustain substantial losses that would likely have a material adverse effect on our business, financial condition, results of operations and cash flows. Additionally, our hedging activities also result in </w:t>
      </w:r>
      <w:r>
        <w:rPr>
          <w:rFonts w:ascii="Arial" w:eastAsia="Times New Roman" w:hAnsi="Arial" w:cs="Arial"/>
          <w:color w:val="000000"/>
          <w:sz w:val="20"/>
          <w:szCs w:val="20"/>
        </w:rPr>
        <w:t>additional costs and can require cash deposits for margin calls. If there is a sudden a significant change in fuel prices, the amount of cash necessary to cover margin calls can be material and impact our liquidity.</w:t>
      </w:r>
    </w:p>
    <w:p w14:paraId="6EE075AE" w14:textId="77777777" w:rsidR="00000000" w:rsidRDefault="00C01C43">
      <w:pPr>
        <w:jc w:val="both"/>
        <w:rPr>
          <w:rFonts w:eastAsia="Times New Roman"/>
        </w:rPr>
      </w:pPr>
    </w:p>
    <w:p w14:paraId="340F83A1" w14:textId="77777777" w:rsidR="00000000" w:rsidRDefault="00C01C43">
      <w:pPr>
        <w:jc w:val="both"/>
        <w:rPr>
          <w:rFonts w:eastAsia="Times New Roman"/>
        </w:rPr>
      </w:pPr>
      <w:r>
        <w:rPr>
          <w:rFonts w:ascii="Arial" w:eastAsia="Times New Roman" w:hAnsi="Arial" w:cs="Arial"/>
          <w:b/>
          <w:bCs/>
          <w:color w:val="000000"/>
          <w:sz w:val="20"/>
          <w:szCs w:val="20"/>
        </w:rPr>
        <w:t>We are exposed to various risks in con</w:t>
      </w:r>
      <w:r>
        <w:rPr>
          <w:rFonts w:ascii="Arial" w:eastAsia="Times New Roman" w:hAnsi="Arial" w:cs="Arial"/>
          <w:b/>
          <w:bCs/>
          <w:color w:val="000000"/>
          <w:sz w:val="20"/>
          <w:szCs w:val="20"/>
        </w:rPr>
        <w:t>nection with our use of derivatives which could have a material adverse effect on our results of operations.</w:t>
      </w:r>
    </w:p>
    <w:p w14:paraId="52399539" w14:textId="77777777" w:rsidR="00000000" w:rsidRDefault="00C01C43">
      <w:pPr>
        <w:jc w:val="both"/>
        <w:rPr>
          <w:rFonts w:eastAsia="Times New Roman"/>
        </w:rPr>
      </w:pPr>
      <w:r>
        <w:rPr>
          <w:rFonts w:ascii="Arial" w:eastAsia="Times New Roman" w:hAnsi="Arial" w:cs="Arial"/>
          <w:color w:val="000000"/>
          <w:sz w:val="20"/>
          <w:szCs w:val="20"/>
        </w:rPr>
        <w:t>We enter into financial derivative contracts primarily to mitigate the risk of market price fluctuations in energy products, to offer our customers</w:t>
      </w:r>
      <w:r>
        <w:rPr>
          <w:rFonts w:ascii="Arial" w:eastAsia="Times New Roman" w:hAnsi="Arial" w:cs="Arial"/>
          <w:color w:val="000000"/>
          <w:sz w:val="20"/>
          <w:szCs w:val="20"/>
        </w:rPr>
        <w:t xml:space="preserve"> energy pricing alternatives to meet their needs, to manage price exposures associated with our inventories, and to mitigate the risk of fluctuations in foreign currency exchange rates. However, our efforts to hedge our exposure to fluctuations in energy p</w:t>
      </w:r>
      <w:r>
        <w:rPr>
          <w:rFonts w:ascii="Arial" w:eastAsia="Times New Roman" w:hAnsi="Arial" w:cs="Arial"/>
          <w:color w:val="000000"/>
          <w:sz w:val="20"/>
          <w:szCs w:val="20"/>
        </w:rPr>
        <w:t>rices and exchange rates may be ineffective in certain instances. For example, we hedge jet fuel prices with derivatives tied to other petroleum products that have historically been correlated to aviation jet fuel (e.g. heating oil in the U.S. or gasoil in</w:t>
      </w:r>
      <w:r>
        <w:rPr>
          <w:rFonts w:ascii="Arial" w:eastAsia="Times New Roman" w:hAnsi="Arial" w:cs="Arial"/>
          <w:color w:val="000000"/>
          <w:sz w:val="20"/>
          <w:szCs w:val="20"/>
        </w:rPr>
        <w:t xml:space="preserve"> Europe or Asia). If the price of aviation jet fuel at a specific location experiences a divergence to historical correlations, our attempts to mitigate price risk associated with our aviation business may not be effective. Moreover, there may be times whe</w:t>
      </w:r>
      <w:r>
        <w:rPr>
          <w:rFonts w:ascii="Arial" w:eastAsia="Times New Roman" w:hAnsi="Arial" w:cs="Arial"/>
          <w:color w:val="000000"/>
          <w:sz w:val="20"/>
          <w:szCs w:val="20"/>
        </w:rPr>
        <w:t>re the change in the price of jet fuel at a specific location is disrupted (e.g. hurricanes) and is not correlated to the underlying hedges when compared to historical prices.</w:t>
      </w:r>
    </w:p>
    <w:p w14:paraId="061E8E77" w14:textId="77777777" w:rsidR="00000000" w:rsidRDefault="00C01C43">
      <w:pPr>
        <w:jc w:val="both"/>
        <w:rPr>
          <w:rFonts w:eastAsia="Times New Roman"/>
        </w:rPr>
      </w:pPr>
    </w:p>
    <w:p w14:paraId="5D4C2E24" w14:textId="77777777" w:rsidR="00000000" w:rsidRDefault="00C01C43">
      <w:pPr>
        <w:jc w:val="both"/>
        <w:rPr>
          <w:rFonts w:eastAsia="Times New Roman"/>
        </w:rPr>
      </w:pPr>
      <w:r>
        <w:rPr>
          <w:rFonts w:ascii="Arial" w:eastAsia="Times New Roman" w:hAnsi="Arial" w:cs="Arial"/>
          <w:color w:val="000000"/>
          <w:sz w:val="20"/>
          <w:szCs w:val="20"/>
        </w:rPr>
        <w:t>We may also enter into proprietary derivative transactions, which are not intended to hedge our own risk but rather make a profit by capitalizing on arbitrage opportunities associated with basis, time, quality or geographic spreads related to the energy pr</w:t>
      </w:r>
      <w:r>
        <w:rPr>
          <w:rFonts w:ascii="Arial" w:eastAsia="Times New Roman" w:hAnsi="Arial" w:cs="Arial"/>
          <w:color w:val="000000"/>
          <w:sz w:val="20"/>
          <w:szCs w:val="20"/>
        </w:rPr>
        <w:t>oducts we sell. Proprietary derivative transactions, by their nature, expose us to changes in the underlying commodity prices of the proprietary positions taken. Although we have established limits on such exposure, any adverse changes could result in loss</w:t>
      </w:r>
      <w:r>
        <w:rPr>
          <w:rFonts w:ascii="Arial" w:eastAsia="Times New Roman" w:hAnsi="Arial" w:cs="Arial"/>
          <w:color w:val="000000"/>
          <w:sz w:val="20"/>
          <w:szCs w:val="20"/>
        </w:rPr>
        <w:t>es which can be further exacerbated by volatility in the financial and other markets. In addition, our employees may fail to comply with our policies and procedures with respect to hedging or proprietary trading, such as engaging in unauthorized trading ac</w:t>
      </w:r>
      <w:r>
        <w:rPr>
          <w:rFonts w:ascii="Arial" w:eastAsia="Times New Roman" w:hAnsi="Arial" w:cs="Arial"/>
          <w:color w:val="000000"/>
          <w:sz w:val="20"/>
          <w:szCs w:val="20"/>
        </w:rPr>
        <w:t>tivity, failing to hedge a specific price risk or failing to comply with our internal limits on exposure or any applicable statutory or regulatory requirements. Furthermore, the enforceability of our derivative transactions may depend on our compliance wit</w:t>
      </w:r>
      <w:r>
        <w:rPr>
          <w:rFonts w:ascii="Arial" w:eastAsia="Times New Roman" w:hAnsi="Arial" w:cs="Arial"/>
          <w:color w:val="000000"/>
          <w:sz w:val="20"/>
          <w:szCs w:val="20"/>
        </w:rPr>
        <w:t>h applicable statutory, commodity and other regulatory requirements, which if violated could lead to our derivative transaction being voided, as well as penalties and fines. The impact of any of the foregoing could have a material adverse effect on our bus</w:t>
      </w:r>
      <w:r>
        <w:rPr>
          <w:rFonts w:ascii="Arial" w:eastAsia="Times New Roman" w:hAnsi="Arial" w:cs="Arial"/>
          <w:color w:val="000000"/>
          <w:sz w:val="20"/>
          <w:szCs w:val="20"/>
        </w:rPr>
        <w:t>iness, financial condition, results of operations and cash flows.</w:t>
      </w:r>
    </w:p>
    <w:p w14:paraId="4E92FCC9" w14:textId="77777777" w:rsidR="00000000" w:rsidRDefault="00C01C43">
      <w:pPr>
        <w:jc w:val="both"/>
        <w:rPr>
          <w:rFonts w:eastAsia="Times New Roman"/>
        </w:rPr>
      </w:pPr>
    </w:p>
    <w:p w14:paraId="77F87F76" w14:textId="77777777" w:rsidR="00000000" w:rsidRDefault="00C01C43">
      <w:pPr>
        <w:jc w:val="center"/>
        <w:divId w:val="687483483"/>
        <w:rPr>
          <w:rFonts w:eastAsia="Times New Roman"/>
        </w:rPr>
      </w:pPr>
      <w:r>
        <w:rPr>
          <w:rFonts w:ascii="Arial" w:eastAsia="Times New Roman" w:hAnsi="Arial" w:cs="Arial"/>
          <w:color w:val="000000"/>
          <w:sz w:val="16"/>
          <w:szCs w:val="16"/>
        </w:rPr>
        <w:t>18</w:t>
      </w:r>
    </w:p>
    <w:p w14:paraId="133EC6E9" w14:textId="77777777" w:rsidR="00000000" w:rsidRDefault="00C01C43">
      <w:pPr>
        <w:rPr>
          <w:rFonts w:eastAsia="Times New Roman"/>
        </w:rPr>
      </w:pPr>
      <w:r>
        <w:rPr>
          <w:rFonts w:eastAsia="Times New Roman"/>
        </w:rPr>
        <w:pict w14:anchorId="453429E4">
          <v:rect id="_x0000_i1046" style="width:0;height:1.5pt" o:hralign="center" o:hrstd="t" o:hr="t" fillcolor="#a0a0a0" stroked="f"/>
        </w:pict>
      </w:r>
    </w:p>
    <w:p w14:paraId="6A6181A1" w14:textId="77777777" w:rsidR="00000000" w:rsidRDefault="00C01C43">
      <w:pPr>
        <w:divId w:val="319038710"/>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39B6E50A" w14:textId="77777777" w:rsidR="00000000" w:rsidRDefault="00C01C43">
      <w:pPr>
        <w:jc w:val="both"/>
        <w:rPr>
          <w:rFonts w:eastAsia="Times New Roman"/>
        </w:rPr>
      </w:pPr>
      <w:r>
        <w:rPr>
          <w:rFonts w:ascii="Arial" w:eastAsia="Times New Roman" w:hAnsi="Arial" w:cs="Arial"/>
          <w:color w:val="000000"/>
          <w:sz w:val="20"/>
          <w:szCs w:val="20"/>
        </w:rPr>
        <w:t>Finally, many of our derivative transactions are not designated as hedge</w:t>
      </w:r>
      <w:r>
        <w:rPr>
          <w:rFonts w:ascii="Arial" w:eastAsia="Times New Roman" w:hAnsi="Arial" w:cs="Arial"/>
          <w:color w:val="000000"/>
          <w:sz w:val="20"/>
          <w:szCs w:val="20"/>
        </w:rPr>
        <w:t>s for accounting purposes, and therefore, changes in the fair market value of these derivatives are reflected as a component of revenue or cost of revenue (based on the underlying transaction type) in our consolidated statements of income and comprehensive</w:t>
      </w:r>
      <w:r>
        <w:rPr>
          <w:rFonts w:ascii="Arial" w:eastAsia="Times New Roman" w:hAnsi="Arial" w:cs="Arial"/>
          <w:color w:val="000000"/>
          <w:sz w:val="20"/>
          <w:szCs w:val="20"/>
        </w:rPr>
        <w:t xml:space="preserve"> income. Since the fair market value of these derivatives is marked to market at the end of each quarter, changes in the value of our derivative instruments as a result of gains or losses may cause our earnings to fluctuate from period to period.</w:t>
      </w:r>
    </w:p>
    <w:p w14:paraId="387D8B86" w14:textId="77777777" w:rsidR="00000000" w:rsidRDefault="00C01C43">
      <w:pPr>
        <w:jc w:val="both"/>
        <w:rPr>
          <w:rFonts w:eastAsia="Times New Roman"/>
        </w:rPr>
      </w:pPr>
    </w:p>
    <w:p w14:paraId="435E53D2" w14:textId="77777777" w:rsidR="00000000" w:rsidRDefault="00C01C43">
      <w:pPr>
        <w:jc w:val="both"/>
        <w:rPr>
          <w:rFonts w:eastAsia="Times New Roman"/>
        </w:rPr>
      </w:pPr>
      <w:r>
        <w:rPr>
          <w:rFonts w:ascii="Arial" w:eastAsia="Times New Roman" w:hAnsi="Arial" w:cs="Arial"/>
          <w:b/>
          <w:bCs/>
          <w:color w:val="000000"/>
          <w:sz w:val="20"/>
          <w:szCs w:val="20"/>
          <w:u w:val="single"/>
        </w:rPr>
        <w:t>Legal &amp;</w:t>
      </w:r>
      <w:r>
        <w:rPr>
          <w:rFonts w:ascii="Arial" w:eastAsia="Times New Roman" w:hAnsi="Arial" w:cs="Arial"/>
          <w:b/>
          <w:bCs/>
          <w:color w:val="000000"/>
          <w:sz w:val="20"/>
          <w:szCs w:val="20"/>
          <w:u w:val="single"/>
        </w:rPr>
        <w:t xml:space="preserve"> Regulatory Risks:</w:t>
      </w:r>
    </w:p>
    <w:p w14:paraId="14C2655A" w14:textId="77777777" w:rsidR="00000000" w:rsidRDefault="00C01C43">
      <w:pPr>
        <w:jc w:val="both"/>
        <w:rPr>
          <w:rFonts w:eastAsia="Times New Roman"/>
        </w:rPr>
      </w:pPr>
      <w:r>
        <w:rPr>
          <w:rFonts w:ascii="Arial" w:eastAsia="Times New Roman" w:hAnsi="Arial" w:cs="Arial"/>
          <w:b/>
          <w:bCs/>
          <w:color w:val="000000"/>
          <w:sz w:val="20"/>
          <w:szCs w:val="20"/>
        </w:rPr>
        <w:t xml:space="preserve">Changes in U.S. or foreign tax laws or adverse outcomes from governmental challenges to our tax position could adversely affect our business and future operating results. </w:t>
      </w:r>
    </w:p>
    <w:p w14:paraId="00B6DACE" w14:textId="77777777" w:rsidR="00000000" w:rsidRDefault="00C01C43">
      <w:pPr>
        <w:jc w:val="both"/>
        <w:rPr>
          <w:rFonts w:eastAsia="Times New Roman"/>
        </w:rPr>
      </w:pPr>
      <w:r>
        <w:rPr>
          <w:rFonts w:ascii="Arial" w:eastAsia="Times New Roman" w:hAnsi="Arial" w:cs="Arial"/>
          <w:color w:val="000000"/>
          <w:sz w:val="20"/>
          <w:szCs w:val="20"/>
        </w:rPr>
        <w:t>We are subject to various U.S. and foreign taxes, including incom</w:t>
      </w:r>
      <w:r>
        <w:rPr>
          <w:rFonts w:ascii="Arial" w:eastAsia="Times New Roman" w:hAnsi="Arial" w:cs="Arial"/>
          <w:color w:val="000000"/>
          <w:sz w:val="20"/>
          <w:szCs w:val="20"/>
        </w:rPr>
        <w:t>e taxes and taxes imposed on the purchase and sale of aviation, marine and land fuel products, such as sales, excise, value-added tax (“VAT”), energy, environmental and other taxes. We have also benefited from an income tax concession in Singapore since 20</w:t>
      </w:r>
      <w:r>
        <w:rPr>
          <w:rFonts w:ascii="Arial" w:eastAsia="Times New Roman" w:hAnsi="Arial" w:cs="Arial"/>
          <w:color w:val="000000"/>
          <w:sz w:val="20"/>
          <w:szCs w:val="20"/>
        </w:rPr>
        <w:t xml:space="preserve">08, which reduces the income tax rate on qualified sales and derivative gains and losses. Our current five-year concession period began January 1, 2018 and is conditional upon our meeting certain employment and investment thresholds which, if not met, may </w:t>
      </w:r>
      <w:r>
        <w:rPr>
          <w:rFonts w:ascii="Arial" w:eastAsia="Times New Roman" w:hAnsi="Arial" w:cs="Arial"/>
          <w:color w:val="000000"/>
          <w:sz w:val="20"/>
          <w:szCs w:val="20"/>
        </w:rPr>
        <w:t>eliminate the benefit beginning with the first year in which the conditions are not satisfied. Our operating results and cash flows could be adversely affected by changes in our tax expense and the effective tax rate as a result of a change in the mix of e</w:t>
      </w:r>
      <w:r>
        <w:rPr>
          <w:rFonts w:ascii="Arial" w:eastAsia="Times New Roman" w:hAnsi="Arial" w:cs="Arial"/>
          <w:color w:val="000000"/>
          <w:sz w:val="20"/>
          <w:szCs w:val="20"/>
        </w:rPr>
        <w:t>arnings in countries with differing statutory tax rates or our overall profitability, changes in tax legislation, our failure to comply with tax regulations or the loss of the tax concession.</w:t>
      </w:r>
    </w:p>
    <w:p w14:paraId="01F4D1A7" w14:textId="77777777" w:rsidR="00000000" w:rsidRDefault="00C01C43">
      <w:pPr>
        <w:jc w:val="both"/>
        <w:rPr>
          <w:rFonts w:eastAsia="Times New Roman"/>
        </w:rPr>
      </w:pPr>
    </w:p>
    <w:p w14:paraId="281BABB8" w14:textId="77777777" w:rsidR="00000000" w:rsidRDefault="00C01C43">
      <w:pPr>
        <w:jc w:val="both"/>
        <w:rPr>
          <w:rFonts w:eastAsia="Times New Roman"/>
        </w:rPr>
      </w:pPr>
      <w:r>
        <w:rPr>
          <w:rFonts w:ascii="Arial" w:eastAsia="Times New Roman" w:hAnsi="Arial" w:cs="Arial"/>
          <w:color w:val="000000"/>
          <w:sz w:val="20"/>
          <w:szCs w:val="20"/>
        </w:rPr>
        <w:t>Furthermore, significant judgment is required in determining o</w:t>
      </w:r>
      <w:r>
        <w:rPr>
          <w:rFonts w:ascii="Arial" w:eastAsia="Times New Roman" w:hAnsi="Arial" w:cs="Arial"/>
          <w:color w:val="000000"/>
          <w:sz w:val="20"/>
          <w:szCs w:val="20"/>
        </w:rPr>
        <w:t>ur worldwide provision for income taxes and other tax liabilities. Our tax expense includes estimates of additional tax that may be incurred for tax exposures and reflects various estimates and assumptions, including assessments of future earnings that cou</w:t>
      </w:r>
      <w:r>
        <w:rPr>
          <w:rFonts w:ascii="Arial" w:eastAsia="Times New Roman" w:hAnsi="Arial" w:cs="Arial"/>
          <w:color w:val="000000"/>
          <w:sz w:val="20"/>
          <w:szCs w:val="20"/>
        </w:rPr>
        <w:t>ld affect the valuation of our net deferred tax assets. We are regularly audited by various domestic and foreign tax authorities and are involved in various inquiries, audits, challenges and litigation in a number of countries, including Brazil, Denmark, S</w:t>
      </w:r>
      <w:r>
        <w:rPr>
          <w:rFonts w:ascii="Arial" w:eastAsia="Times New Roman" w:hAnsi="Arial" w:cs="Arial"/>
          <w:color w:val="000000"/>
          <w:sz w:val="20"/>
          <w:szCs w:val="20"/>
        </w:rPr>
        <w:t>outh Korea and the U.S., where the amounts under controversy may be material. We are in the process of addressing and responding to inquiries in various jurisdictions and challenging a number of tax assessments in several administrative and legal proceedin</w:t>
      </w:r>
      <w:r>
        <w:rPr>
          <w:rFonts w:ascii="Arial" w:eastAsia="Times New Roman" w:hAnsi="Arial" w:cs="Arial"/>
          <w:color w:val="000000"/>
          <w:sz w:val="20"/>
          <w:szCs w:val="20"/>
        </w:rPr>
        <w:t>gs, each of which is at various stages in the process. In some jurisdictions, these challenges require the posting of collateral or payment of the contested amount, which may affect our flexibility in operating our business or our liquidity.</w:t>
      </w:r>
    </w:p>
    <w:p w14:paraId="48976BB9" w14:textId="77777777" w:rsidR="00000000" w:rsidRDefault="00C01C43">
      <w:pPr>
        <w:jc w:val="both"/>
        <w:rPr>
          <w:rFonts w:eastAsia="Times New Roman"/>
        </w:rPr>
      </w:pPr>
    </w:p>
    <w:p w14:paraId="740C7A66" w14:textId="77777777" w:rsidR="00000000" w:rsidRDefault="00C01C43">
      <w:pPr>
        <w:jc w:val="both"/>
        <w:rPr>
          <w:rFonts w:eastAsia="Times New Roman"/>
        </w:rPr>
      </w:pPr>
      <w:r>
        <w:rPr>
          <w:rFonts w:ascii="Arial" w:eastAsia="Times New Roman" w:hAnsi="Arial" w:cs="Arial"/>
          <w:color w:val="000000"/>
          <w:sz w:val="20"/>
          <w:szCs w:val="20"/>
        </w:rPr>
        <w:t xml:space="preserve">Although we </w:t>
      </w:r>
      <w:r>
        <w:rPr>
          <w:rFonts w:ascii="Arial" w:eastAsia="Times New Roman" w:hAnsi="Arial" w:cs="Arial"/>
          <w:color w:val="000000"/>
          <w:sz w:val="20"/>
          <w:szCs w:val="20"/>
        </w:rPr>
        <w:t>believe our tax estimates are reasonable, the final determination of tax audits and any related litigation could be materially different than what is reflected in our income tax provisions and accruals. If these challenges are ultimately determined unfavor</w:t>
      </w:r>
      <w:r>
        <w:rPr>
          <w:rFonts w:ascii="Arial" w:eastAsia="Times New Roman" w:hAnsi="Arial" w:cs="Arial"/>
          <w:color w:val="000000"/>
          <w:sz w:val="20"/>
          <w:szCs w:val="20"/>
        </w:rPr>
        <w:t>ably to us, these proceedings may have a material adverse effect on our business, financial condition, results of operations and cash flows. Furthermore, any failure to comply with applicable laws and regulations or appropriately resolve these challenges c</w:t>
      </w:r>
      <w:r>
        <w:rPr>
          <w:rFonts w:ascii="Arial" w:eastAsia="Times New Roman" w:hAnsi="Arial" w:cs="Arial"/>
          <w:color w:val="000000"/>
          <w:sz w:val="20"/>
          <w:szCs w:val="20"/>
        </w:rPr>
        <w:t>ould subject us to administrative, civil or criminal penalties, including fines, penalties, disgorgement, injunctions and damage to our reputation. See "Note 9. Commitments and Contingencies" and "Note 11. Income Taxes" within "Part IV. Item 15. Notes to t</w:t>
      </w:r>
      <w:r>
        <w:rPr>
          <w:rFonts w:ascii="Arial" w:eastAsia="Times New Roman" w:hAnsi="Arial" w:cs="Arial"/>
          <w:color w:val="000000"/>
          <w:sz w:val="20"/>
          <w:szCs w:val="20"/>
        </w:rPr>
        <w:t>he Consolidated Financial Statements" included in this 2020 10-K Report for additional details regarding certain tax matters.</w:t>
      </w:r>
    </w:p>
    <w:p w14:paraId="1DC089A7" w14:textId="77777777" w:rsidR="00000000" w:rsidRDefault="00C01C43">
      <w:pPr>
        <w:jc w:val="both"/>
        <w:rPr>
          <w:rFonts w:eastAsia="Times New Roman"/>
        </w:rPr>
      </w:pPr>
    </w:p>
    <w:p w14:paraId="7E6D8309" w14:textId="77777777" w:rsidR="00000000" w:rsidRDefault="00C01C43">
      <w:pPr>
        <w:jc w:val="both"/>
        <w:rPr>
          <w:rFonts w:eastAsia="Times New Roman"/>
        </w:rPr>
      </w:pPr>
      <w:r>
        <w:rPr>
          <w:rFonts w:ascii="Arial" w:eastAsia="Times New Roman" w:hAnsi="Arial" w:cs="Arial"/>
          <w:color w:val="000000"/>
          <w:sz w:val="20"/>
          <w:szCs w:val="20"/>
        </w:rPr>
        <w:t>Tax rates in the various jurisdictions in which we and our subsidiaries are organized and conduct operations may also change sig</w:t>
      </w:r>
      <w:r>
        <w:rPr>
          <w:rFonts w:ascii="Arial" w:eastAsia="Times New Roman" w:hAnsi="Arial" w:cs="Arial"/>
          <w:color w:val="000000"/>
          <w:sz w:val="20"/>
          <w:szCs w:val="20"/>
        </w:rPr>
        <w:t>nificantly as a result of political or economic factors beyond our control. For example, in December 2017, the U.S. enacted comprehensive tax legislation referred to as the Tax Cuts and Jobs Act (the “Tax Act”), which among other things, reduced the U.S. f</w:t>
      </w:r>
      <w:r>
        <w:rPr>
          <w:rFonts w:ascii="Arial" w:eastAsia="Times New Roman" w:hAnsi="Arial" w:cs="Arial"/>
          <w:color w:val="000000"/>
          <w:sz w:val="20"/>
          <w:szCs w:val="20"/>
        </w:rPr>
        <w:t xml:space="preserve">ederal statutory tax rate and broadened the corporate tax base through the elimination or reduction of deductions, exclusions, and credits. In addition, the Tax Act required a one-time transitional tax on foreign cash equivalents and previously unremitted </w:t>
      </w:r>
      <w:r>
        <w:rPr>
          <w:rFonts w:ascii="Arial" w:eastAsia="Times New Roman" w:hAnsi="Arial" w:cs="Arial"/>
          <w:color w:val="000000"/>
          <w:sz w:val="20"/>
          <w:szCs w:val="20"/>
        </w:rPr>
        <w:t>earnings. The final impact of the transition tax and other aspects of the Tax Act may differ from our estimates, possibly materially, due to, among other items, changes in interpretations of the Tax Act, any legislative action to address questions that ari</w:t>
      </w:r>
      <w:r>
        <w:rPr>
          <w:rFonts w:ascii="Arial" w:eastAsia="Times New Roman" w:hAnsi="Arial" w:cs="Arial"/>
          <w:color w:val="000000"/>
          <w:sz w:val="20"/>
          <w:szCs w:val="20"/>
        </w:rPr>
        <w:t>se because of the Tax Act, or any actions taken under the new administration to repeal or otherwise amend the Tax Act.</w:t>
      </w:r>
    </w:p>
    <w:p w14:paraId="4A48F963" w14:textId="77777777" w:rsidR="00000000" w:rsidRDefault="00C01C43">
      <w:pPr>
        <w:jc w:val="both"/>
        <w:rPr>
          <w:rFonts w:eastAsia="Times New Roman"/>
        </w:rPr>
      </w:pPr>
    </w:p>
    <w:p w14:paraId="6C943463" w14:textId="77777777" w:rsidR="00000000" w:rsidRDefault="00C01C43">
      <w:pPr>
        <w:jc w:val="both"/>
        <w:rPr>
          <w:rFonts w:eastAsia="Times New Roman"/>
        </w:rPr>
      </w:pPr>
      <w:r>
        <w:rPr>
          <w:rFonts w:ascii="Arial" w:eastAsia="Times New Roman" w:hAnsi="Arial" w:cs="Arial"/>
          <w:color w:val="000000"/>
          <w:sz w:val="20"/>
          <w:szCs w:val="20"/>
        </w:rPr>
        <w:t>Finally, ongoing developments including the project by the Organisation for Economic Co-operation and Development (“OECD”) on Base Eros</w:t>
      </w:r>
      <w:r>
        <w:rPr>
          <w:rFonts w:ascii="Arial" w:eastAsia="Times New Roman" w:hAnsi="Arial" w:cs="Arial"/>
          <w:color w:val="000000"/>
          <w:sz w:val="20"/>
          <w:szCs w:val="20"/>
        </w:rPr>
        <w:t xml:space="preserve">ion and Profit Shifting (“BEPS”), European Commission anti-tax avoidance directives (“ATAD”), and other initiatives, could adversely affect our worldwide effective tax rate. With the finalization of specific actions contained within the OECD’s BEPS study, </w:t>
      </w:r>
      <w:r>
        <w:rPr>
          <w:rFonts w:ascii="Arial" w:eastAsia="Times New Roman" w:hAnsi="Arial" w:cs="Arial"/>
          <w:color w:val="000000"/>
          <w:sz w:val="20"/>
          <w:szCs w:val="20"/>
        </w:rPr>
        <w:t>many OECD countries have begun to implement the actions and update their local tax laws, including ATAD directives. The extent to which countries in which we operate adopt and implement these actions could have a material adverse impact on our income tax e</w:t>
      </w:r>
      <w:r>
        <w:rPr>
          <w:rFonts w:ascii="Arial" w:eastAsia="Times New Roman" w:hAnsi="Arial" w:cs="Arial"/>
          <w:color w:val="000000"/>
          <w:sz w:val="20"/>
          <w:szCs w:val="20"/>
        </w:rPr>
        <w:t>xpense, effective tax rate, financial condition, and results of operations and cash flows.</w:t>
      </w:r>
    </w:p>
    <w:p w14:paraId="0CAAA99D" w14:textId="77777777" w:rsidR="00000000" w:rsidRDefault="00C01C43">
      <w:pPr>
        <w:jc w:val="both"/>
        <w:rPr>
          <w:rFonts w:eastAsia="Times New Roman"/>
        </w:rPr>
      </w:pPr>
    </w:p>
    <w:p w14:paraId="0A399207" w14:textId="77777777" w:rsidR="00000000" w:rsidRDefault="00C01C43">
      <w:pPr>
        <w:jc w:val="center"/>
        <w:divId w:val="1907715255"/>
        <w:rPr>
          <w:rFonts w:eastAsia="Times New Roman"/>
        </w:rPr>
      </w:pPr>
      <w:r>
        <w:rPr>
          <w:rFonts w:ascii="Arial" w:eastAsia="Times New Roman" w:hAnsi="Arial" w:cs="Arial"/>
          <w:color w:val="000000"/>
          <w:sz w:val="16"/>
          <w:szCs w:val="16"/>
        </w:rPr>
        <w:t>19</w:t>
      </w:r>
    </w:p>
    <w:p w14:paraId="5DA3CD8A" w14:textId="77777777" w:rsidR="00000000" w:rsidRDefault="00C01C43">
      <w:pPr>
        <w:rPr>
          <w:rFonts w:eastAsia="Times New Roman"/>
        </w:rPr>
      </w:pPr>
      <w:r>
        <w:rPr>
          <w:rFonts w:eastAsia="Times New Roman"/>
        </w:rPr>
        <w:pict w14:anchorId="7D37DD9A">
          <v:rect id="_x0000_i1047" style="width:0;height:1.5pt" o:hralign="center" o:hrstd="t" o:hr="t" fillcolor="#a0a0a0" stroked="f"/>
        </w:pict>
      </w:r>
    </w:p>
    <w:p w14:paraId="70110D68" w14:textId="77777777" w:rsidR="00000000" w:rsidRDefault="00C01C43">
      <w:pPr>
        <w:divId w:val="422411234"/>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593C4CA9" w14:textId="77777777" w:rsidR="00000000" w:rsidRDefault="00C01C43">
      <w:pPr>
        <w:jc w:val="both"/>
        <w:rPr>
          <w:rFonts w:eastAsia="Times New Roman"/>
        </w:rPr>
      </w:pPr>
      <w:r>
        <w:rPr>
          <w:rFonts w:ascii="Arial" w:eastAsia="Times New Roman" w:hAnsi="Arial" w:cs="Arial"/>
          <w:b/>
          <w:bCs/>
          <w:color w:val="000000"/>
          <w:sz w:val="20"/>
          <w:szCs w:val="20"/>
        </w:rPr>
        <w:t>Our business is subject to extensive laws and regulations, including environmental protection, health and safety, that can result in material costs and liabilities.</w:t>
      </w:r>
    </w:p>
    <w:p w14:paraId="7955CF3A" w14:textId="77777777" w:rsidR="00000000" w:rsidRDefault="00C01C43">
      <w:pPr>
        <w:jc w:val="both"/>
        <w:rPr>
          <w:rFonts w:eastAsia="Times New Roman"/>
        </w:rPr>
      </w:pPr>
      <w:r>
        <w:rPr>
          <w:rFonts w:ascii="Arial" w:eastAsia="Times New Roman" w:hAnsi="Arial" w:cs="Arial"/>
          <w:color w:val="000000"/>
          <w:sz w:val="20"/>
          <w:szCs w:val="20"/>
        </w:rPr>
        <w:t>We are required to comply with extensive and complex laws and other regulations at the inte</w:t>
      </w:r>
      <w:r>
        <w:rPr>
          <w:rFonts w:ascii="Arial" w:eastAsia="Times New Roman" w:hAnsi="Arial" w:cs="Arial"/>
          <w:color w:val="000000"/>
          <w:sz w:val="20"/>
          <w:szCs w:val="20"/>
        </w:rPr>
        <w:t>rnational, federal, state/provincial and local government levels in the countries in which we operate. See Part I. Item 1. For additional information about laws and regulations applicable to our business. In particular, laws and regulations relating to env</w:t>
      </w:r>
      <w:r>
        <w:rPr>
          <w:rFonts w:ascii="Arial" w:eastAsia="Times New Roman" w:hAnsi="Arial" w:cs="Arial"/>
          <w:color w:val="000000"/>
          <w:sz w:val="20"/>
          <w:szCs w:val="20"/>
        </w:rPr>
        <w:t>ironmental protection and occupational safety and health, can be particularly complex and can impose strict liability on us for remediation of spills and releases of oil and hazardous substances without regard to whether we were negligent or at fault. Viol</w:t>
      </w:r>
      <w:r>
        <w:rPr>
          <w:rFonts w:ascii="Arial" w:eastAsia="Times New Roman" w:hAnsi="Arial" w:cs="Arial"/>
          <w:color w:val="000000"/>
          <w:sz w:val="20"/>
          <w:szCs w:val="20"/>
        </w:rPr>
        <w:t xml:space="preserve">ations of these laws and regulations, or any future environmental law or regulation, could result in significant liability, including administrative, civil or criminal penalties, fines, injunctions, or the suspension or termination of our operations at an </w:t>
      </w:r>
      <w:r>
        <w:rPr>
          <w:rFonts w:ascii="Arial" w:eastAsia="Times New Roman" w:hAnsi="Arial" w:cs="Arial"/>
          <w:color w:val="000000"/>
          <w:sz w:val="20"/>
          <w:szCs w:val="20"/>
        </w:rPr>
        <w:t>affected area.</w:t>
      </w:r>
      <w:r>
        <w:rPr>
          <w:rFonts w:ascii="Arial" w:eastAsia="Times New Roman" w:hAnsi="Arial" w:cs="Arial"/>
          <w:color w:val="000000"/>
        </w:rPr>
        <w:t xml:space="preserve"> </w:t>
      </w:r>
      <w:r>
        <w:rPr>
          <w:rFonts w:ascii="Arial" w:eastAsia="Times New Roman" w:hAnsi="Arial" w:cs="Arial"/>
          <w:color w:val="000000"/>
          <w:sz w:val="20"/>
          <w:szCs w:val="20"/>
        </w:rPr>
        <w:t>We may also be held responsible for remediation costs for natural resource damages as well as third-party damages. In our marine segment, we utilize fuel delivery barges and store refined products adjacent to water, thereby potentially subje</w:t>
      </w:r>
      <w:r>
        <w:rPr>
          <w:rFonts w:ascii="Arial" w:eastAsia="Times New Roman" w:hAnsi="Arial" w:cs="Arial"/>
          <w:color w:val="000000"/>
          <w:sz w:val="20"/>
          <w:szCs w:val="20"/>
        </w:rPr>
        <w:t>cting us to strict, joint, and potentially unlimited liability for removal costs and other consequences of where a spill is into navigable waters, along shorelines or in the exclusive economic zone of the U.S. Any of these occurrences and any resulting neg</w:t>
      </w:r>
      <w:r>
        <w:rPr>
          <w:rFonts w:ascii="Arial" w:eastAsia="Times New Roman" w:hAnsi="Arial" w:cs="Arial"/>
          <w:color w:val="000000"/>
          <w:sz w:val="20"/>
          <w:szCs w:val="20"/>
        </w:rPr>
        <w:t>ative media coverage could have a material adverse effect on our stock price and on our business, financial condition, results of operations and cash flows.</w:t>
      </w:r>
    </w:p>
    <w:p w14:paraId="6BFBCA1F" w14:textId="77777777" w:rsidR="00000000" w:rsidRDefault="00C01C43">
      <w:pPr>
        <w:divId w:val="129131596"/>
        <w:rPr>
          <w:rFonts w:eastAsia="Times New Roman"/>
        </w:rPr>
      </w:pPr>
    </w:p>
    <w:p w14:paraId="3585F063" w14:textId="77777777" w:rsidR="00000000" w:rsidRDefault="00C01C43">
      <w:pPr>
        <w:jc w:val="both"/>
        <w:rPr>
          <w:rFonts w:eastAsia="Times New Roman"/>
        </w:rPr>
      </w:pPr>
      <w:r>
        <w:rPr>
          <w:rFonts w:ascii="Arial" w:eastAsia="Times New Roman" w:hAnsi="Arial" w:cs="Arial"/>
          <w:color w:val="000000"/>
          <w:sz w:val="20"/>
          <w:szCs w:val="20"/>
        </w:rPr>
        <w:t>In addition, increasingly stringent U.S. and foreign environmental laws and regulations have resu</w:t>
      </w:r>
      <w:r>
        <w:rPr>
          <w:rFonts w:ascii="Arial" w:eastAsia="Times New Roman" w:hAnsi="Arial" w:cs="Arial"/>
          <w:color w:val="000000"/>
          <w:sz w:val="20"/>
          <w:szCs w:val="20"/>
        </w:rPr>
        <w:t>lted and will likely continue to increase our operating costs. For example, compliance with existing and future laws that regulate the delivery of fuel by barge, truck, vessel, pipeline or railcar; or fuel storage terminals or underground storage tanks tha</w:t>
      </w:r>
      <w:r>
        <w:rPr>
          <w:rFonts w:ascii="Arial" w:eastAsia="Times New Roman" w:hAnsi="Arial" w:cs="Arial"/>
          <w:color w:val="000000"/>
          <w:sz w:val="20"/>
          <w:szCs w:val="20"/>
        </w:rPr>
        <w:t>t we own, lease or operate may require significant capital expenditures and increased operating and maintenance costs, particularly as we acquire businesses with more physical assets. In addition, continuing changes in environmental laws and regulations ma</w:t>
      </w:r>
      <w:r>
        <w:rPr>
          <w:rFonts w:ascii="Arial" w:eastAsia="Times New Roman" w:hAnsi="Arial" w:cs="Arial"/>
          <w:color w:val="000000"/>
          <w:sz w:val="20"/>
          <w:szCs w:val="20"/>
        </w:rPr>
        <w:t>y also require capital expenditures by our customers or otherwise increase our customers’ operating costs, which could in turn, reduce the demand for our products and services or impact the pricing or availability of the products we sell.</w:t>
      </w:r>
      <w:r>
        <w:rPr>
          <w:rFonts w:ascii="Arial" w:eastAsia="Times New Roman" w:hAnsi="Arial" w:cs="Arial"/>
          <w:color w:val="000000"/>
        </w:rPr>
        <w:t xml:space="preserve"> </w:t>
      </w:r>
      <w:r>
        <w:rPr>
          <w:rFonts w:ascii="Arial" w:eastAsia="Times New Roman" w:hAnsi="Arial" w:cs="Arial"/>
          <w:color w:val="000000"/>
          <w:sz w:val="20"/>
          <w:szCs w:val="20"/>
        </w:rPr>
        <w:t>Although the ulti</w:t>
      </w:r>
      <w:r>
        <w:rPr>
          <w:rFonts w:ascii="Arial" w:eastAsia="Times New Roman" w:hAnsi="Arial" w:cs="Arial"/>
          <w:color w:val="000000"/>
          <w:sz w:val="20"/>
          <w:szCs w:val="20"/>
        </w:rPr>
        <w:t>mate impact of any regulations is difficult to predict accurately, the occurrence of any of the foregoing could have an adverse effect on our business or on the businesses of our customers.</w:t>
      </w:r>
    </w:p>
    <w:p w14:paraId="6E63D9CF" w14:textId="77777777" w:rsidR="00000000" w:rsidRDefault="00C01C43">
      <w:pPr>
        <w:jc w:val="both"/>
        <w:rPr>
          <w:rFonts w:eastAsia="Times New Roman"/>
        </w:rPr>
      </w:pPr>
    </w:p>
    <w:p w14:paraId="07A7BDDC" w14:textId="77777777" w:rsidR="00000000" w:rsidRDefault="00C01C43">
      <w:pPr>
        <w:jc w:val="both"/>
        <w:rPr>
          <w:rFonts w:eastAsia="Times New Roman"/>
        </w:rPr>
      </w:pPr>
      <w:r>
        <w:rPr>
          <w:rFonts w:ascii="Arial" w:eastAsia="Times New Roman" w:hAnsi="Arial" w:cs="Arial"/>
          <w:b/>
          <w:bCs/>
          <w:color w:val="000000"/>
          <w:sz w:val="20"/>
          <w:szCs w:val="20"/>
        </w:rPr>
        <w:t xml:space="preserve">The data that we collect may be vulnerable to breach, loss or misuse, and our handling of such data may be impacted by changes in data privacy and protection laws and regulations, which could increase operational costs or result in regulatory penalties or </w:t>
      </w:r>
      <w:r>
        <w:rPr>
          <w:rFonts w:ascii="Arial" w:eastAsia="Times New Roman" w:hAnsi="Arial" w:cs="Arial"/>
          <w:b/>
          <w:bCs/>
          <w:color w:val="000000"/>
          <w:sz w:val="20"/>
          <w:szCs w:val="20"/>
        </w:rPr>
        <w:t>litigation.</w:t>
      </w:r>
    </w:p>
    <w:p w14:paraId="492B4483" w14:textId="77777777" w:rsidR="00000000" w:rsidRDefault="00C01C43">
      <w:pPr>
        <w:jc w:val="both"/>
        <w:rPr>
          <w:rFonts w:eastAsia="Times New Roman"/>
        </w:rPr>
      </w:pPr>
      <w:r>
        <w:rPr>
          <w:rFonts w:ascii="Arial" w:eastAsia="Times New Roman" w:hAnsi="Arial" w:cs="Arial"/>
          <w:color w:val="000000"/>
          <w:sz w:val="20"/>
          <w:szCs w:val="20"/>
        </w:rPr>
        <w:t>In connection with various businesses we operate, we have access to sensitive, confidential or personal data from our employees, customers (both corporate and individual consumers), suppliers and other third parties, some of which may be subjec</w:t>
      </w:r>
      <w:r>
        <w:rPr>
          <w:rFonts w:ascii="Arial" w:eastAsia="Times New Roman" w:hAnsi="Arial" w:cs="Arial"/>
          <w:color w:val="000000"/>
          <w:sz w:val="20"/>
          <w:szCs w:val="20"/>
        </w:rPr>
        <w:t>t to privacy, security or residency laws, regulations and customer-imposed controls. In the ordinary course of business, we collect, retain, process, and transmit such data across national boundaries. Despite our efforts to properly handle and protect this</w:t>
      </w:r>
      <w:r>
        <w:rPr>
          <w:rFonts w:ascii="Arial" w:eastAsia="Times New Roman" w:hAnsi="Arial" w:cs="Arial"/>
          <w:color w:val="000000"/>
          <w:sz w:val="20"/>
          <w:szCs w:val="20"/>
        </w:rPr>
        <w:t xml:space="preserve"> information in compliance with such requirements, our facilities and systems and those of our third-party service providers may be vulnerable to security breaches, theft, misplaced or lost data, and programming, procedural or human errors that could poten</w:t>
      </w:r>
      <w:r>
        <w:rPr>
          <w:rFonts w:ascii="Arial" w:eastAsia="Times New Roman" w:hAnsi="Arial" w:cs="Arial"/>
          <w:color w:val="000000"/>
          <w:sz w:val="20"/>
          <w:szCs w:val="20"/>
        </w:rPr>
        <w:t>tially lead to such information being compromised or handled improperly.</w:t>
      </w:r>
    </w:p>
    <w:p w14:paraId="1BF03A25" w14:textId="77777777" w:rsidR="00000000" w:rsidRDefault="00C01C43">
      <w:pPr>
        <w:jc w:val="both"/>
        <w:rPr>
          <w:rFonts w:eastAsia="Times New Roman"/>
        </w:rPr>
      </w:pPr>
    </w:p>
    <w:p w14:paraId="69F36E23" w14:textId="77777777" w:rsidR="00000000" w:rsidRDefault="00C01C43">
      <w:pPr>
        <w:jc w:val="both"/>
        <w:rPr>
          <w:rFonts w:eastAsia="Times New Roman"/>
        </w:rPr>
      </w:pPr>
      <w:r>
        <w:rPr>
          <w:rFonts w:ascii="Arial" w:eastAsia="Times New Roman" w:hAnsi="Arial" w:cs="Arial"/>
          <w:color w:val="000000"/>
          <w:sz w:val="20"/>
          <w:szCs w:val="20"/>
        </w:rPr>
        <w:t>There has been increased public attention regarding the use of personal data and security of data transfers, accompanied by legislation and regulations intended to strengthen data p</w:t>
      </w:r>
      <w:r>
        <w:rPr>
          <w:rFonts w:ascii="Arial" w:eastAsia="Times New Roman" w:hAnsi="Arial" w:cs="Arial"/>
          <w:color w:val="000000"/>
          <w:sz w:val="20"/>
          <w:szCs w:val="20"/>
        </w:rPr>
        <w:t>rotection, information security and consumer and personal privacy. The evolving nature of privacy laws in the U.S., the European Union (“E.U.”), Australia, Brazil and other countries where we have operations and customers could impact our processing of thi</w:t>
      </w:r>
      <w:r>
        <w:rPr>
          <w:rFonts w:ascii="Arial" w:eastAsia="Times New Roman" w:hAnsi="Arial" w:cs="Arial"/>
          <w:color w:val="000000"/>
          <w:sz w:val="20"/>
          <w:szCs w:val="20"/>
        </w:rPr>
        <w:t>s data, including requiring us to make costly changes to our IT systems to properly handle such data. For example, the E.U.’s General Data Protection Regulation (“GDPR”) imposes strict rules on handling personal data related to the E.U. and imposes signifi</w:t>
      </w:r>
      <w:r>
        <w:rPr>
          <w:rFonts w:ascii="Arial" w:eastAsia="Times New Roman" w:hAnsi="Arial" w:cs="Arial"/>
          <w:color w:val="000000"/>
          <w:sz w:val="20"/>
          <w:szCs w:val="20"/>
        </w:rPr>
        <w:t xml:space="preserve">cant sanctions for violations. We have substantial operations in the E.U. and are therefore subject to these heightened standards. Similarly, the California Consumer Privacy Act (“CCPA”), grants certain rights to California residents with respect to their </w:t>
      </w:r>
      <w:r>
        <w:rPr>
          <w:rFonts w:ascii="Arial" w:eastAsia="Times New Roman" w:hAnsi="Arial" w:cs="Arial"/>
          <w:color w:val="000000"/>
          <w:sz w:val="20"/>
          <w:szCs w:val="20"/>
        </w:rPr>
        <w:t xml:space="preserve">personal data and requires companies take or refrain from taking certain actions. As interpretation and enforcement of these and other future data privacy, security or residency laws, regulations and industry standards evolve, it may create a range of new </w:t>
      </w:r>
      <w:r>
        <w:rPr>
          <w:rFonts w:ascii="Arial" w:eastAsia="Times New Roman" w:hAnsi="Arial" w:cs="Arial"/>
          <w:color w:val="000000"/>
          <w:sz w:val="20"/>
          <w:szCs w:val="20"/>
        </w:rPr>
        <w:t>compliance obligations, which could cause us to change our business practices, with the possibility for significant financial penalties for noncompliance that could have an adverse effect on our financial condition and results of operations.</w:t>
      </w:r>
    </w:p>
    <w:p w14:paraId="3AD5269B" w14:textId="77777777" w:rsidR="00000000" w:rsidRDefault="00C01C43">
      <w:pPr>
        <w:jc w:val="both"/>
        <w:rPr>
          <w:rFonts w:eastAsia="Times New Roman"/>
        </w:rPr>
      </w:pPr>
    </w:p>
    <w:p w14:paraId="1E36E5BF" w14:textId="77777777" w:rsidR="00000000" w:rsidRDefault="00C01C43">
      <w:pPr>
        <w:jc w:val="center"/>
        <w:divId w:val="1271933611"/>
        <w:rPr>
          <w:rFonts w:eastAsia="Times New Roman"/>
        </w:rPr>
      </w:pPr>
      <w:r>
        <w:rPr>
          <w:rFonts w:ascii="Arial" w:eastAsia="Times New Roman" w:hAnsi="Arial" w:cs="Arial"/>
          <w:color w:val="000000"/>
          <w:sz w:val="16"/>
          <w:szCs w:val="16"/>
        </w:rPr>
        <w:t>20</w:t>
      </w:r>
    </w:p>
    <w:p w14:paraId="3B189745" w14:textId="77777777" w:rsidR="00000000" w:rsidRDefault="00C01C43">
      <w:pPr>
        <w:rPr>
          <w:rFonts w:eastAsia="Times New Roman"/>
        </w:rPr>
      </w:pPr>
      <w:r>
        <w:rPr>
          <w:rFonts w:eastAsia="Times New Roman"/>
        </w:rPr>
        <w:pict w14:anchorId="633D4B9D">
          <v:rect id="_x0000_i1048" style="width:0;height:1.5pt" o:hralign="center" o:hrstd="t" o:hr="t" fillcolor="#a0a0a0" stroked="f"/>
        </w:pict>
      </w:r>
    </w:p>
    <w:p w14:paraId="39700576" w14:textId="77777777" w:rsidR="00000000" w:rsidRDefault="00C01C43">
      <w:pPr>
        <w:divId w:val="241305619"/>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98E6014" w14:textId="77777777" w:rsidR="00000000" w:rsidRDefault="00C01C43">
      <w:pPr>
        <w:jc w:val="both"/>
        <w:rPr>
          <w:rFonts w:eastAsia="Times New Roman"/>
        </w:rPr>
      </w:pPr>
      <w:r>
        <w:rPr>
          <w:rFonts w:ascii="Arial" w:eastAsia="Times New Roman" w:hAnsi="Arial" w:cs="Arial"/>
          <w:color w:val="000000"/>
          <w:sz w:val="20"/>
          <w:szCs w:val="20"/>
        </w:rPr>
        <w:t>While we cannot yet determine the full impact such laws, regulations, and requirements may have on our business, our failure to adequately comply with t</w:t>
      </w:r>
      <w:r>
        <w:rPr>
          <w:rFonts w:ascii="Arial" w:eastAsia="Times New Roman" w:hAnsi="Arial" w:cs="Arial"/>
          <w:color w:val="000000"/>
          <w:sz w:val="20"/>
          <w:szCs w:val="20"/>
        </w:rPr>
        <w:t>hem could lead to substantial fines, penalties, third-party liability, remediation costs, potential cancellation of existing contracts and the inability to compete for future business. We have taken steps to address the requirements of GDPR, CCPA and other</w:t>
      </w:r>
      <w:r>
        <w:rPr>
          <w:rFonts w:ascii="Arial" w:eastAsia="Times New Roman" w:hAnsi="Arial" w:cs="Arial"/>
          <w:color w:val="000000"/>
          <w:sz w:val="20"/>
          <w:szCs w:val="20"/>
        </w:rPr>
        <w:t xml:space="preserve"> applicable data privacy regulations, however, these steps may not prevent all data security breaches or ensure full compliance with all data privacy-related regulations or customer requirements, and any significant breach of the foregoing could have a mat</w:t>
      </w:r>
      <w:r>
        <w:rPr>
          <w:rFonts w:ascii="Arial" w:eastAsia="Times New Roman" w:hAnsi="Arial" w:cs="Arial"/>
          <w:color w:val="000000"/>
          <w:sz w:val="20"/>
          <w:szCs w:val="20"/>
        </w:rPr>
        <w:t>erial adverse effect on our business and reputation, as well as our financial condition, results of operations and cash flows.</w:t>
      </w:r>
    </w:p>
    <w:p w14:paraId="06089B70" w14:textId="77777777" w:rsidR="00000000" w:rsidRDefault="00C01C43">
      <w:pPr>
        <w:jc w:val="both"/>
        <w:rPr>
          <w:rFonts w:eastAsia="Times New Roman"/>
        </w:rPr>
      </w:pPr>
    </w:p>
    <w:p w14:paraId="133FC5B2" w14:textId="77777777" w:rsidR="00000000" w:rsidRDefault="00C01C43">
      <w:pPr>
        <w:jc w:val="both"/>
        <w:rPr>
          <w:rFonts w:eastAsia="Times New Roman"/>
        </w:rPr>
      </w:pPr>
      <w:r>
        <w:rPr>
          <w:rFonts w:ascii="Arial" w:eastAsia="Times New Roman" w:hAnsi="Arial" w:cs="Arial"/>
          <w:b/>
          <w:bCs/>
          <w:color w:val="000000"/>
          <w:sz w:val="20"/>
          <w:szCs w:val="20"/>
        </w:rPr>
        <w:t>Our international operations subject us to a number of international trade control, anti-money laundering and anti-corruption l</w:t>
      </w:r>
      <w:r>
        <w:rPr>
          <w:rFonts w:ascii="Arial" w:eastAsia="Times New Roman" w:hAnsi="Arial" w:cs="Arial"/>
          <w:b/>
          <w:bCs/>
          <w:color w:val="000000"/>
          <w:sz w:val="20"/>
          <w:szCs w:val="20"/>
        </w:rPr>
        <w:t>aws that can impose substantial compliance costs and expose us to civil and/or criminal penalties.</w:t>
      </w:r>
    </w:p>
    <w:p w14:paraId="10900560" w14:textId="77777777" w:rsidR="00000000" w:rsidRDefault="00C01C43">
      <w:pPr>
        <w:jc w:val="both"/>
        <w:rPr>
          <w:rFonts w:eastAsia="Times New Roman"/>
        </w:rPr>
      </w:pPr>
      <w:r>
        <w:rPr>
          <w:rFonts w:ascii="Arial" w:eastAsia="Times New Roman" w:hAnsi="Arial" w:cs="Arial"/>
          <w:color w:val="000000"/>
          <w:sz w:val="20"/>
          <w:szCs w:val="20"/>
        </w:rPr>
        <w:t>Our global operations are subject to applicable anti-corruption laws, such as the U.S. Foreign Corrupt Practices Act (“FCPA”) and the U.K. Bribery Act 2010 (</w:t>
      </w:r>
      <w:r>
        <w:rPr>
          <w:rFonts w:ascii="Arial" w:eastAsia="Times New Roman" w:hAnsi="Arial" w:cs="Arial"/>
          <w:color w:val="000000"/>
          <w:sz w:val="20"/>
          <w:szCs w:val="20"/>
        </w:rPr>
        <w:t>“Bribery Act”), anti-money laundering laws, international trade controls, and competition laws. Anti-corruption laws generally prohibit us from providing anything of value to foreign officials for the purposes of improperly influencing official decisions o</w:t>
      </w:r>
      <w:r>
        <w:rPr>
          <w:rFonts w:ascii="Arial" w:eastAsia="Times New Roman" w:hAnsi="Arial" w:cs="Arial"/>
          <w:color w:val="000000"/>
          <w:sz w:val="20"/>
          <w:szCs w:val="20"/>
        </w:rPr>
        <w:t>r improperly obtaining or retaining business and may also apply to commercial bribery.</w:t>
      </w:r>
    </w:p>
    <w:p w14:paraId="002AE0D6" w14:textId="77777777" w:rsidR="00000000" w:rsidRDefault="00C01C43">
      <w:pPr>
        <w:jc w:val="both"/>
        <w:rPr>
          <w:rFonts w:eastAsia="Times New Roman"/>
        </w:rPr>
      </w:pPr>
    </w:p>
    <w:p w14:paraId="0800249F" w14:textId="77777777" w:rsidR="00000000" w:rsidRDefault="00C01C43">
      <w:pPr>
        <w:jc w:val="both"/>
        <w:rPr>
          <w:rFonts w:eastAsia="Times New Roman"/>
        </w:rPr>
      </w:pPr>
      <w:r>
        <w:rPr>
          <w:rFonts w:ascii="Arial" w:eastAsia="Times New Roman" w:hAnsi="Arial" w:cs="Arial"/>
          <w:color w:val="000000"/>
          <w:sz w:val="20"/>
          <w:szCs w:val="20"/>
        </w:rPr>
        <w:t>As part of our business, we operate in countries with a high degree of corruption and frequently interact with state-owned enterprises and government officials. This m</w:t>
      </w:r>
      <w:r>
        <w:rPr>
          <w:rFonts w:ascii="Arial" w:eastAsia="Times New Roman" w:hAnsi="Arial" w:cs="Arial"/>
          <w:color w:val="000000"/>
          <w:sz w:val="20"/>
          <w:szCs w:val="20"/>
        </w:rPr>
        <w:t>ay increase the risk of improper payments being demanded of, offered by, or made by one of our employees or a party acting on our behalf. The risk of enforcement has also grown in recent years as more of the countries in which we operate have passed anti-c</w:t>
      </w:r>
      <w:r>
        <w:rPr>
          <w:rFonts w:ascii="Arial" w:eastAsia="Times New Roman" w:hAnsi="Arial" w:cs="Arial"/>
          <w:color w:val="000000"/>
          <w:sz w:val="20"/>
          <w:szCs w:val="20"/>
        </w:rPr>
        <w:t>orruption laws and prioritized enforcement of those laws which can result in significant fines and penalties.</w:t>
      </w:r>
    </w:p>
    <w:p w14:paraId="0889A80E" w14:textId="77777777" w:rsidR="00000000" w:rsidRDefault="00C01C43">
      <w:pPr>
        <w:jc w:val="both"/>
        <w:rPr>
          <w:rFonts w:eastAsia="Times New Roman"/>
        </w:rPr>
      </w:pPr>
    </w:p>
    <w:p w14:paraId="2400DD19" w14:textId="77777777" w:rsidR="00000000" w:rsidRDefault="00C01C43">
      <w:pPr>
        <w:jc w:val="both"/>
        <w:rPr>
          <w:rFonts w:eastAsia="Times New Roman"/>
        </w:rPr>
      </w:pPr>
      <w:r>
        <w:rPr>
          <w:rFonts w:ascii="Arial" w:eastAsia="Times New Roman" w:hAnsi="Arial" w:cs="Arial"/>
          <w:color w:val="000000"/>
          <w:sz w:val="20"/>
          <w:szCs w:val="20"/>
        </w:rPr>
        <w:t>International trade controls, including economic sanctions such as those administered by the U.S. Treasury’s Office of Foreign Assets Control (“</w:t>
      </w:r>
      <w:r>
        <w:rPr>
          <w:rFonts w:ascii="Arial" w:eastAsia="Times New Roman" w:hAnsi="Arial" w:cs="Arial"/>
          <w:color w:val="000000"/>
          <w:sz w:val="20"/>
          <w:szCs w:val="20"/>
        </w:rPr>
        <w:t>OFAC”), export controls and anti-boycott regulations, restrict our business dealings with certain countries and individuals, are complex and continually changing. Additional restrictions may be enacted, amended, enforced or interpreted in a manner that mat</w:t>
      </w:r>
      <w:r>
        <w:rPr>
          <w:rFonts w:ascii="Arial" w:eastAsia="Times New Roman" w:hAnsi="Arial" w:cs="Arial"/>
          <w:color w:val="000000"/>
          <w:sz w:val="20"/>
          <w:szCs w:val="20"/>
        </w:rPr>
        <w:t>erially impacts our operations. From time to time, certain of our subsidiaries have limited business dealings in countries subject to comprehensive OFAC administered sanctions. While such activities currently represent an immaterial amount of our consolida</w:t>
      </w:r>
      <w:r>
        <w:rPr>
          <w:rFonts w:ascii="Arial" w:eastAsia="Times New Roman" w:hAnsi="Arial" w:cs="Arial"/>
          <w:color w:val="000000"/>
          <w:sz w:val="20"/>
          <w:szCs w:val="20"/>
        </w:rPr>
        <w:t>ted revenue and income and are undertaken pursuant to general and/or specific licenses issued by OFAC or as otherwise permitted by applicable sanctions regulations. However, these activities may expose us to a heightened risk of violating trade control reg</w:t>
      </w:r>
      <w:r>
        <w:rPr>
          <w:rFonts w:ascii="Arial" w:eastAsia="Times New Roman" w:hAnsi="Arial" w:cs="Arial"/>
          <w:color w:val="000000"/>
          <w:sz w:val="20"/>
          <w:szCs w:val="20"/>
        </w:rPr>
        <w:t>ulations, which could result in significant penalties.</w:t>
      </w:r>
    </w:p>
    <w:p w14:paraId="502EBF42" w14:textId="77777777" w:rsidR="00000000" w:rsidRDefault="00C01C43">
      <w:pPr>
        <w:jc w:val="both"/>
        <w:rPr>
          <w:rFonts w:eastAsia="Times New Roman"/>
        </w:rPr>
      </w:pPr>
    </w:p>
    <w:p w14:paraId="2C6C1C3F" w14:textId="77777777" w:rsidR="00000000" w:rsidRDefault="00C01C43">
      <w:pPr>
        <w:jc w:val="both"/>
        <w:rPr>
          <w:rFonts w:eastAsia="Times New Roman"/>
        </w:rPr>
      </w:pPr>
      <w:r>
        <w:rPr>
          <w:rFonts w:ascii="Arial" w:eastAsia="Times New Roman" w:hAnsi="Arial" w:cs="Arial"/>
          <w:color w:val="000000"/>
          <w:sz w:val="20"/>
          <w:szCs w:val="20"/>
        </w:rPr>
        <w:t>We have established policies and procedures designed to assist with our compliance with these laws and regulations. Such policies and procedures may not always prevent us, our employees or parties ac</w:t>
      </w:r>
      <w:r>
        <w:rPr>
          <w:rFonts w:ascii="Arial" w:eastAsia="Times New Roman" w:hAnsi="Arial" w:cs="Arial"/>
          <w:color w:val="000000"/>
          <w:sz w:val="20"/>
          <w:szCs w:val="20"/>
        </w:rPr>
        <w:t>ting on our behalf from violating these laws and regulations. Violations may expose us to criminal or civil penalties, or other adverse consequences including the denial of export privileges, injunctions, asset seizures, debarment from government contracts</w:t>
      </w:r>
      <w:r>
        <w:rPr>
          <w:rFonts w:ascii="Arial" w:eastAsia="Times New Roman" w:hAnsi="Arial" w:cs="Arial"/>
          <w:color w:val="000000"/>
          <w:sz w:val="20"/>
          <w:szCs w:val="20"/>
        </w:rPr>
        <w:t xml:space="preserve">, and/or revocations or restrictions of licenses. In addition, the costs associated with responding to a government investigation and remediating any violations can be substantial. Furthermore, violations could trigger an event of default under our Credit </w:t>
      </w:r>
      <w:r>
        <w:rPr>
          <w:rFonts w:ascii="Arial" w:eastAsia="Times New Roman" w:hAnsi="Arial" w:cs="Arial"/>
          <w:color w:val="000000"/>
          <w:sz w:val="20"/>
          <w:szCs w:val="20"/>
        </w:rPr>
        <w:t>Facility, which if not waived, could result in the acceleration of any outstanding indebtedness, cause cross-defaults under other agreements to which we are a party, and impair our ability to obtain working capital advances or letters of credit. Accordingl</w:t>
      </w:r>
      <w:r>
        <w:rPr>
          <w:rFonts w:ascii="Arial" w:eastAsia="Times New Roman" w:hAnsi="Arial" w:cs="Arial"/>
          <w:color w:val="000000"/>
          <w:sz w:val="20"/>
          <w:szCs w:val="20"/>
        </w:rPr>
        <w:t>y, violations could adversely affect, among other things, our reputation, business, financial condition, results of operations and cash flows.</w:t>
      </w:r>
    </w:p>
    <w:p w14:paraId="4A846B7C" w14:textId="77777777" w:rsidR="00000000" w:rsidRDefault="00C01C43">
      <w:pPr>
        <w:jc w:val="both"/>
        <w:divId w:val="1842697287"/>
        <w:rPr>
          <w:rFonts w:eastAsia="Times New Roman"/>
        </w:rPr>
      </w:pPr>
    </w:p>
    <w:p w14:paraId="551C62A4" w14:textId="77777777" w:rsidR="00000000" w:rsidRDefault="00C01C43">
      <w:pPr>
        <w:jc w:val="both"/>
        <w:rPr>
          <w:rFonts w:eastAsia="Times New Roman"/>
        </w:rPr>
      </w:pPr>
      <w:r>
        <w:rPr>
          <w:rFonts w:ascii="Arial" w:eastAsia="Times New Roman" w:hAnsi="Arial" w:cs="Arial"/>
          <w:b/>
          <w:bCs/>
          <w:color w:val="000000"/>
        </w:rPr>
        <w:t>Item 1B. Unresolved</w:t>
      </w:r>
      <w:r>
        <w:rPr>
          <w:rFonts w:ascii="Arial" w:eastAsia="Times New Roman" w:hAnsi="Arial" w:cs="Arial"/>
          <w:color w:val="000000"/>
        </w:rPr>
        <w:t xml:space="preserve"> </w:t>
      </w:r>
      <w:r>
        <w:rPr>
          <w:rFonts w:ascii="Arial" w:eastAsia="Times New Roman" w:hAnsi="Arial" w:cs="Arial"/>
          <w:b/>
          <w:bCs/>
          <w:color w:val="000000"/>
        </w:rPr>
        <w:t>Staff Comments</w:t>
      </w:r>
    </w:p>
    <w:p w14:paraId="3D010B50" w14:textId="77777777" w:rsidR="00000000" w:rsidRDefault="00C01C43">
      <w:pPr>
        <w:jc w:val="both"/>
        <w:rPr>
          <w:rFonts w:eastAsia="Times New Roman"/>
        </w:rPr>
      </w:pPr>
    </w:p>
    <w:p w14:paraId="6C1BDED1" w14:textId="77777777" w:rsidR="00000000" w:rsidRDefault="00C01C43">
      <w:pPr>
        <w:jc w:val="both"/>
        <w:rPr>
          <w:rFonts w:eastAsia="Times New Roman"/>
        </w:rPr>
      </w:pPr>
      <w:r>
        <w:rPr>
          <w:rFonts w:ascii="Arial" w:eastAsia="Times New Roman" w:hAnsi="Arial" w:cs="Arial"/>
          <w:color w:val="000000"/>
          <w:sz w:val="20"/>
          <w:szCs w:val="20"/>
        </w:rPr>
        <w:t>None.</w:t>
      </w:r>
    </w:p>
    <w:p w14:paraId="043FE134" w14:textId="77777777" w:rsidR="00000000" w:rsidRDefault="00C01C43">
      <w:pPr>
        <w:jc w:val="center"/>
        <w:divId w:val="1112699601"/>
        <w:rPr>
          <w:rFonts w:eastAsia="Times New Roman"/>
        </w:rPr>
      </w:pPr>
      <w:r>
        <w:rPr>
          <w:rFonts w:ascii="Arial" w:eastAsia="Times New Roman" w:hAnsi="Arial" w:cs="Arial"/>
          <w:color w:val="000000"/>
          <w:sz w:val="16"/>
          <w:szCs w:val="16"/>
        </w:rPr>
        <w:t>21</w:t>
      </w:r>
    </w:p>
    <w:p w14:paraId="21AF4350" w14:textId="77777777" w:rsidR="00000000" w:rsidRDefault="00C01C43">
      <w:pPr>
        <w:rPr>
          <w:rFonts w:eastAsia="Times New Roman"/>
        </w:rPr>
      </w:pPr>
      <w:r>
        <w:rPr>
          <w:rFonts w:eastAsia="Times New Roman"/>
        </w:rPr>
        <w:pict w14:anchorId="418AAAD0">
          <v:rect id="_x0000_i1049" style="width:0;height:1.5pt" o:hralign="center" o:hrstd="t" o:hr="t" fillcolor="#a0a0a0" stroked="f"/>
        </w:pict>
      </w:r>
    </w:p>
    <w:p w14:paraId="5BB6091C" w14:textId="77777777" w:rsidR="00000000" w:rsidRDefault="00C01C43">
      <w:pPr>
        <w:divId w:val="982583524"/>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1886816" w14:textId="77777777" w:rsidR="00000000" w:rsidRDefault="00C01C43">
      <w:pPr>
        <w:jc w:val="both"/>
        <w:rPr>
          <w:rFonts w:eastAsia="Times New Roman"/>
        </w:rPr>
      </w:pPr>
      <w:r>
        <w:rPr>
          <w:rFonts w:ascii="Arial" w:eastAsia="Times New Roman" w:hAnsi="Arial" w:cs="Arial"/>
          <w:b/>
          <w:bCs/>
          <w:color w:val="000000"/>
        </w:rPr>
        <w:t>Item 2. Properties</w:t>
      </w:r>
    </w:p>
    <w:p w14:paraId="190E09EF" w14:textId="77777777" w:rsidR="00000000" w:rsidRDefault="00C01C43">
      <w:pPr>
        <w:jc w:val="both"/>
        <w:rPr>
          <w:rFonts w:eastAsia="Times New Roman"/>
        </w:rPr>
      </w:pPr>
    </w:p>
    <w:p w14:paraId="4A9FC5B4" w14:textId="77777777" w:rsidR="00000000" w:rsidRDefault="00C01C43">
      <w:pPr>
        <w:jc w:val="both"/>
        <w:divId w:val="1798141009"/>
        <w:rPr>
          <w:rFonts w:eastAsia="Times New Roman"/>
        </w:rPr>
      </w:pPr>
      <w:r>
        <w:rPr>
          <w:rFonts w:ascii="Arial" w:eastAsia="Times New Roman" w:hAnsi="Arial" w:cs="Arial"/>
          <w:color w:val="000000"/>
          <w:sz w:val="20"/>
          <w:szCs w:val="20"/>
        </w:rPr>
        <w:t>The following table sets forth our principal properties, the majority of which are leased, as of February 19, 2021. We cons</w:t>
      </w:r>
      <w:r>
        <w:rPr>
          <w:rFonts w:ascii="Arial" w:eastAsia="Times New Roman" w:hAnsi="Arial" w:cs="Arial"/>
          <w:color w:val="000000"/>
          <w:sz w:val="20"/>
          <w:szCs w:val="20"/>
        </w:rPr>
        <w:t>ider all of our properties and facilities to be suitable and adequate for our present needs and do not anticipate that we will experience difficulty in renewing or replacing those leases that expire in 2021 in any material respect.</w:t>
      </w:r>
    </w:p>
    <w:p w14:paraId="6E7066DA" w14:textId="77777777" w:rsidR="00000000" w:rsidRDefault="00C01C43">
      <w:pPr>
        <w:jc w:val="both"/>
        <w:rPr>
          <w:rFonts w:eastAsia="Times New Roman"/>
        </w:rPr>
      </w:pPr>
      <w:r>
        <w:rPr>
          <w:rFonts w:ascii="Arial" w:eastAsia="Times New Roman" w:hAnsi="Arial" w:cs="Arial"/>
          <w:b/>
          <w:bCs/>
          <w:color w:val="000000"/>
        </w:rPr>
        <w:t>WORLD FUEL SERVICES CORPORATION AND SUBSIDIARIES</w:t>
      </w:r>
    </w:p>
    <w:p w14:paraId="69269894" w14:textId="77777777" w:rsidR="00000000" w:rsidRDefault="00C01C43">
      <w:pPr>
        <w:jc w:val="both"/>
        <w:rPr>
          <w:rFonts w:eastAsia="Times New Roman"/>
        </w:rPr>
      </w:pPr>
      <w:r>
        <w:rPr>
          <w:rFonts w:ascii="Arial" w:eastAsia="Times New Roman" w:hAnsi="Arial" w:cs="Arial"/>
          <w:b/>
          <w:bCs/>
          <w:color w:val="000000"/>
        </w:rPr>
        <w:t>PROPERTIES </w:t>
      </w:r>
    </w:p>
    <w:tbl>
      <w:tblPr>
        <w:tblW w:w="4926" w:type="pct"/>
        <w:tblCellMar>
          <w:top w:w="15" w:type="dxa"/>
          <w:left w:w="15" w:type="dxa"/>
          <w:bottom w:w="15" w:type="dxa"/>
          <w:right w:w="15" w:type="dxa"/>
        </w:tblCellMar>
        <w:tblLook w:val="04A0" w:firstRow="1" w:lastRow="0" w:firstColumn="1" w:lastColumn="0" w:noHBand="0" w:noVBand="1"/>
      </w:tblPr>
      <w:tblGrid>
        <w:gridCol w:w="57"/>
        <w:gridCol w:w="2664"/>
        <w:gridCol w:w="37"/>
        <w:gridCol w:w="36"/>
        <w:gridCol w:w="36"/>
        <w:gridCol w:w="36"/>
        <w:gridCol w:w="41"/>
        <w:gridCol w:w="3807"/>
        <w:gridCol w:w="36"/>
        <w:gridCol w:w="36"/>
        <w:gridCol w:w="36"/>
        <w:gridCol w:w="36"/>
        <w:gridCol w:w="58"/>
        <w:gridCol w:w="1230"/>
        <w:gridCol w:w="37"/>
      </w:tblGrid>
      <w:tr w:rsidR="00000000" w14:paraId="3C6C2226" w14:textId="77777777">
        <w:trPr>
          <w:divId w:val="1601841475"/>
        </w:trPr>
        <w:tc>
          <w:tcPr>
            <w:tcW w:w="50" w:type="pct"/>
            <w:vAlign w:val="center"/>
            <w:hideMark/>
          </w:tcPr>
          <w:p w14:paraId="08B84873" w14:textId="77777777" w:rsidR="00000000" w:rsidRDefault="00C01C43">
            <w:pPr>
              <w:jc w:val="both"/>
              <w:rPr>
                <w:rFonts w:eastAsia="Times New Roman"/>
              </w:rPr>
            </w:pPr>
          </w:p>
        </w:tc>
        <w:tc>
          <w:tcPr>
            <w:tcW w:w="1643" w:type="pct"/>
            <w:vAlign w:val="center"/>
            <w:hideMark/>
          </w:tcPr>
          <w:p w14:paraId="20C01FB9" w14:textId="77777777" w:rsidR="00000000" w:rsidRDefault="00C01C43">
            <w:pPr>
              <w:rPr>
                <w:rFonts w:eastAsia="Times New Roman"/>
                <w:sz w:val="20"/>
                <w:szCs w:val="20"/>
              </w:rPr>
            </w:pPr>
          </w:p>
        </w:tc>
        <w:tc>
          <w:tcPr>
            <w:tcW w:w="5" w:type="pct"/>
            <w:vAlign w:val="center"/>
            <w:hideMark/>
          </w:tcPr>
          <w:p w14:paraId="058DBBAD" w14:textId="77777777" w:rsidR="00000000" w:rsidRDefault="00C01C43">
            <w:pPr>
              <w:rPr>
                <w:rFonts w:eastAsia="Times New Roman"/>
                <w:sz w:val="20"/>
                <w:szCs w:val="20"/>
              </w:rPr>
            </w:pPr>
          </w:p>
        </w:tc>
        <w:tc>
          <w:tcPr>
            <w:tcW w:w="5" w:type="pct"/>
            <w:vAlign w:val="center"/>
            <w:hideMark/>
          </w:tcPr>
          <w:p w14:paraId="2965898E" w14:textId="77777777" w:rsidR="00000000" w:rsidRDefault="00C01C43">
            <w:pPr>
              <w:rPr>
                <w:rFonts w:eastAsia="Times New Roman"/>
                <w:sz w:val="20"/>
                <w:szCs w:val="20"/>
              </w:rPr>
            </w:pPr>
          </w:p>
        </w:tc>
        <w:tc>
          <w:tcPr>
            <w:tcW w:w="27" w:type="pct"/>
            <w:vAlign w:val="center"/>
            <w:hideMark/>
          </w:tcPr>
          <w:p w14:paraId="375ADEC8" w14:textId="77777777" w:rsidR="00000000" w:rsidRDefault="00C01C43">
            <w:pPr>
              <w:rPr>
                <w:rFonts w:eastAsia="Times New Roman"/>
                <w:sz w:val="20"/>
                <w:szCs w:val="20"/>
              </w:rPr>
            </w:pPr>
          </w:p>
        </w:tc>
        <w:tc>
          <w:tcPr>
            <w:tcW w:w="5" w:type="pct"/>
            <w:vAlign w:val="center"/>
            <w:hideMark/>
          </w:tcPr>
          <w:p w14:paraId="34218276" w14:textId="77777777" w:rsidR="00000000" w:rsidRDefault="00C01C43">
            <w:pPr>
              <w:rPr>
                <w:rFonts w:eastAsia="Times New Roman"/>
                <w:sz w:val="20"/>
                <w:szCs w:val="20"/>
              </w:rPr>
            </w:pPr>
          </w:p>
        </w:tc>
        <w:tc>
          <w:tcPr>
            <w:tcW w:w="50" w:type="pct"/>
            <w:vAlign w:val="center"/>
            <w:hideMark/>
          </w:tcPr>
          <w:p w14:paraId="0496C09D" w14:textId="77777777" w:rsidR="00000000" w:rsidRDefault="00C01C43">
            <w:pPr>
              <w:rPr>
                <w:rFonts w:eastAsia="Times New Roman"/>
                <w:sz w:val="20"/>
                <w:szCs w:val="20"/>
              </w:rPr>
            </w:pPr>
          </w:p>
        </w:tc>
        <w:tc>
          <w:tcPr>
            <w:tcW w:w="2341" w:type="pct"/>
            <w:vAlign w:val="center"/>
            <w:hideMark/>
          </w:tcPr>
          <w:p w14:paraId="2667EF0C" w14:textId="77777777" w:rsidR="00000000" w:rsidRDefault="00C01C43">
            <w:pPr>
              <w:rPr>
                <w:rFonts w:eastAsia="Times New Roman"/>
                <w:sz w:val="20"/>
                <w:szCs w:val="20"/>
              </w:rPr>
            </w:pPr>
          </w:p>
        </w:tc>
        <w:tc>
          <w:tcPr>
            <w:tcW w:w="5" w:type="pct"/>
            <w:vAlign w:val="center"/>
            <w:hideMark/>
          </w:tcPr>
          <w:p w14:paraId="7C4A790C" w14:textId="77777777" w:rsidR="00000000" w:rsidRDefault="00C01C43">
            <w:pPr>
              <w:rPr>
                <w:rFonts w:eastAsia="Times New Roman"/>
                <w:sz w:val="20"/>
                <w:szCs w:val="20"/>
              </w:rPr>
            </w:pPr>
          </w:p>
        </w:tc>
        <w:tc>
          <w:tcPr>
            <w:tcW w:w="5" w:type="pct"/>
            <w:vAlign w:val="center"/>
            <w:hideMark/>
          </w:tcPr>
          <w:p w14:paraId="5012AB75" w14:textId="77777777" w:rsidR="00000000" w:rsidRDefault="00C01C43">
            <w:pPr>
              <w:rPr>
                <w:rFonts w:eastAsia="Times New Roman"/>
                <w:sz w:val="20"/>
                <w:szCs w:val="20"/>
              </w:rPr>
            </w:pPr>
          </w:p>
        </w:tc>
        <w:tc>
          <w:tcPr>
            <w:tcW w:w="27" w:type="pct"/>
            <w:vAlign w:val="center"/>
            <w:hideMark/>
          </w:tcPr>
          <w:p w14:paraId="77488922" w14:textId="77777777" w:rsidR="00000000" w:rsidRDefault="00C01C43">
            <w:pPr>
              <w:rPr>
                <w:rFonts w:eastAsia="Times New Roman"/>
                <w:sz w:val="20"/>
                <w:szCs w:val="20"/>
              </w:rPr>
            </w:pPr>
          </w:p>
        </w:tc>
        <w:tc>
          <w:tcPr>
            <w:tcW w:w="5" w:type="pct"/>
            <w:vAlign w:val="center"/>
            <w:hideMark/>
          </w:tcPr>
          <w:p w14:paraId="34C1D131" w14:textId="77777777" w:rsidR="00000000" w:rsidRDefault="00C01C43">
            <w:pPr>
              <w:rPr>
                <w:rFonts w:eastAsia="Times New Roman"/>
                <w:sz w:val="20"/>
                <w:szCs w:val="20"/>
              </w:rPr>
            </w:pPr>
          </w:p>
        </w:tc>
        <w:tc>
          <w:tcPr>
            <w:tcW w:w="50" w:type="pct"/>
            <w:vAlign w:val="center"/>
            <w:hideMark/>
          </w:tcPr>
          <w:p w14:paraId="0A8317C0" w14:textId="77777777" w:rsidR="00000000" w:rsidRDefault="00C01C43">
            <w:pPr>
              <w:rPr>
                <w:rFonts w:eastAsia="Times New Roman"/>
                <w:sz w:val="20"/>
                <w:szCs w:val="20"/>
              </w:rPr>
            </w:pPr>
          </w:p>
        </w:tc>
        <w:tc>
          <w:tcPr>
            <w:tcW w:w="776" w:type="pct"/>
            <w:vAlign w:val="center"/>
            <w:hideMark/>
          </w:tcPr>
          <w:p w14:paraId="6232D725" w14:textId="77777777" w:rsidR="00000000" w:rsidRDefault="00C01C43">
            <w:pPr>
              <w:rPr>
                <w:rFonts w:eastAsia="Times New Roman"/>
                <w:sz w:val="20"/>
                <w:szCs w:val="20"/>
              </w:rPr>
            </w:pPr>
          </w:p>
        </w:tc>
        <w:tc>
          <w:tcPr>
            <w:tcW w:w="5" w:type="pct"/>
            <w:vAlign w:val="center"/>
            <w:hideMark/>
          </w:tcPr>
          <w:p w14:paraId="5374A1B3" w14:textId="77777777" w:rsidR="00000000" w:rsidRDefault="00C01C43">
            <w:pPr>
              <w:rPr>
                <w:rFonts w:eastAsia="Times New Roman"/>
                <w:sz w:val="20"/>
                <w:szCs w:val="20"/>
              </w:rPr>
            </w:pPr>
          </w:p>
        </w:tc>
      </w:tr>
      <w:tr w:rsidR="00000000" w14:paraId="17642F05" w14:textId="77777777">
        <w:trPr>
          <w:divId w:val="1601841475"/>
        </w:trPr>
        <w:tc>
          <w:tcPr>
            <w:tcW w:w="0" w:type="auto"/>
            <w:gridSpan w:val="3"/>
            <w:tcBorders>
              <w:bottom w:val="single" w:sz="8" w:space="0" w:color="000000"/>
            </w:tcBorders>
            <w:tcMar>
              <w:top w:w="30" w:type="dxa"/>
              <w:left w:w="20" w:type="dxa"/>
              <w:bottom w:w="30" w:type="dxa"/>
              <w:right w:w="20" w:type="dxa"/>
            </w:tcMar>
            <w:hideMark/>
          </w:tcPr>
          <w:p w14:paraId="1B66E8A5" w14:textId="77777777" w:rsidR="00000000" w:rsidRDefault="00C01C43">
            <w:pPr>
              <w:rPr>
                <w:rFonts w:eastAsia="Times New Roman"/>
              </w:rPr>
            </w:pPr>
            <w:r>
              <w:rPr>
                <w:rFonts w:ascii="Arial" w:eastAsia="Times New Roman" w:hAnsi="Arial" w:cs="Arial"/>
                <w:b/>
                <w:bCs/>
                <w:color w:val="000000"/>
                <w:sz w:val="16"/>
                <w:szCs w:val="16"/>
              </w:rPr>
              <w:t>Location</w:t>
            </w:r>
          </w:p>
        </w:tc>
        <w:tc>
          <w:tcPr>
            <w:tcW w:w="0" w:type="auto"/>
            <w:gridSpan w:val="3"/>
            <w:tcBorders>
              <w:bottom w:val="single" w:sz="8" w:space="0" w:color="000000"/>
            </w:tcBorders>
            <w:tcMar>
              <w:top w:w="0" w:type="dxa"/>
              <w:left w:w="20" w:type="dxa"/>
              <w:bottom w:w="0" w:type="dxa"/>
              <w:right w:w="20" w:type="dxa"/>
            </w:tcMar>
            <w:vAlign w:val="center"/>
            <w:hideMark/>
          </w:tcPr>
          <w:p w14:paraId="55F7B770" w14:textId="77777777" w:rsidR="00000000" w:rsidRDefault="00C01C43">
            <w:pPr>
              <w:rPr>
                <w:rFonts w:eastAsia="Times New Roman"/>
              </w:rPr>
            </w:pPr>
          </w:p>
        </w:tc>
        <w:tc>
          <w:tcPr>
            <w:tcW w:w="0" w:type="auto"/>
            <w:gridSpan w:val="3"/>
            <w:tcBorders>
              <w:bottom w:val="single" w:sz="8" w:space="0" w:color="000000"/>
            </w:tcBorders>
            <w:tcMar>
              <w:top w:w="30" w:type="dxa"/>
              <w:left w:w="20" w:type="dxa"/>
              <w:bottom w:w="30" w:type="dxa"/>
              <w:right w:w="20" w:type="dxa"/>
            </w:tcMar>
            <w:hideMark/>
          </w:tcPr>
          <w:p w14:paraId="1B45380E" w14:textId="77777777" w:rsidR="00000000" w:rsidRDefault="00C01C43">
            <w:pPr>
              <w:rPr>
                <w:rFonts w:eastAsia="Times New Roman"/>
              </w:rPr>
            </w:pPr>
            <w:r>
              <w:rPr>
                <w:rFonts w:ascii="Arial" w:eastAsia="Times New Roman" w:hAnsi="Arial" w:cs="Arial"/>
                <w:b/>
                <w:bCs/>
                <w:color w:val="000000"/>
                <w:sz w:val="16"/>
                <w:szCs w:val="16"/>
              </w:rPr>
              <w:t>Principal Use</w:t>
            </w:r>
          </w:p>
        </w:tc>
        <w:tc>
          <w:tcPr>
            <w:tcW w:w="0" w:type="auto"/>
            <w:gridSpan w:val="3"/>
            <w:tcBorders>
              <w:bottom w:val="single" w:sz="8" w:space="0" w:color="000000"/>
            </w:tcBorders>
            <w:tcMar>
              <w:top w:w="0" w:type="dxa"/>
              <w:left w:w="20" w:type="dxa"/>
              <w:bottom w:w="0" w:type="dxa"/>
              <w:right w:w="20" w:type="dxa"/>
            </w:tcMar>
            <w:vAlign w:val="center"/>
            <w:hideMark/>
          </w:tcPr>
          <w:p w14:paraId="498427EF" w14:textId="77777777" w:rsidR="00000000" w:rsidRDefault="00C01C43">
            <w:pP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DFCD42A" w14:textId="77777777" w:rsidR="00000000" w:rsidRDefault="00C01C43">
            <w:pPr>
              <w:rPr>
                <w:rFonts w:eastAsia="Times New Roman"/>
              </w:rPr>
            </w:pPr>
            <w:r>
              <w:rPr>
                <w:rFonts w:ascii="Arial" w:eastAsia="Times New Roman" w:hAnsi="Arial" w:cs="Arial"/>
                <w:b/>
                <w:bCs/>
                <w:color w:val="000000"/>
                <w:sz w:val="16"/>
                <w:szCs w:val="16"/>
              </w:rPr>
              <w:t>Lease Expiration</w:t>
            </w:r>
          </w:p>
        </w:tc>
      </w:tr>
      <w:tr w:rsidR="00000000" w14:paraId="2ECE8DDA" w14:textId="77777777">
        <w:trPr>
          <w:divId w:val="1601841475"/>
          <w:trHeight w:val="60"/>
        </w:trPr>
        <w:tc>
          <w:tcPr>
            <w:tcW w:w="0" w:type="auto"/>
            <w:gridSpan w:val="3"/>
            <w:tcBorders>
              <w:top w:val="single" w:sz="8" w:space="0" w:color="000000"/>
            </w:tcBorders>
            <w:tcMar>
              <w:top w:w="0" w:type="dxa"/>
              <w:left w:w="20" w:type="dxa"/>
              <w:bottom w:w="0" w:type="dxa"/>
              <w:right w:w="20" w:type="dxa"/>
            </w:tcMar>
            <w:vAlign w:val="center"/>
            <w:hideMark/>
          </w:tcPr>
          <w:p w14:paraId="796C8BAF" w14:textId="77777777" w:rsidR="00000000" w:rsidRDefault="00C01C4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437B39B" w14:textId="77777777" w:rsidR="00000000" w:rsidRDefault="00C01C4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F22509" w14:textId="77777777" w:rsidR="00000000" w:rsidRDefault="00C01C4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83C168" w14:textId="77777777" w:rsidR="00000000" w:rsidRDefault="00C01C4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9F856E" w14:textId="77777777" w:rsidR="00000000" w:rsidRDefault="00C01C43">
            <w:pPr>
              <w:rPr>
                <w:rFonts w:eastAsia="Times New Roman"/>
                <w:sz w:val="20"/>
                <w:szCs w:val="20"/>
              </w:rPr>
            </w:pPr>
          </w:p>
        </w:tc>
      </w:tr>
      <w:tr w:rsidR="00000000" w14:paraId="1010AE93" w14:textId="77777777">
        <w:trPr>
          <w:divId w:val="1601841475"/>
        </w:trPr>
        <w:tc>
          <w:tcPr>
            <w:tcW w:w="0" w:type="auto"/>
            <w:gridSpan w:val="3"/>
            <w:tcMar>
              <w:top w:w="30" w:type="dxa"/>
              <w:left w:w="20" w:type="dxa"/>
              <w:bottom w:w="30" w:type="dxa"/>
              <w:right w:w="20" w:type="dxa"/>
            </w:tcMar>
            <w:hideMark/>
          </w:tcPr>
          <w:p w14:paraId="4524A336" w14:textId="77777777" w:rsidR="00000000" w:rsidRDefault="00C01C43">
            <w:pPr>
              <w:rPr>
                <w:rFonts w:eastAsia="Times New Roman"/>
              </w:rPr>
            </w:pPr>
            <w:r>
              <w:rPr>
                <w:rFonts w:ascii="Arial" w:eastAsia="Times New Roman" w:hAnsi="Arial" w:cs="Arial"/>
                <w:color w:val="000000"/>
                <w:sz w:val="20"/>
                <w:szCs w:val="20"/>
              </w:rPr>
              <w:t>9800 Northwest 41st Street</w:t>
            </w:r>
            <w:r>
              <w:rPr>
                <w:rFonts w:ascii="Arial" w:eastAsia="Times New Roman" w:hAnsi="Arial" w:cs="Arial"/>
                <w:color w:val="000000"/>
                <w:sz w:val="20"/>
                <w:szCs w:val="20"/>
              </w:rPr>
              <w:br/>
              <w:t>Miami, FL 33178, USA</w:t>
            </w:r>
          </w:p>
        </w:tc>
        <w:tc>
          <w:tcPr>
            <w:tcW w:w="0" w:type="auto"/>
            <w:gridSpan w:val="3"/>
            <w:tcMar>
              <w:top w:w="0" w:type="dxa"/>
              <w:left w:w="20" w:type="dxa"/>
              <w:bottom w:w="0" w:type="dxa"/>
              <w:right w:w="20" w:type="dxa"/>
            </w:tcMar>
            <w:vAlign w:val="center"/>
            <w:hideMark/>
          </w:tcPr>
          <w:p w14:paraId="29961F3E"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7F395214" w14:textId="77777777" w:rsidR="00000000" w:rsidRDefault="00C01C43">
            <w:pPr>
              <w:rPr>
                <w:rFonts w:eastAsia="Times New Roman"/>
              </w:rPr>
            </w:pPr>
            <w:r>
              <w:rPr>
                <w:rFonts w:ascii="Arial" w:eastAsia="Times New Roman" w:hAnsi="Arial" w:cs="Arial"/>
                <w:color w:val="000000"/>
                <w:sz w:val="20"/>
                <w:szCs w:val="20"/>
              </w:rPr>
              <w:t>Executive, administrative, operations and sales office for corporate, aviation, land and marine segments</w:t>
            </w:r>
          </w:p>
        </w:tc>
        <w:tc>
          <w:tcPr>
            <w:tcW w:w="0" w:type="auto"/>
            <w:gridSpan w:val="3"/>
            <w:tcMar>
              <w:top w:w="0" w:type="dxa"/>
              <w:left w:w="20" w:type="dxa"/>
              <w:bottom w:w="0" w:type="dxa"/>
              <w:right w:w="20" w:type="dxa"/>
            </w:tcMar>
            <w:vAlign w:val="center"/>
            <w:hideMark/>
          </w:tcPr>
          <w:p w14:paraId="550ED12F"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347BE519" w14:textId="77777777" w:rsidR="00000000" w:rsidRDefault="00C01C43">
            <w:pPr>
              <w:rPr>
                <w:rFonts w:eastAsia="Times New Roman"/>
              </w:rPr>
            </w:pPr>
            <w:r>
              <w:rPr>
                <w:rFonts w:ascii="Arial" w:eastAsia="Times New Roman" w:hAnsi="Arial" w:cs="Arial"/>
                <w:color w:val="000000"/>
                <w:sz w:val="20"/>
                <w:szCs w:val="20"/>
              </w:rPr>
              <w:t>August 2031</w:t>
            </w:r>
          </w:p>
        </w:tc>
      </w:tr>
      <w:tr w:rsidR="00000000" w14:paraId="5C8C87EA" w14:textId="77777777">
        <w:trPr>
          <w:divId w:val="1601841475"/>
          <w:trHeight w:val="60"/>
        </w:trPr>
        <w:tc>
          <w:tcPr>
            <w:tcW w:w="0" w:type="auto"/>
            <w:gridSpan w:val="3"/>
            <w:tcMar>
              <w:top w:w="0" w:type="dxa"/>
              <w:left w:w="20" w:type="dxa"/>
              <w:bottom w:w="0" w:type="dxa"/>
              <w:right w:w="20" w:type="dxa"/>
            </w:tcMar>
            <w:vAlign w:val="center"/>
            <w:hideMark/>
          </w:tcPr>
          <w:p w14:paraId="6B06039C"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60C55914"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DF73334"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5F740AAF"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1CACFA4" w14:textId="77777777" w:rsidR="00000000" w:rsidRDefault="00C01C43">
            <w:pPr>
              <w:rPr>
                <w:rFonts w:eastAsia="Times New Roman"/>
                <w:sz w:val="20"/>
                <w:szCs w:val="20"/>
              </w:rPr>
            </w:pPr>
          </w:p>
        </w:tc>
      </w:tr>
      <w:tr w:rsidR="00000000" w14:paraId="4EDD7678" w14:textId="77777777">
        <w:trPr>
          <w:divId w:val="1601841475"/>
        </w:trPr>
        <w:tc>
          <w:tcPr>
            <w:tcW w:w="0" w:type="auto"/>
            <w:gridSpan w:val="3"/>
            <w:tcMar>
              <w:top w:w="30" w:type="dxa"/>
              <w:left w:w="20" w:type="dxa"/>
              <w:bottom w:w="30" w:type="dxa"/>
              <w:right w:w="20" w:type="dxa"/>
            </w:tcMar>
            <w:hideMark/>
          </w:tcPr>
          <w:p w14:paraId="164704D6" w14:textId="77777777" w:rsidR="00000000" w:rsidRDefault="00C01C43">
            <w:pPr>
              <w:rPr>
                <w:rFonts w:eastAsia="Times New Roman"/>
              </w:rPr>
            </w:pPr>
            <w:r>
              <w:rPr>
                <w:rFonts w:ascii="Arial" w:eastAsia="Times New Roman" w:hAnsi="Arial" w:cs="Arial"/>
                <w:color w:val="000000"/>
                <w:sz w:val="20"/>
                <w:szCs w:val="20"/>
              </w:rPr>
              <w:t>Office No. 2003, Swiss Tower</w:t>
            </w:r>
            <w:r>
              <w:rPr>
                <w:rFonts w:ascii="Arial" w:eastAsia="Times New Roman" w:hAnsi="Arial" w:cs="Arial"/>
                <w:color w:val="000000"/>
                <w:sz w:val="20"/>
                <w:szCs w:val="20"/>
              </w:rPr>
              <w:br/>
              <w:t>Plot No. Y3, Jumeirah Lakes Towers</w:t>
            </w:r>
            <w:r>
              <w:rPr>
                <w:rFonts w:ascii="Arial" w:eastAsia="Times New Roman" w:hAnsi="Arial" w:cs="Arial"/>
                <w:color w:val="000000"/>
                <w:sz w:val="20"/>
                <w:szCs w:val="20"/>
              </w:rPr>
              <w:br/>
            </w:r>
            <w:r>
              <w:rPr>
                <w:rFonts w:ascii="Arial" w:eastAsia="Times New Roman" w:hAnsi="Arial" w:cs="Arial"/>
                <w:color w:val="000000"/>
                <w:sz w:val="20"/>
                <w:szCs w:val="20"/>
              </w:rPr>
              <w:t>Dubai, United Arab Emirates</w:t>
            </w:r>
          </w:p>
        </w:tc>
        <w:tc>
          <w:tcPr>
            <w:tcW w:w="0" w:type="auto"/>
            <w:gridSpan w:val="3"/>
            <w:tcMar>
              <w:top w:w="0" w:type="dxa"/>
              <w:left w:w="20" w:type="dxa"/>
              <w:bottom w:w="0" w:type="dxa"/>
              <w:right w:w="20" w:type="dxa"/>
            </w:tcMar>
            <w:vAlign w:val="center"/>
            <w:hideMark/>
          </w:tcPr>
          <w:p w14:paraId="3D9154A4"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0B68FBB0" w14:textId="77777777" w:rsidR="00000000" w:rsidRDefault="00C01C43">
            <w:pPr>
              <w:rPr>
                <w:rFonts w:eastAsia="Times New Roman"/>
              </w:rPr>
            </w:pPr>
            <w:r>
              <w:rPr>
                <w:rFonts w:ascii="Arial" w:eastAsia="Times New Roman" w:hAnsi="Arial" w:cs="Arial"/>
                <w:color w:val="000000"/>
                <w:sz w:val="20"/>
                <w:szCs w:val="20"/>
              </w:rPr>
              <w:t>Sales and marketing office for aviation and marine segments</w:t>
            </w:r>
          </w:p>
        </w:tc>
        <w:tc>
          <w:tcPr>
            <w:tcW w:w="0" w:type="auto"/>
            <w:gridSpan w:val="3"/>
            <w:tcMar>
              <w:top w:w="0" w:type="dxa"/>
              <w:left w:w="20" w:type="dxa"/>
              <w:bottom w:w="0" w:type="dxa"/>
              <w:right w:w="20" w:type="dxa"/>
            </w:tcMar>
            <w:vAlign w:val="center"/>
            <w:hideMark/>
          </w:tcPr>
          <w:p w14:paraId="558C35D3"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7EF9C3E7" w14:textId="77777777" w:rsidR="00000000" w:rsidRDefault="00C01C43">
            <w:pPr>
              <w:rPr>
                <w:rFonts w:eastAsia="Times New Roman"/>
              </w:rPr>
            </w:pPr>
            <w:r>
              <w:rPr>
                <w:rFonts w:ascii="Arial" w:eastAsia="Times New Roman" w:hAnsi="Arial" w:cs="Arial"/>
                <w:color w:val="000000"/>
                <w:sz w:val="20"/>
                <w:szCs w:val="20"/>
              </w:rPr>
              <w:t>March 2022</w:t>
            </w:r>
          </w:p>
        </w:tc>
      </w:tr>
      <w:tr w:rsidR="00000000" w14:paraId="39D9D7DA" w14:textId="77777777">
        <w:trPr>
          <w:divId w:val="1601841475"/>
          <w:trHeight w:val="60"/>
        </w:trPr>
        <w:tc>
          <w:tcPr>
            <w:tcW w:w="0" w:type="auto"/>
            <w:gridSpan w:val="3"/>
            <w:tcMar>
              <w:top w:w="0" w:type="dxa"/>
              <w:left w:w="20" w:type="dxa"/>
              <w:bottom w:w="0" w:type="dxa"/>
              <w:right w:w="20" w:type="dxa"/>
            </w:tcMar>
            <w:vAlign w:val="center"/>
            <w:hideMark/>
          </w:tcPr>
          <w:p w14:paraId="2116B5AF"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7F44B71D"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A31CAC0"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333BDAED"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1A4A9243" w14:textId="77777777" w:rsidR="00000000" w:rsidRDefault="00C01C43">
            <w:pPr>
              <w:rPr>
                <w:rFonts w:eastAsia="Times New Roman"/>
                <w:sz w:val="20"/>
                <w:szCs w:val="20"/>
              </w:rPr>
            </w:pPr>
          </w:p>
        </w:tc>
      </w:tr>
      <w:tr w:rsidR="00000000" w14:paraId="06AB4CFE" w14:textId="77777777">
        <w:trPr>
          <w:divId w:val="1601841475"/>
        </w:trPr>
        <w:tc>
          <w:tcPr>
            <w:tcW w:w="0" w:type="auto"/>
            <w:gridSpan w:val="3"/>
            <w:tcMar>
              <w:top w:w="30" w:type="dxa"/>
              <w:left w:w="20" w:type="dxa"/>
              <w:bottom w:w="30" w:type="dxa"/>
              <w:right w:w="20" w:type="dxa"/>
            </w:tcMar>
            <w:hideMark/>
          </w:tcPr>
          <w:p w14:paraId="753A92EB" w14:textId="77777777" w:rsidR="00000000" w:rsidRDefault="00C01C43">
            <w:pPr>
              <w:rPr>
                <w:rFonts w:eastAsia="Times New Roman"/>
              </w:rPr>
            </w:pPr>
            <w:r>
              <w:rPr>
                <w:rFonts w:ascii="Arial" w:eastAsia="Times New Roman" w:hAnsi="Arial" w:cs="Arial"/>
                <w:color w:val="000000"/>
                <w:sz w:val="20"/>
                <w:szCs w:val="20"/>
              </w:rPr>
              <w:t>Forum 2, Building N, Level 4, Radial</w:t>
            </w:r>
            <w:r>
              <w:rPr>
                <w:rFonts w:ascii="Arial" w:eastAsia="Times New Roman" w:hAnsi="Arial" w:cs="Arial"/>
                <w:color w:val="000000"/>
                <w:sz w:val="20"/>
                <w:szCs w:val="20"/>
              </w:rPr>
              <w:br/>
              <w:t>Santa Ana Belén (Lindoral), Pozos,</w:t>
            </w:r>
            <w:r>
              <w:rPr>
                <w:rFonts w:ascii="Arial" w:eastAsia="Times New Roman" w:hAnsi="Arial" w:cs="Arial"/>
                <w:color w:val="000000"/>
                <w:sz w:val="20"/>
                <w:szCs w:val="20"/>
              </w:rPr>
              <w:br/>
              <w:t>Santa Ana San José, Costa Rica</w:t>
            </w:r>
          </w:p>
        </w:tc>
        <w:tc>
          <w:tcPr>
            <w:tcW w:w="0" w:type="auto"/>
            <w:gridSpan w:val="3"/>
            <w:tcMar>
              <w:top w:w="0" w:type="dxa"/>
              <w:left w:w="20" w:type="dxa"/>
              <w:bottom w:w="0" w:type="dxa"/>
              <w:right w:w="20" w:type="dxa"/>
            </w:tcMar>
            <w:vAlign w:val="center"/>
            <w:hideMark/>
          </w:tcPr>
          <w:p w14:paraId="63234192"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5A977626" w14:textId="77777777" w:rsidR="00000000" w:rsidRDefault="00C01C43">
            <w:pPr>
              <w:rPr>
                <w:rFonts w:eastAsia="Times New Roman"/>
              </w:rPr>
            </w:pPr>
            <w:r>
              <w:rPr>
                <w:rFonts w:ascii="Arial" w:eastAsia="Times New Roman" w:hAnsi="Arial" w:cs="Arial"/>
                <w:color w:val="000000"/>
                <w:sz w:val="20"/>
                <w:szCs w:val="20"/>
              </w:rPr>
              <w:t>Administrative, operations and sales office for aviation and marine segments</w:t>
            </w:r>
          </w:p>
        </w:tc>
        <w:tc>
          <w:tcPr>
            <w:tcW w:w="0" w:type="auto"/>
            <w:gridSpan w:val="3"/>
            <w:tcMar>
              <w:top w:w="0" w:type="dxa"/>
              <w:left w:w="20" w:type="dxa"/>
              <w:bottom w:w="0" w:type="dxa"/>
              <w:right w:w="20" w:type="dxa"/>
            </w:tcMar>
            <w:vAlign w:val="center"/>
            <w:hideMark/>
          </w:tcPr>
          <w:p w14:paraId="7F9C7029"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2F87C55D" w14:textId="77777777" w:rsidR="00000000" w:rsidRDefault="00C01C43">
            <w:pPr>
              <w:rPr>
                <w:rFonts w:eastAsia="Times New Roman"/>
              </w:rPr>
            </w:pPr>
            <w:r>
              <w:rPr>
                <w:rFonts w:ascii="Arial" w:eastAsia="Times New Roman" w:hAnsi="Arial" w:cs="Arial"/>
                <w:color w:val="000000"/>
                <w:sz w:val="20"/>
                <w:szCs w:val="20"/>
              </w:rPr>
              <w:t>December 2024</w:t>
            </w:r>
          </w:p>
        </w:tc>
      </w:tr>
      <w:tr w:rsidR="00000000" w14:paraId="12230001" w14:textId="77777777">
        <w:trPr>
          <w:divId w:val="1601841475"/>
          <w:trHeight w:val="60"/>
        </w:trPr>
        <w:tc>
          <w:tcPr>
            <w:tcW w:w="0" w:type="auto"/>
            <w:gridSpan w:val="3"/>
            <w:tcMar>
              <w:top w:w="0" w:type="dxa"/>
              <w:left w:w="20" w:type="dxa"/>
              <w:bottom w:w="0" w:type="dxa"/>
              <w:right w:w="20" w:type="dxa"/>
            </w:tcMar>
            <w:vAlign w:val="center"/>
            <w:hideMark/>
          </w:tcPr>
          <w:p w14:paraId="74B55555"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6B978C65"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2FF1FBE6"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71596E1C"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EE213EC" w14:textId="77777777" w:rsidR="00000000" w:rsidRDefault="00C01C43">
            <w:pPr>
              <w:rPr>
                <w:rFonts w:eastAsia="Times New Roman"/>
                <w:sz w:val="20"/>
                <w:szCs w:val="20"/>
              </w:rPr>
            </w:pPr>
          </w:p>
        </w:tc>
      </w:tr>
      <w:tr w:rsidR="00000000" w14:paraId="57681574" w14:textId="77777777">
        <w:trPr>
          <w:divId w:val="1601841475"/>
        </w:trPr>
        <w:tc>
          <w:tcPr>
            <w:tcW w:w="0" w:type="auto"/>
            <w:gridSpan w:val="3"/>
            <w:tcMar>
              <w:top w:w="30" w:type="dxa"/>
              <w:left w:w="20" w:type="dxa"/>
              <w:bottom w:w="30" w:type="dxa"/>
              <w:right w:w="20" w:type="dxa"/>
            </w:tcMar>
            <w:hideMark/>
          </w:tcPr>
          <w:p w14:paraId="63C3F3D6" w14:textId="77777777" w:rsidR="00000000" w:rsidRDefault="00C01C43">
            <w:pPr>
              <w:rPr>
                <w:rFonts w:eastAsia="Times New Roman"/>
              </w:rPr>
            </w:pPr>
            <w:r>
              <w:rPr>
                <w:rFonts w:ascii="Arial" w:eastAsia="Times New Roman" w:hAnsi="Arial" w:cs="Arial"/>
                <w:color w:val="000000"/>
                <w:sz w:val="20"/>
                <w:szCs w:val="20"/>
              </w:rPr>
              <w:t>25 Mill Street</w:t>
            </w:r>
            <w:r>
              <w:rPr>
                <w:rFonts w:ascii="Arial" w:eastAsia="Times New Roman" w:hAnsi="Arial" w:cs="Arial"/>
                <w:color w:val="000000"/>
                <w:sz w:val="20"/>
                <w:szCs w:val="20"/>
              </w:rPr>
              <w:br/>
              <w:t>Parish, NY 13131, USA</w:t>
            </w:r>
          </w:p>
        </w:tc>
        <w:tc>
          <w:tcPr>
            <w:tcW w:w="0" w:type="auto"/>
            <w:gridSpan w:val="3"/>
            <w:tcMar>
              <w:top w:w="0" w:type="dxa"/>
              <w:left w:w="20" w:type="dxa"/>
              <w:bottom w:w="0" w:type="dxa"/>
              <w:right w:w="20" w:type="dxa"/>
            </w:tcMar>
            <w:vAlign w:val="center"/>
            <w:hideMark/>
          </w:tcPr>
          <w:p w14:paraId="6F6E51E6"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7648D9BD" w14:textId="77777777" w:rsidR="00000000" w:rsidRDefault="00C01C43">
            <w:pPr>
              <w:rPr>
                <w:rFonts w:eastAsia="Times New Roman"/>
              </w:rPr>
            </w:pPr>
            <w:r>
              <w:rPr>
                <w:rFonts w:ascii="Arial" w:eastAsia="Times New Roman" w:hAnsi="Arial" w:cs="Arial"/>
                <w:color w:val="000000"/>
                <w:sz w:val="20"/>
                <w:szCs w:val="20"/>
              </w:rPr>
              <w:t>Administrative, operations and sales office for aviation segment</w:t>
            </w:r>
          </w:p>
        </w:tc>
        <w:tc>
          <w:tcPr>
            <w:tcW w:w="0" w:type="auto"/>
            <w:gridSpan w:val="3"/>
            <w:tcMar>
              <w:top w:w="0" w:type="dxa"/>
              <w:left w:w="20" w:type="dxa"/>
              <w:bottom w:w="0" w:type="dxa"/>
              <w:right w:w="20" w:type="dxa"/>
            </w:tcMar>
            <w:vAlign w:val="center"/>
            <w:hideMark/>
          </w:tcPr>
          <w:p w14:paraId="63D62B28"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2A429558" w14:textId="77777777" w:rsidR="00000000" w:rsidRDefault="00C01C43">
            <w:pPr>
              <w:rPr>
                <w:rFonts w:eastAsia="Times New Roman"/>
              </w:rPr>
            </w:pPr>
            <w:r>
              <w:rPr>
                <w:rFonts w:ascii="Arial" w:eastAsia="Times New Roman" w:hAnsi="Arial" w:cs="Arial"/>
                <w:color w:val="000000"/>
                <w:sz w:val="20"/>
                <w:szCs w:val="20"/>
              </w:rPr>
              <w:t>April 2025</w:t>
            </w:r>
          </w:p>
        </w:tc>
      </w:tr>
      <w:tr w:rsidR="00000000" w14:paraId="03387A72" w14:textId="77777777">
        <w:trPr>
          <w:divId w:val="1601841475"/>
          <w:trHeight w:val="60"/>
        </w:trPr>
        <w:tc>
          <w:tcPr>
            <w:tcW w:w="0" w:type="auto"/>
            <w:gridSpan w:val="3"/>
            <w:tcMar>
              <w:top w:w="0" w:type="dxa"/>
              <w:left w:w="20" w:type="dxa"/>
              <w:bottom w:w="0" w:type="dxa"/>
              <w:right w:w="20" w:type="dxa"/>
            </w:tcMar>
            <w:vAlign w:val="center"/>
            <w:hideMark/>
          </w:tcPr>
          <w:p w14:paraId="4F0BDDBA"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15461991"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3D4F7FDB"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2DE8C688"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56151E4E" w14:textId="77777777" w:rsidR="00000000" w:rsidRDefault="00C01C43">
            <w:pPr>
              <w:rPr>
                <w:rFonts w:eastAsia="Times New Roman"/>
                <w:sz w:val="20"/>
                <w:szCs w:val="20"/>
              </w:rPr>
            </w:pPr>
          </w:p>
        </w:tc>
      </w:tr>
      <w:tr w:rsidR="00000000" w14:paraId="4D7A900D" w14:textId="77777777">
        <w:trPr>
          <w:divId w:val="1601841475"/>
        </w:trPr>
        <w:tc>
          <w:tcPr>
            <w:tcW w:w="0" w:type="auto"/>
            <w:gridSpan w:val="3"/>
            <w:tcMar>
              <w:top w:w="30" w:type="dxa"/>
              <w:left w:w="20" w:type="dxa"/>
              <w:bottom w:w="30" w:type="dxa"/>
              <w:right w:w="20" w:type="dxa"/>
            </w:tcMar>
            <w:hideMark/>
          </w:tcPr>
          <w:p w14:paraId="28BE0E4E" w14:textId="77777777" w:rsidR="00000000" w:rsidRDefault="00C01C43">
            <w:pPr>
              <w:rPr>
                <w:rFonts w:eastAsia="Times New Roman"/>
              </w:rPr>
            </w:pPr>
            <w:r>
              <w:rPr>
                <w:rFonts w:ascii="Arial" w:eastAsia="Times New Roman" w:hAnsi="Arial" w:cs="Arial"/>
                <w:color w:val="000000"/>
                <w:sz w:val="20"/>
                <w:szCs w:val="20"/>
              </w:rPr>
              <w:t>Strommen 6</w:t>
            </w:r>
            <w:r>
              <w:rPr>
                <w:rFonts w:ascii="Arial" w:eastAsia="Times New Roman" w:hAnsi="Arial" w:cs="Arial"/>
                <w:color w:val="000000"/>
                <w:sz w:val="20"/>
                <w:szCs w:val="20"/>
              </w:rPr>
              <w:br/>
              <w:t>9400 Norresundby, Denmark</w:t>
            </w:r>
          </w:p>
        </w:tc>
        <w:tc>
          <w:tcPr>
            <w:tcW w:w="0" w:type="auto"/>
            <w:gridSpan w:val="3"/>
            <w:tcMar>
              <w:top w:w="0" w:type="dxa"/>
              <w:left w:w="20" w:type="dxa"/>
              <w:bottom w:w="0" w:type="dxa"/>
              <w:right w:w="20" w:type="dxa"/>
            </w:tcMar>
            <w:vAlign w:val="center"/>
            <w:hideMark/>
          </w:tcPr>
          <w:p w14:paraId="1E37843B"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52D89743" w14:textId="77777777" w:rsidR="00000000" w:rsidRDefault="00C01C43">
            <w:pPr>
              <w:rPr>
                <w:rFonts w:eastAsia="Times New Roman"/>
              </w:rPr>
            </w:pPr>
            <w:r>
              <w:rPr>
                <w:rFonts w:ascii="Arial" w:eastAsia="Times New Roman" w:hAnsi="Arial" w:cs="Arial"/>
                <w:color w:val="000000"/>
                <w:sz w:val="20"/>
                <w:szCs w:val="20"/>
              </w:rPr>
              <w:t>Administrative, operations and sales office for aviation and land segments</w:t>
            </w:r>
          </w:p>
        </w:tc>
        <w:tc>
          <w:tcPr>
            <w:tcW w:w="0" w:type="auto"/>
            <w:gridSpan w:val="3"/>
            <w:tcMar>
              <w:top w:w="0" w:type="dxa"/>
              <w:left w:w="20" w:type="dxa"/>
              <w:bottom w:w="0" w:type="dxa"/>
              <w:right w:w="20" w:type="dxa"/>
            </w:tcMar>
            <w:vAlign w:val="center"/>
            <w:hideMark/>
          </w:tcPr>
          <w:p w14:paraId="5A2FB849"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73BDA547" w14:textId="77777777" w:rsidR="00000000" w:rsidRDefault="00C01C43">
            <w:pPr>
              <w:rPr>
                <w:rFonts w:eastAsia="Times New Roman"/>
              </w:rPr>
            </w:pPr>
            <w:r>
              <w:rPr>
                <w:rFonts w:ascii="Arial" w:eastAsia="Times New Roman" w:hAnsi="Arial" w:cs="Arial"/>
                <w:color w:val="000000"/>
                <w:sz w:val="20"/>
                <w:szCs w:val="20"/>
              </w:rPr>
              <w:t>Month-to-month</w:t>
            </w:r>
          </w:p>
        </w:tc>
      </w:tr>
      <w:tr w:rsidR="00000000" w14:paraId="7F683D99" w14:textId="77777777">
        <w:trPr>
          <w:divId w:val="1601841475"/>
          <w:trHeight w:val="60"/>
        </w:trPr>
        <w:tc>
          <w:tcPr>
            <w:tcW w:w="0" w:type="auto"/>
            <w:gridSpan w:val="3"/>
            <w:tcMar>
              <w:top w:w="0" w:type="dxa"/>
              <w:left w:w="20" w:type="dxa"/>
              <w:bottom w:w="0" w:type="dxa"/>
              <w:right w:w="20" w:type="dxa"/>
            </w:tcMar>
            <w:vAlign w:val="center"/>
            <w:hideMark/>
          </w:tcPr>
          <w:p w14:paraId="71F514EB"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62305F2C"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74C01916"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88F55BC"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7DD8C0C5" w14:textId="77777777" w:rsidR="00000000" w:rsidRDefault="00C01C43">
            <w:pPr>
              <w:rPr>
                <w:rFonts w:eastAsia="Times New Roman"/>
                <w:sz w:val="20"/>
                <w:szCs w:val="20"/>
              </w:rPr>
            </w:pPr>
          </w:p>
        </w:tc>
      </w:tr>
      <w:tr w:rsidR="00000000" w14:paraId="40A554B3" w14:textId="77777777">
        <w:trPr>
          <w:divId w:val="1601841475"/>
        </w:trPr>
        <w:tc>
          <w:tcPr>
            <w:tcW w:w="0" w:type="auto"/>
            <w:gridSpan w:val="3"/>
            <w:tcMar>
              <w:top w:w="30" w:type="dxa"/>
              <w:left w:w="20" w:type="dxa"/>
              <w:bottom w:w="30" w:type="dxa"/>
              <w:right w:w="20" w:type="dxa"/>
            </w:tcMar>
            <w:hideMark/>
          </w:tcPr>
          <w:p w14:paraId="5D10167C" w14:textId="77777777" w:rsidR="00000000" w:rsidRDefault="00C01C43">
            <w:pPr>
              <w:rPr>
                <w:rFonts w:eastAsia="Times New Roman"/>
              </w:rPr>
            </w:pPr>
            <w:r>
              <w:rPr>
                <w:rFonts w:ascii="Arial" w:eastAsia="Times New Roman" w:hAnsi="Arial" w:cs="Arial"/>
                <w:color w:val="000000"/>
                <w:sz w:val="20"/>
                <w:szCs w:val="20"/>
              </w:rPr>
              <w:t>Causeway End, Brinkworth,</w:t>
            </w:r>
            <w:r>
              <w:rPr>
                <w:rFonts w:ascii="Arial" w:eastAsia="Times New Roman" w:hAnsi="Arial" w:cs="Arial"/>
                <w:color w:val="000000"/>
                <w:sz w:val="20"/>
                <w:szCs w:val="20"/>
              </w:rPr>
              <w:br/>
              <w:t>Chippenham SN15 5DN, United Kingdom</w:t>
            </w:r>
          </w:p>
        </w:tc>
        <w:tc>
          <w:tcPr>
            <w:tcW w:w="0" w:type="auto"/>
            <w:gridSpan w:val="3"/>
            <w:tcMar>
              <w:top w:w="0" w:type="dxa"/>
              <w:left w:w="20" w:type="dxa"/>
              <w:bottom w:w="0" w:type="dxa"/>
              <w:right w:w="20" w:type="dxa"/>
            </w:tcMar>
            <w:vAlign w:val="center"/>
            <w:hideMark/>
          </w:tcPr>
          <w:p w14:paraId="4D3B6F48"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7C290DFF" w14:textId="77777777" w:rsidR="00000000" w:rsidRDefault="00C01C43">
            <w:pPr>
              <w:rPr>
                <w:rFonts w:eastAsia="Times New Roman"/>
              </w:rPr>
            </w:pPr>
            <w:r>
              <w:rPr>
                <w:rFonts w:ascii="Arial" w:eastAsia="Times New Roman" w:hAnsi="Arial" w:cs="Arial"/>
                <w:color w:val="000000"/>
                <w:sz w:val="20"/>
                <w:szCs w:val="20"/>
              </w:rPr>
              <w:t>Administrative, operations and sales office for land segment</w:t>
            </w:r>
          </w:p>
        </w:tc>
        <w:tc>
          <w:tcPr>
            <w:tcW w:w="0" w:type="auto"/>
            <w:gridSpan w:val="3"/>
            <w:tcMar>
              <w:top w:w="0" w:type="dxa"/>
              <w:left w:w="20" w:type="dxa"/>
              <w:bottom w:w="0" w:type="dxa"/>
              <w:right w:w="20" w:type="dxa"/>
            </w:tcMar>
            <w:vAlign w:val="center"/>
            <w:hideMark/>
          </w:tcPr>
          <w:p w14:paraId="4E0ADE9B"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120ABA9A" w14:textId="77777777" w:rsidR="00000000" w:rsidRDefault="00C01C43">
            <w:pPr>
              <w:rPr>
                <w:rFonts w:eastAsia="Times New Roman"/>
              </w:rPr>
            </w:pPr>
            <w:r>
              <w:rPr>
                <w:rFonts w:ascii="Arial" w:eastAsia="Times New Roman" w:hAnsi="Arial" w:cs="Arial"/>
                <w:color w:val="000000"/>
                <w:sz w:val="20"/>
                <w:szCs w:val="20"/>
              </w:rPr>
              <w:t>Owned</w:t>
            </w:r>
          </w:p>
        </w:tc>
      </w:tr>
      <w:tr w:rsidR="00000000" w14:paraId="0FA13A11" w14:textId="77777777">
        <w:trPr>
          <w:divId w:val="1601841475"/>
          <w:trHeight w:val="60"/>
        </w:trPr>
        <w:tc>
          <w:tcPr>
            <w:tcW w:w="0" w:type="auto"/>
            <w:gridSpan w:val="3"/>
            <w:tcMar>
              <w:top w:w="0" w:type="dxa"/>
              <w:left w:w="20" w:type="dxa"/>
              <w:bottom w:w="0" w:type="dxa"/>
              <w:right w:w="20" w:type="dxa"/>
            </w:tcMar>
            <w:vAlign w:val="center"/>
            <w:hideMark/>
          </w:tcPr>
          <w:p w14:paraId="21AF3E0E"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5AEC6F8F"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3B809DF0"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5037C39F"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65896E3" w14:textId="77777777" w:rsidR="00000000" w:rsidRDefault="00C01C43">
            <w:pPr>
              <w:rPr>
                <w:rFonts w:eastAsia="Times New Roman"/>
                <w:sz w:val="20"/>
                <w:szCs w:val="20"/>
              </w:rPr>
            </w:pPr>
          </w:p>
        </w:tc>
      </w:tr>
      <w:tr w:rsidR="00000000" w14:paraId="320F655A" w14:textId="77777777">
        <w:trPr>
          <w:divId w:val="1601841475"/>
        </w:trPr>
        <w:tc>
          <w:tcPr>
            <w:tcW w:w="0" w:type="auto"/>
            <w:gridSpan w:val="3"/>
            <w:tcMar>
              <w:top w:w="30" w:type="dxa"/>
              <w:left w:w="20" w:type="dxa"/>
              <w:bottom w:w="30" w:type="dxa"/>
              <w:right w:w="20" w:type="dxa"/>
            </w:tcMar>
            <w:hideMark/>
          </w:tcPr>
          <w:p w14:paraId="373D491C" w14:textId="77777777" w:rsidR="00000000" w:rsidRDefault="00C01C43">
            <w:pPr>
              <w:rPr>
                <w:rFonts w:eastAsia="Times New Roman"/>
              </w:rPr>
            </w:pPr>
            <w:r>
              <w:rPr>
                <w:rFonts w:ascii="Arial" w:eastAsia="Times New Roman" w:hAnsi="Arial" w:cs="Arial"/>
                <w:color w:val="000000"/>
                <w:sz w:val="20"/>
                <w:szCs w:val="20"/>
              </w:rPr>
              <w:t>300 Flint Ridge Road</w:t>
            </w:r>
            <w:r>
              <w:rPr>
                <w:rFonts w:ascii="Arial" w:eastAsia="Times New Roman" w:hAnsi="Arial" w:cs="Arial"/>
                <w:color w:val="000000"/>
                <w:sz w:val="20"/>
                <w:szCs w:val="20"/>
              </w:rPr>
              <w:br/>
              <w:t>Webster, Texas 77598, USA</w:t>
            </w:r>
          </w:p>
        </w:tc>
        <w:tc>
          <w:tcPr>
            <w:tcW w:w="0" w:type="auto"/>
            <w:gridSpan w:val="3"/>
            <w:tcMar>
              <w:top w:w="0" w:type="dxa"/>
              <w:left w:w="20" w:type="dxa"/>
              <w:bottom w:w="0" w:type="dxa"/>
              <w:right w:w="20" w:type="dxa"/>
            </w:tcMar>
            <w:vAlign w:val="center"/>
            <w:hideMark/>
          </w:tcPr>
          <w:p w14:paraId="452A9415"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0D7FCC76" w14:textId="77777777" w:rsidR="00000000" w:rsidRDefault="00C01C43">
            <w:pPr>
              <w:rPr>
                <w:rFonts w:eastAsia="Times New Roman"/>
              </w:rPr>
            </w:pPr>
            <w:r>
              <w:rPr>
                <w:rFonts w:ascii="Arial" w:eastAsia="Times New Roman" w:hAnsi="Arial" w:cs="Arial"/>
                <w:color w:val="000000"/>
                <w:sz w:val="20"/>
                <w:szCs w:val="20"/>
              </w:rPr>
              <w:t>Administrative, operations and sales office for aviation segment</w:t>
            </w:r>
          </w:p>
        </w:tc>
        <w:tc>
          <w:tcPr>
            <w:tcW w:w="0" w:type="auto"/>
            <w:gridSpan w:val="3"/>
            <w:tcMar>
              <w:top w:w="0" w:type="dxa"/>
              <w:left w:w="20" w:type="dxa"/>
              <w:bottom w:w="0" w:type="dxa"/>
              <w:right w:w="20" w:type="dxa"/>
            </w:tcMar>
            <w:vAlign w:val="center"/>
            <w:hideMark/>
          </w:tcPr>
          <w:p w14:paraId="7AD394BE"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21FE40F9" w14:textId="77777777" w:rsidR="00000000" w:rsidRDefault="00C01C43">
            <w:pPr>
              <w:rPr>
                <w:rFonts w:eastAsia="Times New Roman"/>
              </w:rPr>
            </w:pPr>
            <w:r>
              <w:rPr>
                <w:rFonts w:ascii="Arial" w:eastAsia="Times New Roman" w:hAnsi="Arial" w:cs="Arial"/>
                <w:color w:val="000000"/>
                <w:sz w:val="20"/>
                <w:szCs w:val="20"/>
              </w:rPr>
              <w:t>Owned</w:t>
            </w:r>
          </w:p>
        </w:tc>
      </w:tr>
      <w:tr w:rsidR="00000000" w14:paraId="23D49F7A" w14:textId="77777777">
        <w:trPr>
          <w:divId w:val="1601841475"/>
          <w:trHeight w:val="60"/>
        </w:trPr>
        <w:tc>
          <w:tcPr>
            <w:tcW w:w="0" w:type="auto"/>
            <w:gridSpan w:val="3"/>
            <w:tcMar>
              <w:top w:w="0" w:type="dxa"/>
              <w:left w:w="20" w:type="dxa"/>
              <w:bottom w:w="0" w:type="dxa"/>
              <w:right w:w="20" w:type="dxa"/>
            </w:tcMar>
            <w:vAlign w:val="center"/>
            <w:hideMark/>
          </w:tcPr>
          <w:p w14:paraId="13AFFFD2"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61F5D1C3"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2E7D01B4"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CB72465"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68FBED89" w14:textId="77777777" w:rsidR="00000000" w:rsidRDefault="00C01C43">
            <w:pPr>
              <w:rPr>
                <w:rFonts w:eastAsia="Times New Roman"/>
                <w:sz w:val="20"/>
                <w:szCs w:val="20"/>
              </w:rPr>
            </w:pPr>
          </w:p>
        </w:tc>
      </w:tr>
      <w:tr w:rsidR="00000000" w14:paraId="5E1F0D79" w14:textId="77777777">
        <w:trPr>
          <w:divId w:val="1601841475"/>
        </w:trPr>
        <w:tc>
          <w:tcPr>
            <w:tcW w:w="0" w:type="auto"/>
            <w:gridSpan w:val="3"/>
            <w:tcMar>
              <w:top w:w="30" w:type="dxa"/>
              <w:left w:w="20" w:type="dxa"/>
              <w:bottom w:w="30" w:type="dxa"/>
              <w:right w:w="20" w:type="dxa"/>
            </w:tcMar>
            <w:hideMark/>
          </w:tcPr>
          <w:p w14:paraId="2EF6C4B7" w14:textId="77777777" w:rsidR="00000000" w:rsidRDefault="00C01C43">
            <w:pPr>
              <w:rPr>
                <w:rFonts w:eastAsia="Times New Roman"/>
              </w:rPr>
            </w:pPr>
            <w:r>
              <w:rPr>
                <w:rFonts w:ascii="Arial" w:eastAsia="Times New Roman" w:hAnsi="Arial" w:cs="Arial"/>
                <w:color w:val="000000"/>
                <w:sz w:val="20"/>
                <w:szCs w:val="20"/>
              </w:rPr>
              <w:t xml:space="preserve">2320 Milwaukee Way, </w:t>
            </w:r>
            <w:r>
              <w:rPr>
                <w:rFonts w:ascii="Arial" w:eastAsia="Times New Roman" w:hAnsi="Arial" w:cs="Arial"/>
                <w:color w:val="000000"/>
                <w:sz w:val="20"/>
                <w:szCs w:val="20"/>
              </w:rPr>
              <w:br/>
              <w:t>Tacoma, Washington 98421, USA</w:t>
            </w:r>
          </w:p>
        </w:tc>
        <w:tc>
          <w:tcPr>
            <w:tcW w:w="0" w:type="auto"/>
            <w:gridSpan w:val="3"/>
            <w:tcMar>
              <w:top w:w="0" w:type="dxa"/>
              <w:left w:w="20" w:type="dxa"/>
              <w:bottom w:w="0" w:type="dxa"/>
              <w:right w:w="20" w:type="dxa"/>
            </w:tcMar>
            <w:vAlign w:val="center"/>
            <w:hideMark/>
          </w:tcPr>
          <w:p w14:paraId="4BE57F90"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3E5BA469" w14:textId="77777777" w:rsidR="00000000" w:rsidRDefault="00C01C43">
            <w:pPr>
              <w:rPr>
                <w:rFonts w:eastAsia="Times New Roman"/>
              </w:rPr>
            </w:pPr>
            <w:r>
              <w:rPr>
                <w:rFonts w:ascii="Arial" w:eastAsia="Times New Roman" w:hAnsi="Arial" w:cs="Arial"/>
                <w:color w:val="000000"/>
                <w:sz w:val="20"/>
                <w:szCs w:val="20"/>
              </w:rPr>
              <w:t>Administrative, operations and sales office for land segment</w:t>
            </w:r>
          </w:p>
        </w:tc>
        <w:tc>
          <w:tcPr>
            <w:tcW w:w="0" w:type="auto"/>
            <w:gridSpan w:val="3"/>
            <w:tcMar>
              <w:top w:w="0" w:type="dxa"/>
              <w:left w:w="20" w:type="dxa"/>
              <w:bottom w:w="0" w:type="dxa"/>
              <w:right w:w="20" w:type="dxa"/>
            </w:tcMar>
            <w:vAlign w:val="center"/>
            <w:hideMark/>
          </w:tcPr>
          <w:p w14:paraId="5CBF159A"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29AC9D66" w14:textId="77777777" w:rsidR="00000000" w:rsidRDefault="00C01C43">
            <w:pPr>
              <w:rPr>
                <w:rFonts w:eastAsia="Times New Roman"/>
              </w:rPr>
            </w:pPr>
            <w:r>
              <w:rPr>
                <w:rFonts w:ascii="Arial" w:eastAsia="Times New Roman" w:hAnsi="Arial" w:cs="Arial"/>
                <w:color w:val="000000"/>
                <w:sz w:val="20"/>
                <w:szCs w:val="20"/>
              </w:rPr>
              <w:t>June 2026</w:t>
            </w:r>
          </w:p>
        </w:tc>
      </w:tr>
      <w:tr w:rsidR="00000000" w14:paraId="4798A2E6" w14:textId="77777777">
        <w:trPr>
          <w:divId w:val="1601841475"/>
          <w:trHeight w:val="60"/>
        </w:trPr>
        <w:tc>
          <w:tcPr>
            <w:tcW w:w="0" w:type="auto"/>
            <w:gridSpan w:val="3"/>
            <w:tcMar>
              <w:top w:w="0" w:type="dxa"/>
              <w:left w:w="20" w:type="dxa"/>
              <w:bottom w:w="0" w:type="dxa"/>
              <w:right w:w="20" w:type="dxa"/>
            </w:tcMar>
            <w:vAlign w:val="center"/>
            <w:hideMark/>
          </w:tcPr>
          <w:p w14:paraId="6854B65E"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14E52511"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35CBCCC0"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667AB7D7"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CEBA7FF" w14:textId="77777777" w:rsidR="00000000" w:rsidRDefault="00C01C43">
            <w:pPr>
              <w:rPr>
                <w:rFonts w:eastAsia="Times New Roman"/>
                <w:sz w:val="20"/>
                <w:szCs w:val="20"/>
              </w:rPr>
            </w:pPr>
          </w:p>
        </w:tc>
      </w:tr>
      <w:tr w:rsidR="00000000" w14:paraId="2DDC4480" w14:textId="77777777">
        <w:trPr>
          <w:divId w:val="1601841475"/>
        </w:trPr>
        <w:tc>
          <w:tcPr>
            <w:tcW w:w="0" w:type="auto"/>
            <w:gridSpan w:val="3"/>
            <w:tcMar>
              <w:top w:w="30" w:type="dxa"/>
              <w:left w:w="20" w:type="dxa"/>
              <w:bottom w:w="30" w:type="dxa"/>
              <w:right w:w="20" w:type="dxa"/>
            </w:tcMar>
            <w:hideMark/>
          </w:tcPr>
          <w:p w14:paraId="45AE3369" w14:textId="77777777" w:rsidR="00000000" w:rsidRDefault="00C01C43">
            <w:pPr>
              <w:rPr>
                <w:rFonts w:eastAsia="Times New Roman"/>
              </w:rPr>
            </w:pPr>
            <w:r>
              <w:rPr>
                <w:rFonts w:ascii="Arial" w:eastAsia="Times New Roman" w:hAnsi="Arial" w:cs="Arial"/>
                <w:color w:val="000000"/>
                <w:sz w:val="20"/>
                <w:szCs w:val="20"/>
              </w:rPr>
              <w:t>4920 Southern Boulevard</w:t>
            </w:r>
            <w:r>
              <w:rPr>
                <w:rFonts w:ascii="Arial" w:eastAsia="Times New Roman" w:hAnsi="Arial" w:cs="Arial"/>
                <w:color w:val="000000"/>
                <w:sz w:val="20"/>
                <w:szCs w:val="20"/>
              </w:rPr>
              <w:br/>
              <w:t>Virginia Beach, VA 23462, USA</w:t>
            </w:r>
          </w:p>
        </w:tc>
        <w:tc>
          <w:tcPr>
            <w:tcW w:w="0" w:type="auto"/>
            <w:gridSpan w:val="3"/>
            <w:tcMar>
              <w:top w:w="0" w:type="dxa"/>
              <w:left w:w="20" w:type="dxa"/>
              <w:bottom w:w="0" w:type="dxa"/>
              <w:right w:w="20" w:type="dxa"/>
            </w:tcMar>
            <w:vAlign w:val="center"/>
            <w:hideMark/>
          </w:tcPr>
          <w:p w14:paraId="46F72586"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1267727B" w14:textId="77777777" w:rsidR="00000000" w:rsidRDefault="00C01C43">
            <w:pPr>
              <w:rPr>
                <w:rFonts w:eastAsia="Times New Roman"/>
              </w:rPr>
            </w:pPr>
            <w:r>
              <w:rPr>
                <w:rFonts w:ascii="Arial" w:eastAsia="Times New Roman" w:hAnsi="Arial" w:cs="Arial"/>
                <w:color w:val="000000"/>
                <w:sz w:val="20"/>
                <w:szCs w:val="20"/>
              </w:rPr>
              <w:t>Administrative, operations and sales office for land segment</w:t>
            </w:r>
          </w:p>
        </w:tc>
        <w:tc>
          <w:tcPr>
            <w:tcW w:w="0" w:type="auto"/>
            <w:gridSpan w:val="3"/>
            <w:tcMar>
              <w:top w:w="0" w:type="dxa"/>
              <w:left w:w="20" w:type="dxa"/>
              <w:bottom w:w="0" w:type="dxa"/>
              <w:right w:w="20" w:type="dxa"/>
            </w:tcMar>
            <w:vAlign w:val="center"/>
            <w:hideMark/>
          </w:tcPr>
          <w:p w14:paraId="259F8245"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735563A2" w14:textId="77777777" w:rsidR="00000000" w:rsidRDefault="00C01C43">
            <w:pPr>
              <w:rPr>
                <w:rFonts w:eastAsia="Times New Roman"/>
              </w:rPr>
            </w:pPr>
            <w:r>
              <w:rPr>
                <w:rFonts w:ascii="Arial" w:eastAsia="Times New Roman" w:hAnsi="Arial" w:cs="Arial"/>
                <w:color w:val="000000"/>
                <w:sz w:val="20"/>
                <w:szCs w:val="20"/>
              </w:rPr>
              <w:t>Owned</w:t>
            </w:r>
          </w:p>
        </w:tc>
      </w:tr>
      <w:tr w:rsidR="00000000" w14:paraId="1F6547CE" w14:textId="77777777">
        <w:trPr>
          <w:divId w:val="1601841475"/>
          <w:trHeight w:val="60"/>
        </w:trPr>
        <w:tc>
          <w:tcPr>
            <w:tcW w:w="0" w:type="auto"/>
            <w:gridSpan w:val="3"/>
            <w:tcMar>
              <w:top w:w="0" w:type="dxa"/>
              <w:left w:w="20" w:type="dxa"/>
              <w:bottom w:w="0" w:type="dxa"/>
              <w:right w:w="20" w:type="dxa"/>
            </w:tcMar>
            <w:vAlign w:val="center"/>
            <w:hideMark/>
          </w:tcPr>
          <w:p w14:paraId="763CA5B5"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0FAE0E56"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2368BD34"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42F4411"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2453014A" w14:textId="77777777" w:rsidR="00000000" w:rsidRDefault="00C01C43">
            <w:pPr>
              <w:rPr>
                <w:rFonts w:eastAsia="Times New Roman"/>
                <w:sz w:val="20"/>
                <w:szCs w:val="20"/>
              </w:rPr>
            </w:pPr>
          </w:p>
        </w:tc>
      </w:tr>
      <w:tr w:rsidR="00000000" w14:paraId="5D93A31C" w14:textId="77777777">
        <w:trPr>
          <w:divId w:val="1601841475"/>
        </w:trPr>
        <w:tc>
          <w:tcPr>
            <w:tcW w:w="0" w:type="auto"/>
            <w:gridSpan w:val="3"/>
            <w:tcMar>
              <w:top w:w="30" w:type="dxa"/>
              <w:left w:w="20" w:type="dxa"/>
              <w:bottom w:w="30" w:type="dxa"/>
              <w:right w:w="20" w:type="dxa"/>
            </w:tcMar>
            <w:hideMark/>
          </w:tcPr>
          <w:p w14:paraId="0B806E19" w14:textId="77777777" w:rsidR="00000000" w:rsidRDefault="00C01C43">
            <w:pPr>
              <w:rPr>
                <w:rFonts w:eastAsia="Times New Roman"/>
              </w:rPr>
            </w:pPr>
            <w:r>
              <w:rPr>
                <w:rFonts w:ascii="Arial" w:eastAsia="Times New Roman" w:hAnsi="Arial" w:cs="Arial"/>
                <w:color w:val="000000"/>
                <w:sz w:val="20"/>
                <w:szCs w:val="20"/>
              </w:rPr>
              <w:t>1B North Mole Road (C.P. No. 1360)</w:t>
            </w:r>
            <w:r>
              <w:rPr>
                <w:rFonts w:ascii="Arial" w:eastAsia="Times New Roman" w:hAnsi="Arial" w:cs="Arial"/>
                <w:color w:val="000000"/>
                <w:sz w:val="20"/>
                <w:szCs w:val="20"/>
              </w:rPr>
              <w:br/>
              <w:t>Gibraltar</w:t>
            </w:r>
          </w:p>
        </w:tc>
        <w:tc>
          <w:tcPr>
            <w:tcW w:w="0" w:type="auto"/>
            <w:gridSpan w:val="3"/>
            <w:tcMar>
              <w:top w:w="0" w:type="dxa"/>
              <w:left w:w="20" w:type="dxa"/>
              <w:bottom w:w="0" w:type="dxa"/>
              <w:right w:w="20" w:type="dxa"/>
            </w:tcMar>
            <w:vAlign w:val="center"/>
            <w:hideMark/>
          </w:tcPr>
          <w:p w14:paraId="590C7AC4"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4ECE8832" w14:textId="77777777" w:rsidR="00000000" w:rsidRDefault="00C01C43">
            <w:pPr>
              <w:rPr>
                <w:rFonts w:eastAsia="Times New Roman"/>
              </w:rPr>
            </w:pPr>
            <w:r>
              <w:rPr>
                <w:rFonts w:ascii="Arial" w:eastAsia="Times New Roman" w:hAnsi="Arial" w:cs="Arial"/>
                <w:color w:val="000000"/>
                <w:sz w:val="20"/>
                <w:szCs w:val="20"/>
              </w:rPr>
              <w:t>Administrative, operations and sales office for marine segment</w:t>
            </w:r>
          </w:p>
        </w:tc>
        <w:tc>
          <w:tcPr>
            <w:tcW w:w="0" w:type="auto"/>
            <w:gridSpan w:val="3"/>
            <w:tcMar>
              <w:top w:w="0" w:type="dxa"/>
              <w:left w:w="20" w:type="dxa"/>
              <w:bottom w:w="0" w:type="dxa"/>
              <w:right w:w="20" w:type="dxa"/>
            </w:tcMar>
            <w:vAlign w:val="center"/>
            <w:hideMark/>
          </w:tcPr>
          <w:p w14:paraId="644BBB95"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48681FAA" w14:textId="77777777" w:rsidR="00000000" w:rsidRDefault="00C01C43">
            <w:pPr>
              <w:rPr>
                <w:rFonts w:eastAsia="Times New Roman"/>
              </w:rPr>
            </w:pPr>
            <w:r>
              <w:rPr>
                <w:rFonts w:ascii="Arial" w:eastAsia="Times New Roman" w:hAnsi="Arial" w:cs="Arial"/>
                <w:color w:val="000000"/>
                <w:sz w:val="20"/>
                <w:szCs w:val="20"/>
              </w:rPr>
              <w:t>May 2021</w:t>
            </w:r>
          </w:p>
        </w:tc>
      </w:tr>
    </w:tbl>
    <w:p w14:paraId="03E547A9" w14:textId="77777777" w:rsidR="00000000" w:rsidRDefault="00C01C43">
      <w:pPr>
        <w:jc w:val="center"/>
        <w:divId w:val="199051946"/>
        <w:rPr>
          <w:rFonts w:eastAsia="Times New Roman"/>
        </w:rPr>
      </w:pPr>
      <w:r>
        <w:rPr>
          <w:rFonts w:ascii="Arial" w:eastAsia="Times New Roman" w:hAnsi="Arial" w:cs="Arial"/>
          <w:color w:val="000000"/>
          <w:sz w:val="16"/>
          <w:szCs w:val="16"/>
        </w:rPr>
        <w:t>22</w:t>
      </w:r>
    </w:p>
    <w:p w14:paraId="0DFAD3BF" w14:textId="77777777" w:rsidR="00000000" w:rsidRDefault="00C01C43">
      <w:pPr>
        <w:rPr>
          <w:rFonts w:eastAsia="Times New Roman"/>
        </w:rPr>
      </w:pPr>
      <w:r>
        <w:rPr>
          <w:rFonts w:eastAsia="Times New Roman"/>
        </w:rPr>
        <w:pict w14:anchorId="7FC7D329">
          <v:rect id="_x0000_i1050" style="width:0;height:1.5pt" o:hralign="center" o:hrstd="t" o:hr="t" fillcolor="#a0a0a0" stroked="f"/>
        </w:pict>
      </w:r>
    </w:p>
    <w:p w14:paraId="6A9A0673" w14:textId="77777777" w:rsidR="00000000" w:rsidRDefault="00C01C43">
      <w:pPr>
        <w:divId w:val="500198438"/>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31F64F3B" w14:textId="77777777" w:rsidR="00000000" w:rsidRDefault="00C01C43">
      <w:pPr>
        <w:jc w:val="both"/>
        <w:rPr>
          <w:rFonts w:eastAsia="Times New Roman"/>
        </w:rPr>
      </w:pPr>
      <w:r>
        <w:rPr>
          <w:rFonts w:ascii="Arial" w:eastAsia="Times New Roman" w:hAnsi="Arial" w:cs="Arial"/>
          <w:b/>
          <w:bCs/>
          <w:color w:val="000000"/>
        </w:rPr>
        <w:t>Item 3. Legal Proceedings</w:t>
      </w:r>
    </w:p>
    <w:p w14:paraId="514A6206" w14:textId="77777777" w:rsidR="00000000" w:rsidRDefault="00C01C43">
      <w:pPr>
        <w:jc w:val="both"/>
        <w:rPr>
          <w:rFonts w:eastAsia="Times New Roman"/>
        </w:rPr>
      </w:pPr>
    </w:p>
    <w:p w14:paraId="2D9F66FC" w14:textId="77777777" w:rsidR="00000000" w:rsidRDefault="00C01C43">
      <w:pPr>
        <w:jc w:val="both"/>
        <w:rPr>
          <w:rFonts w:eastAsia="Times New Roman"/>
        </w:rPr>
      </w:pPr>
      <w:r>
        <w:rPr>
          <w:rFonts w:ascii="Arial" w:eastAsia="Times New Roman" w:hAnsi="Arial" w:cs="Arial"/>
          <w:color w:val="000000"/>
          <w:sz w:val="20"/>
          <w:szCs w:val="20"/>
        </w:rPr>
        <w:t>From time to time, we are under review by the IRS and various other domestic and foreign tax authorities with regard</w:t>
      </w:r>
      <w:r>
        <w:rPr>
          <w:rFonts w:ascii="Arial" w:eastAsia="Times New Roman" w:hAnsi="Arial" w:cs="Arial"/>
          <w:color w:val="000000"/>
          <w:sz w:val="20"/>
          <w:szCs w:val="20"/>
        </w:rPr>
        <w:t>s to income tax and indirect tax matters and are involved in various inquiries, audits, challenges and litigation in a number of countries, including, in particular, Brazil, Denmark, South Korea and the U.S. where the amounts under controversy may be mater</w:t>
      </w:r>
      <w:r>
        <w:rPr>
          <w:rFonts w:ascii="Arial" w:eastAsia="Times New Roman" w:hAnsi="Arial" w:cs="Arial"/>
          <w:color w:val="000000"/>
          <w:sz w:val="20"/>
          <w:szCs w:val="20"/>
        </w:rPr>
        <w:t>ial. See "Note 9. Commitments and Contingencies" and "Note 11. Income Taxes" within "Part IV. Item 15. Notes to the Consolidated Financial Statements" included in this 2020 10-K Report for additional details regarding certain tax matters.</w:t>
      </w:r>
    </w:p>
    <w:p w14:paraId="573E8D1D" w14:textId="77777777" w:rsidR="00000000" w:rsidRDefault="00C01C43">
      <w:pPr>
        <w:jc w:val="both"/>
        <w:rPr>
          <w:rFonts w:eastAsia="Times New Roman"/>
        </w:rPr>
      </w:pPr>
    </w:p>
    <w:p w14:paraId="15B87AE3" w14:textId="77777777" w:rsidR="00000000" w:rsidRDefault="00C01C43">
      <w:pPr>
        <w:jc w:val="both"/>
        <w:divId w:val="419906623"/>
        <w:rPr>
          <w:rFonts w:eastAsia="Times New Roman"/>
        </w:rPr>
      </w:pPr>
      <w:r>
        <w:rPr>
          <w:rFonts w:ascii="Arial" w:eastAsia="Times New Roman" w:hAnsi="Arial" w:cs="Arial"/>
          <w:color w:val="000000"/>
          <w:sz w:val="20"/>
          <w:szCs w:val="20"/>
        </w:rPr>
        <w:t>We are also a p</w:t>
      </w:r>
      <w:r>
        <w:rPr>
          <w:rFonts w:ascii="Arial" w:eastAsia="Times New Roman" w:hAnsi="Arial" w:cs="Arial"/>
          <w:color w:val="000000"/>
          <w:sz w:val="20"/>
          <w:szCs w:val="20"/>
        </w:rPr>
        <w:t>arty to various claims, complaints and proceedings arising in the ordinary course of our business including, but not limited to, environmental claims, commercial and governmental contract claims, such as property damage, demurrage, personal injury, billing</w:t>
      </w:r>
      <w:r>
        <w:rPr>
          <w:rFonts w:ascii="Arial" w:eastAsia="Times New Roman" w:hAnsi="Arial" w:cs="Arial"/>
          <w:color w:val="000000"/>
          <w:sz w:val="20"/>
          <w:szCs w:val="20"/>
        </w:rPr>
        <w:t xml:space="preserve"> and fuel quality claims, as well as bankruptcy preference claims and administrative claims. We are not currently a party to any such claim, complaint or proceeding that we expect to have a material adverse effect on our business or financial condition. Ho</w:t>
      </w:r>
      <w:r>
        <w:rPr>
          <w:rFonts w:ascii="Arial" w:eastAsia="Times New Roman" w:hAnsi="Arial" w:cs="Arial"/>
          <w:color w:val="000000"/>
          <w:sz w:val="20"/>
          <w:szCs w:val="20"/>
        </w:rPr>
        <w:t>wever, any adverse resolution of one or more such claims, complaints or proceedings during a particular reporting period could have a material adverse effect on our Consolidated Financial Statements or disclosures for that period.</w:t>
      </w:r>
    </w:p>
    <w:p w14:paraId="614F18C6" w14:textId="77777777" w:rsidR="00000000" w:rsidRDefault="00C01C43">
      <w:pPr>
        <w:jc w:val="both"/>
        <w:divId w:val="1000041958"/>
        <w:rPr>
          <w:rFonts w:eastAsia="Times New Roman"/>
        </w:rPr>
      </w:pPr>
    </w:p>
    <w:p w14:paraId="32765A9E" w14:textId="77777777" w:rsidR="00000000" w:rsidRDefault="00C01C43">
      <w:pPr>
        <w:jc w:val="both"/>
        <w:rPr>
          <w:rFonts w:eastAsia="Times New Roman"/>
        </w:rPr>
      </w:pPr>
      <w:r>
        <w:rPr>
          <w:rFonts w:ascii="Arial" w:eastAsia="Times New Roman" w:hAnsi="Arial" w:cs="Arial"/>
          <w:b/>
          <w:bCs/>
          <w:color w:val="000000"/>
        </w:rPr>
        <w:t>Item 4. Mine Safety Dis</w:t>
      </w:r>
      <w:r>
        <w:rPr>
          <w:rFonts w:ascii="Arial" w:eastAsia="Times New Roman" w:hAnsi="Arial" w:cs="Arial"/>
          <w:b/>
          <w:bCs/>
          <w:color w:val="000000"/>
        </w:rPr>
        <w:t>closures</w:t>
      </w:r>
    </w:p>
    <w:p w14:paraId="017F2E74" w14:textId="77777777" w:rsidR="00000000" w:rsidRDefault="00C01C43">
      <w:pPr>
        <w:jc w:val="both"/>
        <w:rPr>
          <w:rFonts w:eastAsia="Times New Roman"/>
        </w:rPr>
      </w:pPr>
    </w:p>
    <w:p w14:paraId="0725BD75" w14:textId="77777777" w:rsidR="00000000" w:rsidRDefault="00C01C43">
      <w:pPr>
        <w:jc w:val="both"/>
        <w:rPr>
          <w:rFonts w:eastAsia="Times New Roman"/>
        </w:rPr>
      </w:pPr>
      <w:r>
        <w:rPr>
          <w:rFonts w:ascii="Arial" w:eastAsia="Times New Roman" w:hAnsi="Arial" w:cs="Arial"/>
          <w:color w:val="000000"/>
          <w:sz w:val="20"/>
          <w:szCs w:val="20"/>
        </w:rPr>
        <w:t>Not applicable.</w:t>
      </w:r>
    </w:p>
    <w:p w14:paraId="4DE1F683" w14:textId="77777777" w:rsidR="00000000" w:rsidRDefault="00C01C43">
      <w:pPr>
        <w:jc w:val="center"/>
        <w:divId w:val="730153121"/>
        <w:rPr>
          <w:rFonts w:eastAsia="Times New Roman"/>
        </w:rPr>
      </w:pPr>
      <w:r>
        <w:rPr>
          <w:rFonts w:ascii="Arial" w:eastAsia="Times New Roman" w:hAnsi="Arial" w:cs="Arial"/>
          <w:color w:val="000000"/>
          <w:sz w:val="16"/>
          <w:szCs w:val="16"/>
        </w:rPr>
        <w:t>23</w:t>
      </w:r>
    </w:p>
    <w:p w14:paraId="70BAF018" w14:textId="77777777" w:rsidR="00000000" w:rsidRDefault="00C01C43">
      <w:pPr>
        <w:rPr>
          <w:rFonts w:eastAsia="Times New Roman"/>
        </w:rPr>
      </w:pPr>
      <w:r>
        <w:rPr>
          <w:rFonts w:eastAsia="Times New Roman"/>
        </w:rPr>
        <w:pict w14:anchorId="2FFCD7C9">
          <v:rect id="_x0000_i1051" style="width:0;height:1.5pt" o:hralign="center" o:hrstd="t" o:hr="t" fillcolor="#a0a0a0" stroked="f"/>
        </w:pict>
      </w:r>
    </w:p>
    <w:p w14:paraId="4E99AB79" w14:textId="77777777" w:rsidR="00000000" w:rsidRDefault="00C01C43">
      <w:pPr>
        <w:divId w:val="1344816151"/>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8542A61" w14:textId="77777777" w:rsidR="00000000" w:rsidRDefault="00C01C43">
      <w:pPr>
        <w:jc w:val="both"/>
        <w:rPr>
          <w:rFonts w:eastAsia="Times New Roman"/>
        </w:rPr>
      </w:pPr>
      <w:r>
        <w:rPr>
          <w:rFonts w:ascii="Arial" w:eastAsia="Times New Roman" w:hAnsi="Arial" w:cs="Arial"/>
          <w:b/>
          <w:bCs/>
          <w:color w:val="000000"/>
        </w:rPr>
        <w:t>PART II</w:t>
      </w:r>
    </w:p>
    <w:p w14:paraId="4FEABAE1" w14:textId="77777777" w:rsidR="00000000" w:rsidRDefault="00C01C43">
      <w:pPr>
        <w:jc w:val="both"/>
        <w:rPr>
          <w:rFonts w:eastAsia="Times New Roman"/>
        </w:rPr>
      </w:pPr>
    </w:p>
    <w:p w14:paraId="7B103C73" w14:textId="77777777" w:rsidR="00000000" w:rsidRDefault="00C01C43">
      <w:pPr>
        <w:jc w:val="both"/>
        <w:rPr>
          <w:rFonts w:eastAsia="Times New Roman"/>
        </w:rPr>
      </w:pPr>
      <w:r>
        <w:rPr>
          <w:rFonts w:ascii="Arial" w:eastAsia="Times New Roman" w:hAnsi="Arial" w:cs="Arial"/>
          <w:b/>
          <w:bCs/>
          <w:color w:val="000000"/>
        </w:rPr>
        <w:t>Item 5. Market</w:t>
      </w:r>
      <w:r>
        <w:rPr>
          <w:rFonts w:ascii="Arial" w:eastAsia="Times New Roman" w:hAnsi="Arial" w:cs="Arial"/>
          <w:color w:val="000000"/>
        </w:rPr>
        <w:t xml:space="preserve"> </w:t>
      </w:r>
      <w:r>
        <w:rPr>
          <w:rFonts w:ascii="Arial" w:eastAsia="Times New Roman" w:hAnsi="Arial" w:cs="Arial"/>
          <w:b/>
          <w:bCs/>
          <w:color w:val="000000"/>
        </w:rPr>
        <w:t>for Registrant’</w:t>
      </w:r>
      <w:r>
        <w:rPr>
          <w:rFonts w:ascii="Arial" w:eastAsia="Times New Roman" w:hAnsi="Arial" w:cs="Arial"/>
          <w:b/>
          <w:bCs/>
          <w:color w:val="000000"/>
        </w:rPr>
        <w:t>s Common Equity, Related Shareholder Matters and Issuer Purchases of Equity Securities</w:t>
      </w:r>
    </w:p>
    <w:p w14:paraId="38EC0B81" w14:textId="77777777" w:rsidR="00000000" w:rsidRDefault="00C01C43">
      <w:pPr>
        <w:jc w:val="both"/>
        <w:rPr>
          <w:rFonts w:eastAsia="Times New Roman"/>
        </w:rPr>
      </w:pPr>
    </w:p>
    <w:p w14:paraId="528213ED" w14:textId="77777777" w:rsidR="00000000" w:rsidRDefault="00C01C43">
      <w:pPr>
        <w:jc w:val="both"/>
        <w:divId w:val="467826218"/>
        <w:rPr>
          <w:rFonts w:eastAsia="Times New Roman"/>
        </w:rPr>
      </w:pPr>
      <w:r>
        <w:rPr>
          <w:rFonts w:ascii="Arial" w:eastAsia="Times New Roman" w:hAnsi="Arial" w:cs="Arial"/>
          <w:color w:val="000000"/>
          <w:sz w:val="20"/>
          <w:szCs w:val="20"/>
        </w:rPr>
        <w:t>Our common stock is traded on the New York Stock Exchange (“NYSE”) under the symbol INT. As of December 31, 2020, the closing price of our stock on the NYSE was $31.16</w:t>
      </w:r>
      <w:r>
        <w:rPr>
          <w:rFonts w:ascii="Arial" w:eastAsia="Times New Roman" w:hAnsi="Arial" w:cs="Arial"/>
          <w:color w:val="000000"/>
          <w:sz w:val="20"/>
          <w:szCs w:val="20"/>
        </w:rPr>
        <w:t>.</w:t>
      </w:r>
    </w:p>
    <w:p w14:paraId="6343508C" w14:textId="77777777" w:rsidR="00000000" w:rsidRDefault="00C01C43">
      <w:pPr>
        <w:jc w:val="both"/>
        <w:divId w:val="1321419413"/>
        <w:rPr>
          <w:rFonts w:eastAsia="Times New Roman"/>
        </w:rPr>
      </w:pPr>
      <w:r>
        <w:rPr>
          <w:rFonts w:ascii="Arial" w:eastAsia="Times New Roman" w:hAnsi="Arial" w:cs="Arial"/>
          <w:color w:val="000000"/>
          <w:sz w:val="20"/>
          <w:szCs w:val="20"/>
        </w:rPr>
        <w:t>As of February 19, 2021, there were 84 shareholders of record of our common stock.</w:t>
      </w:r>
    </w:p>
    <w:p w14:paraId="287608D1" w14:textId="77777777" w:rsidR="00000000" w:rsidRDefault="00C01C43">
      <w:pPr>
        <w:jc w:val="both"/>
        <w:divId w:val="1998877555"/>
        <w:rPr>
          <w:rFonts w:eastAsia="Times New Roman"/>
        </w:rPr>
      </w:pPr>
      <w:r>
        <w:rPr>
          <w:rFonts w:ascii="Arial" w:eastAsia="Times New Roman" w:hAnsi="Arial" w:cs="Arial"/>
          <w:b/>
          <w:bCs/>
          <w:color w:val="000000"/>
          <w:sz w:val="20"/>
          <w:szCs w:val="20"/>
        </w:rPr>
        <w:t>Stock Performance</w:t>
      </w:r>
    </w:p>
    <w:p w14:paraId="533CFA5D" w14:textId="77777777" w:rsidR="00000000" w:rsidRDefault="00C01C43">
      <w:pPr>
        <w:jc w:val="both"/>
        <w:rPr>
          <w:rFonts w:eastAsia="Times New Roman"/>
        </w:rPr>
      </w:pPr>
      <w:r>
        <w:rPr>
          <w:rFonts w:ascii="Arial" w:eastAsia="Times New Roman" w:hAnsi="Arial" w:cs="Arial"/>
          <w:color w:val="000000"/>
          <w:sz w:val="20"/>
          <w:szCs w:val="20"/>
        </w:rPr>
        <w:t>This graph compares the total shareholder return on our common stock with the total return on the Russell 2000 Index and the S&amp;P Energy Index for the five</w:t>
      </w:r>
      <w:r>
        <w:rPr>
          <w:rFonts w:ascii="Arial" w:eastAsia="Times New Roman" w:hAnsi="Arial" w:cs="Arial"/>
          <w:color w:val="000000"/>
          <w:sz w:val="20"/>
          <w:szCs w:val="20"/>
        </w:rPr>
        <w:noBreakHyphen/>
        <w:t>year period from December 31, 2015 through December 31, 2020. The cumulative return includes reinvest</w:t>
      </w:r>
      <w:r>
        <w:rPr>
          <w:rFonts w:ascii="Arial" w:eastAsia="Times New Roman" w:hAnsi="Arial" w:cs="Arial"/>
          <w:color w:val="000000"/>
          <w:sz w:val="20"/>
          <w:szCs w:val="20"/>
        </w:rPr>
        <w:t>ment of dividends.</w:t>
      </w:r>
    </w:p>
    <w:p w14:paraId="655DA3B7" w14:textId="77777777" w:rsidR="00000000" w:rsidRDefault="00C01C43">
      <w:pPr>
        <w:jc w:val="both"/>
        <w:rPr>
          <w:rFonts w:eastAsia="Times New Roman"/>
        </w:rPr>
      </w:pPr>
    </w:p>
    <w:p w14:paraId="545E8CD4" w14:textId="77777777" w:rsidR="00000000" w:rsidRDefault="00C01C43">
      <w:pPr>
        <w:jc w:val="both"/>
        <w:rPr>
          <w:rFonts w:eastAsia="Times New Roman"/>
        </w:rPr>
      </w:pPr>
      <w:r>
        <w:rPr>
          <w:rFonts w:eastAsia="Times New Roman"/>
          <w:noProof/>
        </w:rPr>
        <w:drawing>
          <wp:inline distT="0" distB="0" distL="0" distR="0" wp14:anchorId="11EF18A8" wp14:editId="1C91A852">
            <wp:extent cx="304800"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A4D89B1" w14:textId="77777777" w:rsidR="00000000" w:rsidRDefault="00C01C43">
      <w:pPr>
        <w:jc w:val="both"/>
        <w:rPr>
          <w:rFonts w:eastAsia="Times New Roman"/>
        </w:rPr>
      </w:pPr>
    </w:p>
    <w:p w14:paraId="1BA81BA0" w14:textId="77777777" w:rsidR="00000000" w:rsidRDefault="00C01C43">
      <w:pPr>
        <w:jc w:val="both"/>
        <w:rPr>
          <w:rFonts w:eastAsia="Times New Roman"/>
        </w:rPr>
      </w:pPr>
    </w:p>
    <w:p w14:paraId="1B38982D" w14:textId="77777777" w:rsidR="00000000" w:rsidRDefault="00C01C43">
      <w:pPr>
        <w:jc w:val="both"/>
        <w:rPr>
          <w:rFonts w:eastAsia="Times New Roman"/>
        </w:rPr>
      </w:pPr>
    </w:p>
    <w:p w14:paraId="6532C206" w14:textId="77777777" w:rsidR="00000000" w:rsidRDefault="00C01C43">
      <w:pPr>
        <w:jc w:val="center"/>
        <w:rPr>
          <w:rFonts w:eastAsia="Times New Roman"/>
        </w:rPr>
      </w:pPr>
    </w:p>
    <w:p w14:paraId="674A4B8D" w14:textId="77777777" w:rsidR="00000000" w:rsidRDefault="00C01C43">
      <w:pPr>
        <w:jc w:val="center"/>
        <w:rPr>
          <w:rFonts w:eastAsia="Times New Roman"/>
        </w:rPr>
      </w:pPr>
    </w:p>
    <w:p w14:paraId="2841453A" w14:textId="77777777" w:rsidR="00000000" w:rsidRDefault="00C01C43">
      <w:pPr>
        <w:jc w:val="center"/>
        <w:divId w:val="820075012"/>
        <w:rPr>
          <w:rFonts w:eastAsia="Times New Roman"/>
        </w:rPr>
      </w:pPr>
      <w:r>
        <w:rPr>
          <w:rFonts w:ascii="Arial" w:eastAsia="Times New Roman" w:hAnsi="Arial" w:cs="Arial"/>
          <w:color w:val="000000"/>
          <w:sz w:val="16"/>
          <w:szCs w:val="16"/>
        </w:rPr>
        <w:t>24</w:t>
      </w:r>
    </w:p>
    <w:p w14:paraId="6B099636" w14:textId="77777777" w:rsidR="00000000" w:rsidRDefault="00C01C43">
      <w:pPr>
        <w:rPr>
          <w:rFonts w:eastAsia="Times New Roman"/>
        </w:rPr>
      </w:pPr>
      <w:r>
        <w:rPr>
          <w:rFonts w:eastAsia="Times New Roman"/>
        </w:rPr>
        <w:pict w14:anchorId="1AF3099D">
          <v:rect id="_x0000_i1053" style="width:0;height:1.5pt" o:hralign="center" o:hrstd="t" o:hr="t" fillcolor="#a0a0a0" stroked="f"/>
        </w:pict>
      </w:r>
    </w:p>
    <w:p w14:paraId="69D49525" w14:textId="77777777" w:rsidR="00000000" w:rsidRDefault="00C01C43">
      <w:pPr>
        <w:divId w:val="799498669"/>
        <w:rPr>
          <w:rFonts w:eastAsia="Times New Roman"/>
        </w:rPr>
      </w:pPr>
      <w:hyperlink w:anchor="i39de2a441966435e8a888354900c7540_7" w:history="1">
        <w:r>
          <w:rPr>
            <w:rStyle w:val="a3"/>
            <w:rFonts w:ascii="Arial" w:eastAsia="Times New Roman" w:hAnsi="Arial" w:cs="Arial"/>
            <w:sz w:val="20"/>
            <w:szCs w:val="20"/>
          </w:rPr>
          <w:t>Table of Conte</w:t>
        </w:r>
        <w:r>
          <w:rPr>
            <w:rStyle w:val="a3"/>
            <w:rFonts w:ascii="Arial" w:eastAsia="Times New Roman" w:hAnsi="Arial" w:cs="Arial"/>
            <w:sz w:val="20"/>
            <w:szCs w:val="20"/>
          </w:rPr>
          <w:t>nts</w:t>
        </w:r>
      </w:hyperlink>
    </w:p>
    <w:p w14:paraId="1B6A8C47" w14:textId="77777777" w:rsidR="00000000" w:rsidRDefault="00C01C43">
      <w:pPr>
        <w:jc w:val="both"/>
        <w:rPr>
          <w:rFonts w:eastAsia="Times New Roman"/>
        </w:rPr>
      </w:pPr>
      <w:r>
        <w:rPr>
          <w:rFonts w:ascii="Arial" w:eastAsia="Times New Roman" w:hAnsi="Arial" w:cs="Arial"/>
          <w:b/>
          <w:bCs/>
          <w:color w:val="000000"/>
          <w:sz w:val="20"/>
          <w:szCs w:val="20"/>
        </w:rPr>
        <w:t>Issuer Purchases of Equity Securities</w:t>
      </w:r>
    </w:p>
    <w:p w14:paraId="61943F7B" w14:textId="77777777" w:rsidR="00000000" w:rsidRDefault="00C01C43">
      <w:pPr>
        <w:jc w:val="both"/>
        <w:divId w:val="743338921"/>
        <w:rPr>
          <w:rFonts w:eastAsia="Times New Roman"/>
        </w:rPr>
      </w:pPr>
      <w:r>
        <w:rPr>
          <w:rFonts w:ascii="Arial" w:eastAsia="Times New Roman" w:hAnsi="Arial" w:cs="Arial"/>
          <w:color w:val="000000"/>
          <w:sz w:val="20"/>
          <w:szCs w:val="20"/>
        </w:rPr>
        <w:t>The following table presents information with respect to repurchases of common stock made by us during the quarterly period ended December 31, 2020:</w:t>
      </w:r>
    </w:p>
    <w:tbl>
      <w:tblPr>
        <w:tblW w:w="4985" w:type="pct"/>
        <w:tblCellMar>
          <w:top w:w="15" w:type="dxa"/>
          <w:left w:w="15" w:type="dxa"/>
          <w:bottom w:w="15" w:type="dxa"/>
          <w:right w:w="15" w:type="dxa"/>
        </w:tblCellMar>
        <w:tblLook w:val="04A0" w:firstRow="1" w:lastRow="0" w:firstColumn="1" w:lastColumn="0" w:noHBand="0" w:noVBand="1"/>
      </w:tblPr>
      <w:tblGrid>
        <w:gridCol w:w="46"/>
        <w:gridCol w:w="3226"/>
        <w:gridCol w:w="36"/>
        <w:gridCol w:w="74"/>
        <w:gridCol w:w="816"/>
        <w:gridCol w:w="36"/>
        <w:gridCol w:w="36"/>
        <w:gridCol w:w="36"/>
        <w:gridCol w:w="36"/>
        <w:gridCol w:w="132"/>
        <w:gridCol w:w="814"/>
        <w:gridCol w:w="36"/>
        <w:gridCol w:w="36"/>
        <w:gridCol w:w="36"/>
        <w:gridCol w:w="36"/>
        <w:gridCol w:w="57"/>
        <w:gridCol w:w="1179"/>
        <w:gridCol w:w="36"/>
        <w:gridCol w:w="36"/>
        <w:gridCol w:w="36"/>
        <w:gridCol w:w="36"/>
        <w:gridCol w:w="132"/>
        <w:gridCol w:w="1301"/>
        <w:gridCol w:w="36"/>
      </w:tblGrid>
      <w:tr w:rsidR="00000000" w14:paraId="27D8861A" w14:textId="77777777">
        <w:trPr>
          <w:divId w:val="453449552"/>
        </w:trPr>
        <w:tc>
          <w:tcPr>
            <w:tcW w:w="50" w:type="pct"/>
            <w:vAlign w:val="center"/>
            <w:hideMark/>
          </w:tcPr>
          <w:p w14:paraId="0F543AA9" w14:textId="77777777" w:rsidR="00000000" w:rsidRDefault="00C01C43">
            <w:pPr>
              <w:jc w:val="both"/>
              <w:rPr>
                <w:rFonts w:eastAsia="Times New Roman"/>
              </w:rPr>
            </w:pPr>
          </w:p>
        </w:tc>
        <w:tc>
          <w:tcPr>
            <w:tcW w:w="1968" w:type="pct"/>
            <w:vAlign w:val="center"/>
            <w:hideMark/>
          </w:tcPr>
          <w:p w14:paraId="2D5B2B3B" w14:textId="77777777" w:rsidR="00000000" w:rsidRDefault="00C01C43">
            <w:pPr>
              <w:rPr>
                <w:rFonts w:eastAsia="Times New Roman"/>
                <w:sz w:val="20"/>
                <w:szCs w:val="20"/>
              </w:rPr>
            </w:pPr>
          </w:p>
        </w:tc>
        <w:tc>
          <w:tcPr>
            <w:tcW w:w="5" w:type="pct"/>
            <w:vAlign w:val="center"/>
            <w:hideMark/>
          </w:tcPr>
          <w:p w14:paraId="1D963500" w14:textId="77777777" w:rsidR="00000000" w:rsidRDefault="00C01C43">
            <w:pPr>
              <w:rPr>
                <w:rFonts w:eastAsia="Times New Roman"/>
                <w:sz w:val="20"/>
                <w:szCs w:val="20"/>
              </w:rPr>
            </w:pPr>
          </w:p>
        </w:tc>
        <w:tc>
          <w:tcPr>
            <w:tcW w:w="50" w:type="pct"/>
            <w:vAlign w:val="center"/>
            <w:hideMark/>
          </w:tcPr>
          <w:p w14:paraId="267C0E2E" w14:textId="77777777" w:rsidR="00000000" w:rsidRDefault="00C01C43">
            <w:pPr>
              <w:rPr>
                <w:rFonts w:eastAsia="Times New Roman"/>
                <w:sz w:val="20"/>
                <w:szCs w:val="20"/>
              </w:rPr>
            </w:pPr>
          </w:p>
        </w:tc>
        <w:tc>
          <w:tcPr>
            <w:tcW w:w="531" w:type="pct"/>
            <w:vAlign w:val="center"/>
            <w:hideMark/>
          </w:tcPr>
          <w:p w14:paraId="0038B1A3" w14:textId="77777777" w:rsidR="00000000" w:rsidRDefault="00C01C43">
            <w:pPr>
              <w:rPr>
                <w:rFonts w:eastAsia="Times New Roman"/>
                <w:sz w:val="20"/>
                <w:szCs w:val="20"/>
              </w:rPr>
            </w:pPr>
          </w:p>
        </w:tc>
        <w:tc>
          <w:tcPr>
            <w:tcW w:w="5" w:type="pct"/>
            <w:vAlign w:val="center"/>
            <w:hideMark/>
          </w:tcPr>
          <w:p w14:paraId="1A03732A" w14:textId="77777777" w:rsidR="00000000" w:rsidRDefault="00C01C43">
            <w:pPr>
              <w:rPr>
                <w:rFonts w:eastAsia="Times New Roman"/>
                <w:sz w:val="20"/>
                <w:szCs w:val="20"/>
              </w:rPr>
            </w:pPr>
          </w:p>
        </w:tc>
        <w:tc>
          <w:tcPr>
            <w:tcW w:w="5" w:type="pct"/>
            <w:vAlign w:val="center"/>
            <w:hideMark/>
          </w:tcPr>
          <w:p w14:paraId="1165C789" w14:textId="77777777" w:rsidR="00000000" w:rsidRDefault="00C01C43">
            <w:pPr>
              <w:rPr>
                <w:rFonts w:eastAsia="Times New Roman"/>
                <w:sz w:val="20"/>
                <w:szCs w:val="20"/>
              </w:rPr>
            </w:pPr>
          </w:p>
        </w:tc>
        <w:tc>
          <w:tcPr>
            <w:tcW w:w="26" w:type="pct"/>
            <w:vAlign w:val="center"/>
            <w:hideMark/>
          </w:tcPr>
          <w:p w14:paraId="08A49A3C" w14:textId="77777777" w:rsidR="00000000" w:rsidRDefault="00C01C43">
            <w:pPr>
              <w:rPr>
                <w:rFonts w:eastAsia="Times New Roman"/>
                <w:sz w:val="20"/>
                <w:szCs w:val="20"/>
              </w:rPr>
            </w:pPr>
          </w:p>
        </w:tc>
        <w:tc>
          <w:tcPr>
            <w:tcW w:w="5" w:type="pct"/>
            <w:vAlign w:val="center"/>
            <w:hideMark/>
          </w:tcPr>
          <w:p w14:paraId="2DBDB610" w14:textId="77777777" w:rsidR="00000000" w:rsidRDefault="00C01C43">
            <w:pPr>
              <w:rPr>
                <w:rFonts w:eastAsia="Times New Roman"/>
                <w:sz w:val="20"/>
                <w:szCs w:val="20"/>
              </w:rPr>
            </w:pPr>
          </w:p>
        </w:tc>
        <w:tc>
          <w:tcPr>
            <w:tcW w:w="50" w:type="pct"/>
            <w:vAlign w:val="center"/>
            <w:hideMark/>
          </w:tcPr>
          <w:p w14:paraId="61FE4DAC" w14:textId="77777777" w:rsidR="00000000" w:rsidRDefault="00C01C43">
            <w:pPr>
              <w:rPr>
                <w:rFonts w:eastAsia="Times New Roman"/>
                <w:sz w:val="20"/>
                <w:szCs w:val="20"/>
              </w:rPr>
            </w:pPr>
          </w:p>
        </w:tc>
        <w:tc>
          <w:tcPr>
            <w:tcW w:w="531" w:type="pct"/>
            <w:vAlign w:val="center"/>
            <w:hideMark/>
          </w:tcPr>
          <w:p w14:paraId="73F6A4EF" w14:textId="77777777" w:rsidR="00000000" w:rsidRDefault="00C01C43">
            <w:pPr>
              <w:rPr>
                <w:rFonts w:eastAsia="Times New Roman"/>
                <w:sz w:val="20"/>
                <w:szCs w:val="20"/>
              </w:rPr>
            </w:pPr>
          </w:p>
        </w:tc>
        <w:tc>
          <w:tcPr>
            <w:tcW w:w="5" w:type="pct"/>
            <w:vAlign w:val="center"/>
            <w:hideMark/>
          </w:tcPr>
          <w:p w14:paraId="582262C7" w14:textId="77777777" w:rsidR="00000000" w:rsidRDefault="00C01C43">
            <w:pPr>
              <w:rPr>
                <w:rFonts w:eastAsia="Times New Roman"/>
                <w:sz w:val="20"/>
                <w:szCs w:val="20"/>
              </w:rPr>
            </w:pPr>
          </w:p>
        </w:tc>
        <w:tc>
          <w:tcPr>
            <w:tcW w:w="5" w:type="pct"/>
            <w:vAlign w:val="center"/>
            <w:hideMark/>
          </w:tcPr>
          <w:p w14:paraId="3A34532C" w14:textId="77777777" w:rsidR="00000000" w:rsidRDefault="00C01C43">
            <w:pPr>
              <w:rPr>
                <w:rFonts w:eastAsia="Times New Roman"/>
                <w:sz w:val="20"/>
                <w:szCs w:val="20"/>
              </w:rPr>
            </w:pPr>
          </w:p>
        </w:tc>
        <w:tc>
          <w:tcPr>
            <w:tcW w:w="26" w:type="pct"/>
            <w:vAlign w:val="center"/>
            <w:hideMark/>
          </w:tcPr>
          <w:p w14:paraId="04678186" w14:textId="77777777" w:rsidR="00000000" w:rsidRDefault="00C01C43">
            <w:pPr>
              <w:rPr>
                <w:rFonts w:eastAsia="Times New Roman"/>
                <w:sz w:val="20"/>
                <w:szCs w:val="20"/>
              </w:rPr>
            </w:pPr>
          </w:p>
        </w:tc>
        <w:tc>
          <w:tcPr>
            <w:tcW w:w="5" w:type="pct"/>
            <w:vAlign w:val="center"/>
            <w:hideMark/>
          </w:tcPr>
          <w:p w14:paraId="11E0B08C" w14:textId="77777777" w:rsidR="00000000" w:rsidRDefault="00C01C43">
            <w:pPr>
              <w:rPr>
                <w:rFonts w:eastAsia="Times New Roman"/>
                <w:sz w:val="20"/>
                <w:szCs w:val="20"/>
              </w:rPr>
            </w:pPr>
          </w:p>
        </w:tc>
        <w:tc>
          <w:tcPr>
            <w:tcW w:w="50" w:type="pct"/>
            <w:vAlign w:val="center"/>
            <w:hideMark/>
          </w:tcPr>
          <w:p w14:paraId="73E1AD8B" w14:textId="77777777" w:rsidR="00000000" w:rsidRDefault="00C01C43">
            <w:pPr>
              <w:rPr>
                <w:rFonts w:eastAsia="Times New Roman"/>
                <w:sz w:val="20"/>
                <w:szCs w:val="20"/>
              </w:rPr>
            </w:pPr>
          </w:p>
        </w:tc>
        <w:tc>
          <w:tcPr>
            <w:tcW w:w="758" w:type="pct"/>
            <w:vAlign w:val="center"/>
            <w:hideMark/>
          </w:tcPr>
          <w:p w14:paraId="33CBA0A9" w14:textId="77777777" w:rsidR="00000000" w:rsidRDefault="00C01C43">
            <w:pPr>
              <w:rPr>
                <w:rFonts w:eastAsia="Times New Roman"/>
                <w:sz w:val="20"/>
                <w:szCs w:val="20"/>
              </w:rPr>
            </w:pPr>
          </w:p>
        </w:tc>
        <w:tc>
          <w:tcPr>
            <w:tcW w:w="5" w:type="pct"/>
            <w:vAlign w:val="center"/>
            <w:hideMark/>
          </w:tcPr>
          <w:p w14:paraId="25DF5447" w14:textId="77777777" w:rsidR="00000000" w:rsidRDefault="00C01C43">
            <w:pPr>
              <w:rPr>
                <w:rFonts w:eastAsia="Times New Roman"/>
                <w:sz w:val="20"/>
                <w:szCs w:val="20"/>
              </w:rPr>
            </w:pPr>
          </w:p>
        </w:tc>
        <w:tc>
          <w:tcPr>
            <w:tcW w:w="5" w:type="pct"/>
            <w:vAlign w:val="center"/>
            <w:hideMark/>
          </w:tcPr>
          <w:p w14:paraId="03B0FC51" w14:textId="77777777" w:rsidR="00000000" w:rsidRDefault="00C01C43">
            <w:pPr>
              <w:rPr>
                <w:rFonts w:eastAsia="Times New Roman"/>
                <w:sz w:val="20"/>
                <w:szCs w:val="20"/>
              </w:rPr>
            </w:pPr>
          </w:p>
        </w:tc>
        <w:tc>
          <w:tcPr>
            <w:tcW w:w="26" w:type="pct"/>
            <w:vAlign w:val="center"/>
            <w:hideMark/>
          </w:tcPr>
          <w:p w14:paraId="37CC5EB5" w14:textId="77777777" w:rsidR="00000000" w:rsidRDefault="00C01C43">
            <w:pPr>
              <w:rPr>
                <w:rFonts w:eastAsia="Times New Roman"/>
                <w:sz w:val="20"/>
                <w:szCs w:val="20"/>
              </w:rPr>
            </w:pPr>
          </w:p>
        </w:tc>
        <w:tc>
          <w:tcPr>
            <w:tcW w:w="5" w:type="pct"/>
            <w:vAlign w:val="center"/>
            <w:hideMark/>
          </w:tcPr>
          <w:p w14:paraId="365A10D5" w14:textId="77777777" w:rsidR="00000000" w:rsidRDefault="00C01C43">
            <w:pPr>
              <w:rPr>
                <w:rFonts w:eastAsia="Times New Roman"/>
                <w:sz w:val="20"/>
                <w:szCs w:val="20"/>
              </w:rPr>
            </w:pPr>
          </w:p>
        </w:tc>
        <w:tc>
          <w:tcPr>
            <w:tcW w:w="50" w:type="pct"/>
            <w:vAlign w:val="center"/>
            <w:hideMark/>
          </w:tcPr>
          <w:p w14:paraId="3844955E" w14:textId="77777777" w:rsidR="00000000" w:rsidRDefault="00C01C43">
            <w:pPr>
              <w:rPr>
                <w:rFonts w:eastAsia="Times New Roman"/>
                <w:sz w:val="20"/>
                <w:szCs w:val="20"/>
              </w:rPr>
            </w:pPr>
          </w:p>
        </w:tc>
        <w:tc>
          <w:tcPr>
            <w:tcW w:w="824" w:type="pct"/>
            <w:vAlign w:val="center"/>
            <w:hideMark/>
          </w:tcPr>
          <w:p w14:paraId="3A2316C2" w14:textId="77777777" w:rsidR="00000000" w:rsidRDefault="00C01C43">
            <w:pPr>
              <w:rPr>
                <w:rFonts w:eastAsia="Times New Roman"/>
                <w:sz w:val="20"/>
                <w:szCs w:val="20"/>
              </w:rPr>
            </w:pPr>
          </w:p>
        </w:tc>
        <w:tc>
          <w:tcPr>
            <w:tcW w:w="5" w:type="pct"/>
            <w:vAlign w:val="center"/>
            <w:hideMark/>
          </w:tcPr>
          <w:p w14:paraId="6F2CE19F" w14:textId="77777777" w:rsidR="00000000" w:rsidRDefault="00C01C43">
            <w:pPr>
              <w:rPr>
                <w:rFonts w:eastAsia="Times New Roman"/>
                <w:sz w:val="20"/>
                <w:szCs w:val="20"/>
              </w:rPr>
            </w:pPr>
          </w:p>
        </w:tc>
      </w:tr>
      <w:tr w:rsidR="00000000" w14:paraId="0D07BFF2" w14:textId="77777777">
        <w:trPr>
          <w:divId w:val="453449552"/>
        </w:trPr>
        <w:tc>
          <w:tcPr>
            <w:tcW w:w="0" w:type="auto"/>
            <w:gridSpan w:val="3"/>
            <w:tcMar>
              <w:top w:w="30" w:type="dxa"/>
              <w:left w:w="740" w:type="dxa"/>
              <w:bottom w:w="30" w:type="dxa"/>
              <w:right w:w="20" w:type="dxa"/>
            </w:tcMar>
            <w:vAlign w:val="bottom"/>
            <w:hideMark/>
          </w:tcPr>
          <w:p w14:paraId="389D584E" w14:textId="77777777" w:rsidR="00000000" w:rsidRDefault="00C01C43">
            <w:pPr>
              <w:rPr>
                <w:rFonts w:eastAsia="Times New Roman"/>
              </w:rPr>
            </w:pPr>
            <w:r>
              <w:rPr>
                <w:rFonts w:ascii="Arial" w:eastAsia="Times New Roman" w:hAnsi="Arial" w:cs="Arial"/>
                <w:b/>
                <w:bCs/>
                <w:color w:val="000000"/>
                <w:sz w:val="16"/>
                <w:szCs w:val="16"/>
              </w:rPr>
              <w:t>Period</w:t>
            </w:r>
          </w:p>
        </w:tc>
        <w:tc>
          <w:tcPr>
            <w:tcW w:w="0" w:type="auto"/>
            <w:gridSpan w:val="3"/>
            <w:tcMar>
              <w:top w:w="30" w:type="dxa"/>
              <w:left w:w="20" w:type="dxa"/>
              <w:bottom w:w="30" w:type="dxa"/>
              <w:right w:w="20" w:type="dxa"/>
            </w:tcMar>
            <w:vAlign w:val="bottom"/>
            <w:hideMark/>
          </w:tcPr>
          <w:p w14:paraId="07517F68" w14:textId="77777777" w:rsidR="00000000" w:rsidRDefault="00C01C43">
            <w:pPr>
              <w:jc w:val="center"/>
              <w:rPr>
                <w:rFonts w:eastAsia="Times New Roman"/>
              </w:rPr>
            </w:pPr>
            <w:r>
              <w:rPr>
                <w:rFonts w:ascii="Arial" w:eastAsia="Times New Roman" w:hAnsi="Arial" w:cs="Arial"/>
                <w:b/>
                <w:bCs/>
                <w:color w:val="000000"/>
                <w:sz w:val="16"/>
                <w:szCs w:val="16"/>
              </w:rPr>
              <w:t>Total Number of Shares Purchased</w:t>
            </w:r>
            <w:r>
              <w:rPr>
                <w:rFonts w:ascii="Arial" w:eastAsia="Times New Roman" w:hAnsi="Arial" w:cs="Arial"/>
                <w:b/>
                <w:bCs/>
                <w:color w:val="000000"/>
                <w:sz w:val="16"/>
                <w:szCs w:val="16"/>
              </w:rPr>
              <w:t xml:space="preserve"> </w:t>
            </w:r>
            <w:r>
              <w:rPr>
                <w:rFonts w:ascii="Arial" w:eastAsia="Times New Roman" w:hAnsi="Arial" w:cs="Arial"/>
                <w:b/>
                <w:bCs/>
                <w:color w:val="000000"/>
                <w:sz w:val="10"/>
                <w:szCs w:val="10"/>
              </w:rPr>
              <w:t>(1</w:t>
            </w:r>
            <w:r>
              <w:rPr>
                <w:rFonts w:ascii="Arial" w:eastAsia="Times New Roman" w:hAnsi="Arial" w:cs="Arial"/>
                <w:b/>
                <w:bCs/>
                <w:color w:val="000000"/>
                <w:sz w:val="10"/>
                <w:szCs w:val="10"/>
              </w:rPr>
              <w:t>)</w:t>
            </w:r>
          </w:p>
        </w:tc>
        <w:tc>
          <w:tcPr>
            <w:tcW w:w="0" w:type="auto"/>
            <w:gridSpan w:val="3"/>
            <w:tcMar>
              <w:top w:w="0" w:type="dxa"/>
              <w:left w:w="20" w:type="dxa"/>
              <w:bottom w:w="0" w:type="dxa"/>
              <w:right w:w="20" w:type="dxa"/>
            </w:tcMar>
            <w:vAlign w:val="center"/>
            <w:hideMark/>
          </w:tcPr>
          <w:p w14:paraId="5C916ECE"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5254AD40" w14:textId="77777777" w:rsidR="00000000" w:rsidRDefault="00C01C43">
            <w:pPr>
              <w:jc w:val="center"/>
              <w:rPr>
                <w:rFonts w:eastAsia="Times New Roman"/>
              </w:rPr>
            </w:pPr>
            <w:r>
              <w:rPr>
                <w:rFonts w:ascii="Arial" w:eastAsia="Times New Roman" w:hAnsi="Arial" w:cs="Arial"/>
                <w:b/>
                <w:bCs/>
                <w:color w:val="000000"/>
                <w:sz w:val="16"/>
                <w:szCs w:val="16"/>
              </w:rPr>
              <w:t>Average Price Paid Per Share</w:t>
            </w:r>
          </w:p>
        </w:tc>
        <w:tc>
          <w:tcPr>
            <w:tcW w:w="0" w:type="auto"/>
            <w:gridSpan w:val="3"/>
            <w:tcMar>
              <w:top w:w="0" w:type="dxa"/>
              <w:left w:w="20" w:type="dxa"/>
              <w:bottom w:w="0" w:type="dxa"/>
              <w:right w:w="20" w:type="dxa"/>
            </w:tcMar>
            <w:vAlign w:val="center"/>
            <w:hideMark/>
          </w:tcPr>
          <w:p w14:paraId="158756FB"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04208FCA" w14:textId="77777777" w:rsidR="00000000" w:rsidRDefault="00C01C43">
            <w:pPr>
              <w:jc w:val="center"/>
              <w:rPr>
                <w:rFonts w:eastAsia="Times New Roman"/>
              </w:rPr>
            </w:pPr>
            <w:r>
              <w:rPr>
                <w:rFonts w:ascii="Arial" w:eastAsia="Times New Roman" w:hAnsi="Arial" w:cs="Arial"/>
                <w:b/>
                <w:bCs/>
                <w:color w:val="000000"/>
                <w:sz w:val="16"/>
                <w:szCs w:val="16"/>
              </w:rPr>
              <w:t>Total Number of Shares Purchased as Part of Publicly Announced Plans or Programs</w:t>
            </w:r>
          </w:p>
        </w:tc>
        <w:tc>
          <w:tcPr>
            <w:tcW w:w="0" w:type="auto"/>
            <w:gridSpan w:val="3"/>
            <w:tcMar>
              <w:top w:w="0" w:type="dxa"/>
              <w:left w:w="20" w:type="dxa"/>
              <w:bottom w:w="0" w:type="dxa"/>
              <w:right w:w="20" w:type="dxa"/>
            </w:tcMar>
            <w:vAlign w:val="center"/>
            <w:hideMark/>
          </w:tcPr>
          <w:p w14:paraId="7038D920"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4FEE88ED" w14:textId="77777777" w:rsidR="00000000" w:rsidRDefault="00C01C43">
            <w:pPr>
              <w:jc w:val="center"/>
              <w:rPr>
                <w:rFonts w:eastAsia="Times New Roman"/>
              </w:rPr>
            </w:pPr>
            <w:r>
              <w:rPr>
                <w:rFonts w:ascii="Arial" w:eastAsia="Times New Roman" w:hAnsi="Arial" w:cs="Arial"/>
                <w:b/>
                <w:bCs/>
                <w:color w:val="000000"/>
                <w:sz w:val="16"/>
                <w:szCs w:val="16"/>
              </w:rPr>
              <w:t>Approximate Dollar Value of </w:t>
            </w:r>
            <w:r>
              <w:rPr>
                <w:rFonts w:ascii="Arial" w:eastAsia="Times New Roman" w:hAnsi="Arial" w:cs="Arial"/>
                <w:b/>
                <w:bCs/>
                <w:color w:val="000000"/>
                <w:sz w:val="16"/>
                <w:szCs w:val="16"/>
              </w:rPr>
              <w:t>Shares that May Yet Be Purchased Under Repurchase Programs</w:t>
            </w:r>
            <w:r>
              <w:rPr>
                <w:rFonts w:ascii="Arial" w:eastAsia="Times New Roman" w:hAnsi="Arial" w:cs="Arial"/>
                <w:b/>
                <w:bCs/>
                <w:color w:val="000000"/>
                <w:sz w:val="16"/>
                <w:szCs w:val="16"/>
              </w:rPr>
              <w:t xml:space="preserve"> </w:t>
            </w:r>
            <w:r>
              <w:rPr>
                <w:rFonts w:ascii="Arial" w:eastAsia="Times New Roman" w:hAnsi="Arial" w:cs="Arial"/>
                <w:b/>
                <w:bCs/>
                <w:color w:val="000000"/>
                <w:sz w:val="10"/>
                <w:szCs w:val="10"/>
              </w:rPr>
              <w:t>(2</w:t>
            </w:r>
            <w:r>
              <w:rPr>
                <w:rFonts w:ascii="Arial" w:eastAsia="Times New Roman" w:hAnsi="Arial" w:cs="Arial"/>
                <w:b/>
                <w:bCs/>
                <w:color w:val="000000"/>
                <w:sz w:val="10"/>
                <w:szCs w:val="10"/>
              </w:rPr>
              <w:t>)</w:t>
            </w:r>
          </w:p>
        </w:tc>
      </w:tr>
      <w:tr w:rsidR="00000000" w14:paraId="17582004" w14:textId="77777777">
        <w:trPr>
          <w:divId w:val="4534495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D5B6434" w14:textId="77777777" w:rsidR="00000000" w:rsidRDefault="00C01C43">
            <w:pPr>
              <w:rPr>
                <w:rFonts w:eastAsia="Times New Roman"/>
              </w:rPr>
            </w:pPr>
            <w:r>
              <w:rPr>
                <w:rFonts w:ascii="Arial" w:eastAsia="Times New Roman" w:hAnsi="Arial" w:cs="Arial"/>
                <w:color w:val="000000"/>
                <w:sz w:val="20"/>
                <w:szCs w:val="20"/>
              </w:rPr>
              <w:t>10/1/2020 - 10/31/2020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200F0F"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EE8925"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1009FD"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5BF59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E8A087"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63479D"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BF3371"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2554FC"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3A26B5"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EBBB74"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8338D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2878EE" w14:textId="77777777" w:rsidR="00000000" w:rsidRDefault="00C01C43">
            <w:pPr>
              <w:jc w:val="right"/>
              <w:rPr>
                <w:rFonts w:eastAsia="Times New Roman"/>
              </w:rPr>
            </w:pPr>
            <w:r>
              <w:rPr>
                <w:rFonts w:ascii="Arial" w:eastAsia="Times New Roman" w:hAnsi="Arial" w:cs="Arial"/>
                <w:color w:val="000000"/>
                <w:sz w:val="20"/>
                <w:szCs w:val="20"/>
              </w:rPr>
              <w:t>258,944,330 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B420B9" w14:textId="77777777" w:rsidR="00000000" w:rsidRDefault="00C01C43">
            <w:pPr>
              <w:jc w:val="right"/>
              <w:rPr>
                <w:rFonts w:eastAsia="Times New Roman"/>
              </w:rPr>
            </w:pPr>
          </w:p>
        </w:tc>
      </w:tr>
      <w:tr w:rsidR="00000000" w14:paraId="4F0C1EAD" w14:textId="77777777">
        <w:trPr>
          <w:divId w:val="453449552"/>
        </w:trPr>
        <w:tc>
          <w:tcPr>
            <w:tcW w:w="0" w:type="auto"/>
            <w:gridSpan w:val="3"/>
            <w:shd w:val="clear" w:color="auto" w:fill="FFFFFF"/>
            <w:tcMar>
              <w:top w:w="30" w:type="dxa"/>
              <w:left w:w="20" w:type="dxa"/>
              <w:bottom w:w="30" w:type="dxa"/>
              <w:right w:w="20" w:type="dxa"/>
            </w:tcMar>
            <w:vAlign w:val="bottom"/>
            <w:hideMark/>
          </w:tcPr>
          <w:p w14:paraId="2AD105E2" w14:textId="77777777" w:rsidR="00000000" w:rsidRDefault="00C01C43">
            <w:pPr>
              <w:rPr>
                <w:rFonts w:eastAsia="Times New Roman"/>
              </w:rPr>
            </w:pPr>
            <w:r>
              <w:rPr>
                <w:rFonts w:ascii="Arial" w:eastAsia="Times New Roman" w:hAnsi="Arial" w:cs="Arial"/>
                <w:color w:val="000000"/>
                <w:sz w:val="20"/>
                <w:szCs w:val="20"/>
              </w:rPr>
              <w:t>11/1/2020 - 11/30/2020</w:t>
            </w:r>
          </w:p>
        </w:tc>
        <w:tc>
          <w:tcPr>
            <w:tcW w:w="0" w:type="auto"/>
            <w:gridSpan w:val="2"/>
            <w:shd w:val="clear" w:color="auto" w:fill="FFFFFF"/>
            <w:tcMar>
              <w:top w:w="30" w:type="dxa"/>
              <w:left w:w="20" w:type="dxa"/>
              <w:bottom w:w="30" w:type="dxa"/>
              <w:right w:w="0" w:type="dxa"/>
            </w:tcMar>
            <w:vAlign w:val="bottom"/>
            <w:hideMark/>
          </w:tcPr>
          <w:p w14:paraId="2FDB6D12"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FF4075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A1FC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31A4E1"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38F1D3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5F7EE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94FE53"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4ED80D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52F1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B9363" w14:textId="77777777" w:rsidR="00000000" w:rsidRDefault="00C01C43">
            <w:pPr>
              <w:jc w:val="right"/>
              <w:rPr>
                <w:rFonts w:eastAsia="Times New Roman"/>
              </w:rPr>
            </w:pPr>
            <w:r>
              <w:rPr>
                <w:rFonts w:ascii="Arial" w:eastAsia="Times New Roman" w:hAnsi="Arial" w:cs="Arial"/>
                <w:color w:val="000000"/>
                <w:sz w:val="20"/>
                <w:szCs w:val="20"/>
              </w:rPr>
              <w:t>258,944,330 </w:t>
            </w:r>
          </w:p>
        </w:tc>
        <w:tc>
          <w:tcPr>
            <w:tcW w:w="0" w:type="auto"/>
            <w:shd w:val="clear" w:color="auto" w:fill="FFFFFF"/>
            <w:tcMar>
              <w:top w:w="30" w:type="dxa"/>
              <w:left w:w="0" w:type="dxa"/>
              <w:bottom w:w="30" w:type="dxa"/>
              <w:right w:w="20" w:type="dxa"/>
            </w:tcMar>
            <w:vAlign w:val="bottom"/>
            <w:hideMark/>
          </w:tcPr>
          <w:p w14:paraId="0372329B" w14:textId="77777777" w:rsidR="00000000" w:rsidRDefault="00C01C43">
            <w:pPr>
              <w:jc w:val="right"/>
              <w:rPr>
                <w:rFonts w:eastAsia="Times New Roman"/>
              </w:rPr>
            </w:pPr>
          </w:p>
        </w:tc>
      </w:tr>
      <w:tr w:rsidR="00000000" w14:paraId="427F040E" w14:textId="77777777">
        <w:trPr>
          <w:divId w:val="453449552"/>
        </w:trPr>
        <w:tc>
          <w:tcPr>
            <w:tcW w:w="0" w:type="auto"/>
            <w:gridSpan w:val="3"/>
            <w:shd w:val="clear" w:color="auto" w:fill="CCEEFF"/>
            <w:tcMar>
              <w:top w:w="30" w:type="dxa"/>
              <w:left w:w="20" w:type="dxa"/>
              <w:bottom w:w="30" w:type="dxa"/>
              <w:right w:w="20" w:type="dxa"/>
            </w:tcMar>
            <w:vAlign w:val="bottom"/>
            <w:hideMark/>
          </w:tcPr>
          <w:p w14:paraId="1F01BFCC" w14:textId="77777777" w:rsidR="00000000" w:rsidRDefault="00C01C43">
            <w:pPr>
              <w:rPr>
                <w:rFonts w:eastAsia="Times New Roman"/>
              </w:rPr>
            </w:pPr>
            <w:r>
              <w:rPr>
                <w:rFonts w:ascii="Arial" w:eastAsia="Times New Roman" w:hAnsi="Arial" w:cs="Arial"/>
                <w:color w:val="000000"/>
                <w:sz w:val="20"/>
                <w:szCs w:val="20"/>
              </w:rPr>
              <w:t>12/1/2020 - 12/31/2020</w:t>
            </w:r>
          </w:p>
        </w:tc>
        <w:tc>
          <w:tcPr>
            <w:tcW w:w="0" w:type="auto"/>
            <w:gridSpan w:val="2"/>
            <w:shd w:val="clear" w:color="auto" w:fill="CCEEFF"/>
            <w:tcMar>
              <w:top w:w="30" w:type="dxa"/>
              <w:left w:w="20" w:type="dxa"/>
              <w:bottom w:w="30" w:type="dxa"/>
              <w:right w:w="0" w:type="dxa"/>
            </w:tcMar>
            <w:vAlign w:val="bottom"/>
            <w:hideMark/>
          </w:tcPr>
          <w:p w14:paraId="2127ACA2" w14:textId="77777777" w:rsidR="00000000" w:rsidRDefault="00C01C43">
            <w:pPr>
              <w:jc w:val="right"/>
              <w:rPr>
                <w:rFonts w:eastAsia="Times New Roman"/>
              </w:rPr>
            </w:pPr>
            <w:r>
              <w:rPr>
                <w:rFonts w:ascii="Arial" w:eastAsia="Times New Roman" w:hAnsi="Arial" w:cs="Arial"/>
                <w:color w:val="000000"/>
                <w:sz w:val="20"/>
                <w:szCs w:val="20"/>
              </w:rPr>
              <w:t>413,545 </w:t>
            </w:r>
          </w:p>
        </w:tc>
        <w:tc>
          <w:tcPr>
            <w:tcW w:w="0" w:type="auto"/>
            <w:shd w:val="clear" w:color="auto" w:fill="CCEEFF"/>
            <w:tcMar>
              <w:top w:w="30" w:type="dxa"/>
              <w:left w:w="0" w:type="dxa"/>
              <w:bottom w:w="30" w:type="dxa"/>
              <w:right w:w="20" w:type="dxa"/>
            </w:tcMar>
            <w:vAlign w:val="bottom"/>
            <w:hideMark/>
          </w:tcPr>
          <w:p w14:paraId="0A168D2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2FEB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63A17B" w14:textId="77777777" w:rsidR="00000000" w:rsidRDefault="00C01C43">
            <w:pPr>
              <w:jc w:val="right"/>
              <w:rPr>
                <w:rFonts w:eastAsia="Times New Roman"/>
              </w:rPr>
            </w:pPr>
            <w:r>
              <w:rPr>
                <w:rFonts w:ascii="Arial" w:eastAsia="Times New Roman" w:hAnsi="Arial" w:cs="Arial"/>
                <w:color w:val="000000"/>
                <w:sz w:val="20"/>
                <w:szCs w:val="20"/>
              </w:rPr>
              <w:t>30.68 </w:t>
            </w:r>
          </w:p>
        </w:tc>
        <w:tc>
          <w:tcPr>
            <w:tcW w:w="0" w:type="auto"/>
            <w:shd w:val="clear" w:color="auto" w:fill="CCEEFF"/>
            <w:tcMar>
              <w:top w:w="30" w:type="dxa"/>
              <w:left w:w="0" w:type="dxa"/>
              <w:bottom w:w="30" w:type="dxa"/>
              <w:right w:w="20" w:type="dxa"/>
            </w:tcMar>
            <w:vAlign w:val="bottom"/>
            <w:hideMark/>
          </w:tcPr>
          <w:p w14:paraId="7A36B91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74CD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FAE73C" w14:textId="77777777" w:rsidR="00000000" w:rsidRDefault="00C01C43">
            <w:pPr>
              <w:jc w:val="right"/>
              <w:rPr>
                <w:rFonts w:eastAsia="Times New Roman"/>
              </w:rPr>
            </w:pPr>
            <w:r>
              <w:rPr>
                <w:rFonts w:ascii="Arial" w:eastAsia="Times New Roman" w:hAnsi="Arial" w:cs="Arial"/>
                <w:color w:val="000000"/>
                <w:sz w:val="20"/>
                <w:szCs w:val="20"/>
              </w:rPr>
              <w:t>413,545 </w:t>
            </w:r>
          </w:p>
        </w:tc>
        <w:tc>
          <w:tcPr>
            <w:tcW w:w="0" w:type="auto"/>
            <w:shd w:val="clear" w:color="auto" w:fill="CCEEFF"/>
            <w:tcMar>
              <w:top w:w="30" w:type="dxa"/>
              <w:left w:w="0" w:type="dxa"/>
              <w:bottom w:w="30" w:type="dxa"/>
              <w:right w:w="20" w:type="dxa"/>
            </w:tcMar>
            <w:vAlign w:val="bottom"/>
            <w:hideMark/>
          </w:tcPr>
          <w:p w14:paraId="7585C58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8D3D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E3D7AB" w14:textId="77777777" w:rsidR="00000000" w:rsidRDefault="00C01C43">
            <w:pPr>
              <w:jc w:val="right"/>
              <w:rPr>
                <w:rFonts w:eastAsia="Times New Roman"/>
              </w:rPr>
            </w:pPr>
            <w:r>
              <w:rPr>
                <w:rFonts w:ascii="Arial" w:eastAsia="Times New Roman" w:hAnsi="Arial" w:cs="Arial"/>
                <w:color w:val="000000"/>
                <w:sz w:val="20"/>
                <w:szCs w:val="20"/>
              </w:rPr>
              <w:t>246,257,644 </w:t>
            </w:r>
          </w:p>
        </w:tc>
        <w:tc>
          <w:tcPr>
            <w:tcW w:w="0" w:type="auto"/>
            <w:shd w:val="clear" w:color="auto" w:fill="CCEEFF"/>
            <w:tcMar>
              <w:top w:w="30" w:type="dxa"/>
              <w:left w:w="0" w:type="dxa"/>
              <w:bottom w:w="30" w:type="dxa"/>
              <w:right w:w="20" w:type="dxa"/>
            </w:tcMar>
            <w:vAlign w:val="bottom"/>
            <w:hideMark/>
          </w:tcPr>
          <w:p w14:paraId="32D57890" w14:textId="77777777" w:rsidR="00000000" w:rsidRDefault="00C01C43">
            <w:pPr>
              <w:jc w:val="right"/>
              <w:rPr>
                <w:rFonts w:eastAsia="Times New Roman"/>
              </w:rPr>
            </w:pPr>
          </w:p>
        </w:tc>
      </w:tr>
      <w:tr w:rsidR="00000000" w14:paraId="534234AB" w14:textId="77777777">
        <w:trPr>
          <w:divId w:val="453449552"/>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1DCB5B77" w14:textId="77777777" w:rsidR="00000000" w:rsidRDefault="00C01C43">
            <w:pPr>
              <w:rPr>
                <w:rFonts w:eastAsia="Times New Roman"/>
              </w:rPr>
            </w:pPr>
            <w:r>
              <w:rPr>
                <w:rFonts w:ascii="Arial" w:eastAsia="Times New Roman"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80978F" w14:textId="77777777" w:rsidR="00000000" w:rsidRDefault="00C01C43">
            <w:pPr>
              <w:jc w:val="right"/>
              <w:rPr>
                <w:rFonts w:eastAsia="Times New Roman"/>
              </w:rPr>
            </w:pPr>
            <w:r>
              <w:rPr>
                <w:rFonts w:ascii="Arial" w:eastAsia="Times New Roman" w:hAnsi="Arial" w:cs="Arial"/>
                <w:color w:val="000000"/>
                <w:sz w:val="20"/>
                <w:szCs w:val="20"/>
              </w:rPr>
              <w:t>413,545 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430CAF"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C4A7735"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CBF9B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384DBB" w14:textId="77777777" w:rsidR="00000000" w:rsidRDefault="00C01C43">
            <w:pPr>
              <w:jc w:val="right"/>
              <w:rPr>
                <w:rFonts w:eastAsia="Times New Roman"/>
              </w:rPr>
            </w:pPr>
            <w:r>
              <w:rPr>
                <w:rFonts w:ascii="Arial" w:eastAsia="Times New Roman" w:hAnsi="Arial" w:cs="Arial"/>
                <w:color w:val="000000"/>
                <w:sz w:val="20"/>
                <w:szCs w:val="20"/>
              </w:rPr>
              <w:t>30.68 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E0ACDC3"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F84689D" w14:textId="77777777" w:rsidR="00000000" w:rsidRDefault="00C01C43">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AE2069" w14:textId="77777777" w:rsidR="00000000" w:rsidRDefault="00C01C43">
            <w:pPr>
              <w:jc w:val="right"/>
              <w:rPr>
                <w:rFonts w:eastAsia="Times New Roman"/>
              </w:rPr>
            </w:pPr>
            <w:r>
              <w:rPr>
                <w:rFonts w:ascii="Arial" w:eastAsia="Times New Roman" w:hAnsi="Arial" w:cs="Arial"/>
                <w:color w:val="000000"/>
                <w:sz w:val="20"/>
                <w:szCs w:val="20"/>
              </w:rPr>
              <w:t>413,545 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41E19A8"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1CB471B"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73A11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F6BCE1" w14:textId="77777777" w:rsidR="00000000" w:rsidRDefault="00C01C43">
            <w:pPr>
              <w:jc w:val="right"/>
              <w:rPr>
                <w:rFonts w:eastAsia="Times New Roman"/>
              </w:rPr>
            </w:pPr>
            <w:r>
              <w:rPr>
                <w:rFonts w:ascii="Arial" w:eastAsia="Times New Roman" w:hAnsi="Arial" w:cs="Arial"/>
                <w:color w:val="000000"/>
                <w:sz w:val="20"/>
                <w:szCs w:val="20"/>
              </w:rPr>
              <w:t>246,257,644 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B8C3F4" w14:textId="77777777" w:rsidR="00000000" w:rsidRDefault="00C01C43">
            <w:pPr>
              <w:jc w:val="right"/>
              <w:rPr>
                <w:rFonts w:eastAsia="Times New Roman"/>
              </w:rPr>
            </w:pPr>
          </w:p>
        </w:tc>
      </w:tr>
    </w:tbl>
    <w:p w14:paraId="2DEB5379" w14:textId="77777777" w:rsidR="00000000" w:rsidRDefault="00C01C43">
      <w:pPr>
        <w:ind w:hanging="360"/>
        <w:jc w:val="both"/>
        <w:divId w:val="1717461183"/>
        <w:rPr>
          <w:rFonts w:eastAsia="Times New Roman"/>
        </w:rPr>
      </w:pPr>
      <w:r>
        <w:rPr>
          <w:rFonts w:ascii="Arial" w:eastAsia="Times New Roman" w:hAnsi="Arial" w:cs="Arial"/>
          <w:color w:val="000000"/>
          <w:sz w:val="20"/>
          <w:szCs w:val="20"/>
        </w:rPr>
        <w:t xml:space="preserve">(1)These amounts include shares purchased as part of our publicly announced programs and shares owned and tendered by employees to satisfy the required withholding taxes related to share-based payment awards, which are not deducted from shares </w:t>
      </w:r>
      <w:r>
        <w:rPr>
          <w:rFonts w:ascii="Arial" w:eastAsia="Times New Roman" w:hAnsi="Arial" w:cs="Arial"/>
          <w:color w:val="000000"/>
          <w:sz w:val="20"/>
          <w:szCs w:val="20"/>
        </w:rPr>
        <w:t>available to be purchased under publicly announced programs.</w:t>
      </w:r>
    </w:p>
    <w:p w14:paraId="37EE0A25" w14:textId="77777777" w:rsidR="00000000" w:rsidRDefault="00C01C43">
      <w:pPr>
        <w:ind w:hanging="360"/>
        <w:jc w:val="both"/>
        <w:divId w:val="299576779"/>
        <w:rPr>
          <w:rFonts w:eastAsia="Times New Roman"/>
        </w:rPr>
      </w:pPr>
      <w:r>
        <w:rPr>
          <w:rFonts w:ascii="Arial" w:eastAsia="Times New Roman" w:hAnsi="Arial" w:cs="Arial"/>
          <w:color w:val="000000"/>
          <w:sz w:val="20"/>
          <w:szCs w:val="20"/>
        </w:rPr>
        <w:t>(2)In October 2017, our Board of Directors (the "Board") approved a new common stock repurchase program (the “Repurchase Program”), which replaced the program in place at that time, authorizing $</w:t>
      </w:r>
      <w:r>
        <w:rPr>
          <w:rFonts w:ascii="Arial" w:eastAsia="Times New Roman" w:hAnsi="Arial" w:cs="Arial"/>
          <w:color w:val="000000"/>
          <w:sz w:val="20"/>
          <w:szCs w:val="20"/>
        </w:rPr>
        <w:t>100.0 million in common stock repurchases. In May 2019, the Board authorized an increase to the October 2017 repurchase authorization by $100.0 million, bringing the authorized repurchases at that time to $200.0 million. In March 2020, the Board approved a</w:t>
      </w:r>
      <w:r>
        <w:rPr>
          <w:rFonts w:ascii="Arial" w:eastAsia="Times New Roman" w:hAnsi="Arial" w:cs="Arial"/>
          <w:color w:val="000000"/>
          <w:sz w:val="20"/>
          <w:szCs w:val="20"/>
        </w:rPr>
        <w:t xml:space="preserve"> new stock repurchase program authorizing $200.0 million in common stock repurchases to begin upon the completion of the October 2017 Repurchase Program. Our repurchase programs do not require a minimum number of shares of common stock to be purchased, hav</w:t>
      </w:r>
      <w:r>
        <w:rPr>
          <w:rFonts w:ascii="Arial" w:eastAsia="Times New Roman" w:hAnsi="Arial" w:cs="Arial"/>
          <w:color w:val="000000"/>
          <w:sz w:val="20"/>
          <w:szCs w:val="20"/>
        </w:rPr>
        <w:t>e no expiration date and may be suspended or discontinued at any time.  As of December 31, 2020, approximately $246.3 million remains available for purchase under our repurchase programs. The timing and amount of shares of common stock to be repurchased un</w:t>
      </w:r>
      <w:r>
        <w:rPr>
          <w:rFonts w:ascii="Arial" w:eastAsia="Times New Roman" w:hAnsi="Arial" w:cs="Arial"/>
          <w:color w:val="000000"/>
          <w:sz w:val="20"/>
          <w:szCs w:val="20"/>
        </w:rPr>
        <w:t>der the repurchase programs will depend on market conditions, share price, securities law and other legal requirements and factors.</w:t>
      </w:r>
    </w:p>
    <w:p w14:paraId="42080854" w14:textId="77777777" w:rsidR="00000000" w:rsidRDefault="00C01C43">
      <w:pPr>
        <w:jc w:val="both"/>
        <w:rPr>
          <w:rFonts w:eastAsia="Times New Roman"/>
        </w:rPr>
      </w:pPr>
      <w:r>
        <w:rPr>
          <w:rFonts w:ascii="Arial" w:eastAsia="Times New Roman" w:hAnsi="Arial" w:cs="Arial"/>
          <w:color w:val="000000"/>
          <w:sz w:val="20"/>
          <w:szCs w:val="20"/>
        </w:rPr>
        <w:t>For information on repurchases of common stock for the first three quarters of 2020, see the corresponding Quarterly Reports</w:t>
      </w:r>
      <w:r>
        <w:rPr>
          <w:rFonts w:ascii="Arial" w:eastAsia="Times New Roman" w:hAnsi="Arial" w:cs="Arial"/>
          <w:color w:val="000000"/>
          <w:sz w:val="20"/>
          <w:szCs w:val="20"/>
        </w:rPr>
        <w:t xml:space="preserve"> on Forms 10-Q.</w:t>
      </w:r>
    </w:p>
    <w:p w14:paraId="49346504" w14:textId="77777777" w:rsidR="00000000" w:rsidRDefault="00C01C43">
      <w:pPr>
        <w:jc w:val="both"/>
        <w:divId w:val="1746488861"/>
        <w:rPr>
          <w:rFonts w:eastAsia="Times New Roman"/>
        </w:rPr>
      </w:pPr>
    </w:p>
    <w:p w14:paraId="7A1436DF" w14:textId="77777777" w:rsidR="00000000" w:rsidRDefault="00C01C43">
      <w:pPr>
        <w:divId w:val="1327247483"/>
        <w:rPr>
          <w:rFonts w:eastAsia="Times New Roman"/>
        </w:rPr>
      </w:pPr>
      <w:r>
        <w:rPr>
          <w:rFonts w:ascii="Arial" w:eastAsia="Times New Roman" w:hAnsi="Arial" w:cs="Arial"/>
          <w:b/>
          <w:bCs/>
          <w:color w:val="000000"/>
        </w:rPr>
        <w:t>Item 6. Reserved</w:t>
      </w:r>
    </w:p>
    <w:p w14:paraId="748A02D8" w14:textId="77777777" w:rsidR="00000000" w:rsidRDefault="00C01C43">
      <w:pPr>
        <w:divId w:val="1967854211"/>
        <w:rPr>
          <w:rFonts w:eastAsia="Times New Roman"/>
        </w:rPr>
      </w:pPr>
    </w:p>
    <w:p w14:paraId="6D9BFFCB" w14:textId="77777777" w:rsidR="00000000" w:rsidRDefault="00C01C43">
      <w:pPr>
        <w:jc w:val="both"/>
        <w:divId w:val="699548964"/>
        <w:rPr>
          <w:rFonts w:eastAsia="Times New Roman"/>
        </w:rPr>
      </w:pPr>
      <w:r>
        <w:rPr>
          <w:rFonts w:ascii="Arial" w:eastAsia="Times New Roman" w:hAnsi="Arial" w:cs="Arial"/>
          <w:b/>
          <w:bCs/>
          <w:color w:val="000000"/>
        </w:rPr>
        <w:t>Item 7. Management’s Discussion and Analysis of Financial Condition and Results of Operations</w:t>
      </w:r>
    </w:p>
    <w:p w14:paraId="14B0FB2C" w14:textId="77777777" w:rsidR="00000000" w:rsidRDefault="00C01C43">
      <w:pPr>
        <w:jc w:val="both"/>
        <w:divId w:val="55206973"/>
        <w:rPr>
          <w:rFonts w:eastAsia="Times New Roman"/>
        </w:rPr>
      </w:pPr>
      <w:r>
        <w:rPr>
          <w:rFonts w:ascii="Arial" w:eastAsia="Times New Roman" w:hAnsi="Arial" w:cs="Arial"/>
          <w:color w:val="000000"/>
          <w:sz w:val="20"/>
          <w:szCs w:val="20"/>
        </w:rPr>
        <w:t>The following discussion should be read in conjunction with the accompanying Consolidated Financial Statements and Notes thereto appearing within "Part IV. Item 15. Notes to the Consolidated Financial Statements" in this 2020 10</w:t>
      </w:r>
      <w:r>
        <w:rPr>
          <w:rFonts w:ascii="Arial" w:eastAsia="Times New Roman" w:hAnsi="Arial" w:cs="Arial"/>
          <w:color w:val="000000"/>
          <w:sz w:val="20"/>
          <w:szCs w:val="20"/>
        </w:rPr>
        <w:noBreakHyphen/>
        <w:t>K Report. The following dis</w:t>
      </w:r>
      <w:r>
        <w:rPr>
          <w:rFonts w:ascii="Arial" w:eastAsia="Times New Roman" w:hAnsi="Arial" w:cs="Arial"/>
          <w:color w:val="000000"/>
          <w:sz w:val="20"/>
          <w:szCs w:val="20"/>
        </w:rPr>
        <w:t>cussion may contain forward-looking statements, and our actual results may differ materially from the results suggested by these forward-looking statements. Some factors that may cause our results to differ materially from the results and events anticipate</w:t>
      </w:r>
      <w:r>
        <w:rPr>
          <w:rFonts w:ascii="Arial" w:eastAsia="Times New Roman" w:hAnsi="Arial" w:cs="Arial"/>
          <w:color w:val="000000"/>
          <w:sz w:val="20"/>
          <w:szCs w:val="20"/>
        </w:rPr>
        <w:t>d or implied by such forward- looking statements are described in “Item 1A – Risk Factors” and under “Forward-Looking Statements.”</w:t>
      </w:r>
    </w:p>
    <w:p w14:paraId="64A0742A" w14:textId="77777777" w:rsidR="00000000" w:rsidRDefault="00C01C43">
      <w:pPr>
        <w:jc w:val="both"/>
        <w:rPr>
          <w:rFonts w:eastAsia="Times New Roman"/>
        </w:rPr>
      </w:pPr>
      <w:r>
        <w:rPr>
          <w:rFonts w:ascii="Arial" w:eastAsia="Times New Roman" w:hAnsi="Arial" w:cs="Arial"/>
          <w:color w:val="000000"/>
          <w:sz w:val="20"/>
          <w:szCs w:val="20"/>
        </w:rPr>
        <w:t>We have elected to omit in this 2020 10</w:t>
      </w:r>
      <w:r>
        <w:rPr>
          <w:rFonts w:ascii="Arial" w:eastAsia="Times New Roman" w:hAnsi="Arial" w:cs="Arial"/>
          <w:color w:val="000000"/>
          <w:sz w:val="20"/>
          <w:szCs w:val="20"/>
        </w:rPr>
        <w:noBreakHyphen/>
        <w:t>K Report, discussion on the earliest of the three years covered by the Consolidated F</w:t>
      </w:r>
      <w:r>
        <w:rPr>
          <w:rFonts w:ascii="Arial" w:eastAsia="Times New Roman" w:hAnsi="Arial" w:cs="Arial"/>
          <w:color w:val="000000"/>
          <w:sz w:val="20"/>
          <w:szCs w:val="20"/>
        </w:rPr>
        <w:t xml:space="preserve">inancial Statements presented. Refer to "Item 7. Management’s Discussion and Analysis of Financial Condition and Results of Operations" located in our Form 10-K for the fiscal year ended December 31, 2019 (herein incorporated by reference), filed with the </w:t>
      </w:r>
      <w:r>
        <w:rPr>
          <w:rFonts w:ascii="Arial" w:eastAsia="Times New Roman" w:hAnsi="Arial" w:cs="Arial"/>
          <w:color w:val="000000"/>
          <w:sz w:val="20"/>
          <w:szCs w:val="20"/>
        </w:rPr>
        <w:t>SEC on March 2, 2020, for management's discussion of the fiscal year ended December 31, 2018.</w:t>
      </w:r>
    </w:p>
    <w:p w14:paraId="7A955D66" w14:textId="77777777" w:rsidR="00000000" w:rsidRDefault="00C01C43">
      <w:pPr>
        <w:jc w:val="both"/>
        <w:divId w:val="216599171"/>
        <w:rPr>
          <w:rFonts w:eastAsia="Times New Roman"/>
        </w:rPr>
      </w:pPr>
    </w:p>
    <w:p w14:paraId="4F2D12B5" w14:textId="77777777" w:rsidR="00000000" w:rsidRDefault="00C01C43">
      <w:pPr>
        <w:jc w:val="center"/>
        <w:divId w:val="1521355538"/>
        <w:rPr>
          <w:rFonts w:eastAsia="Times New Roman"/>
        </w:rPr>
      </w:pPr>
      <w:r>
        <w:rPr>
          <w:rFonts w:ascii="Arial" w:eastAsia="Times New Roman" w:hAnsi="Arial" w:cs="Arial"/>
          <w:color w:val="000000"/>
          <w:sz w:val="16"/>
          <w:szCs w:val="16"/>
        </w:rPr>
        <w:t>25</w:t>
      </w:r>
    </w:p>
    <w:p w14:paraId="0F337EF3" w14:textId="77777777" w:rsidR="00000000" w:rsidRDefault="00C01C43">
      <w:pPr>
        <w:rPr>
          <w:rFonts w:eastAsia="Times New Roman"/>
        </w:rPr>
      </w:pPr>
      <w:r>
        <w:rPr>
          <w:rFonts w:eastAsia="Times New Roman"/>
        </w:rPr>
        <w:pict w14:anchorId="78C48BDF">
          <v:rect id="_x0000_i1054" style="width:0;height:1.5pt" o:hralign="center" o:hrstd="t" o:hr="t" fillcolor="#a0a0a0" stroked="f"/>
        </w:pict>
      </w:r>
    </w:p>
    <w:p w14:paraId="4599F7E9" w14:textId="77777777" w:rsidR="00000000" w:rsidRDefault="00C01C43">
      <w:pPr>
        <w:divId w:val="1356997559"/>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3EC871FF" w14:textId="77777777" w:rsidR="00000000" w:rsidRDefault="00C01C43">
      <w:pPr>
        <w:jc w:val="both"/>
        <w:rPr>
          <w:rFonts w:eastAsia="Times New Roman"/>
        </w:rPr>
      </w:pPr>
      <w:r>
        <w:rPr>
          <w:rFonts w:ascii="Arial" w:eastAsia="Times New Roman" w:hAnsi="Arial" w:cs="Arial"/>
          <w:b/>
          <w:bCs/>
          <w:color w:val="000000"/>
          <w:sz w:val="20"/>
          <w:szCs w:val="20"/>
        </w:rPr>
        <w:t>Business Overview</w:t>
      </w:r>
    </w:p>
    <w:p w14:paraId="2ACA2100" w14:textId="77777777" w:rsidR="00000000" w:rsidRDefault="00C01C43">
      <w:pPr>
        <w:jc w:val="both"/>
        <w:divId w:val="1435828330"/>
        <w:rPr>
          <w:rFonts w:eastAsia="Times New Roman"/>
        </w:rPr>
      </w:pPr>
      <w:r>
        <w:rPr>
          <w:rFonts w:ascii="Arial" w:eastAsia="Times New Roman" w:hAnsi="Arial" w:cs="Arial"/>
          <w:color w:val="000000"/>
          <w:sz w:val="20"/>
          <w:szCs w:val="20"/>
        </w:rPr>
        <w:t>We are a leading global fu</w:t>
      </w:r>
      <w:r>
        <w:rPr>
          <w:rFonts w:ascii="Arial" w:eastAsia="Times New Roman" w:hAnsi="Arial" w:cs="Arial"/>
          <w:color w:val="000000"/>
          <w:sz w:val="20"/>
          <w:szCs w:val="20"/>
        </w:rPr>
        <w:t>el services company, principally engaged in the distribution of fuel and related products and services in the aviation, land and marine transportation industries. In recent years, we have expanded our land product and service offerings to include energy ad</w:t>
      </w:r>
      <w:r>
        <w:rPr>
          <w:rFonts w:ascii="Arial" w:eastAsia="Times New Roman" w:hAnsi="Arial" w:cs="Arial"/>
          <w:color w:val="000000"/>
          <w:sz w:val="20"/>
          <w:szCs w:val="20"/>
        </w:rPr>
        <w:t xml:space="preserve">visory services and supply fulfillment for natural gas and power to commercial, industrial and government customers. Our intention is to become a leading global energy management company offering a full suite of energy advisory, management and fulfillment </w:t>
      </w:r>
      <w:r>
        <w:rPr>
          <w:rFonts w:ascii="Arial" w:eastAsia="Times New Roman" w:hAnsi="Arial" w:cs="Arial"/>
          <w:color w:val="000000"/>
          <w:sz w:val="20"/>
          <w:szCs w:val="20"/>
        </w:rPr>
        <w:t>services, technology solutions, payment management solutions, as well as sustainability products and services across the energy product spectrum. We will continue to focus on enhancing the portfolio of products and services we provide based on changes in c</w:t>
      </w:r>
      <w:r>
        <w:rPr>
          <w:rFonts w:ascii="Arial" w:eastAsia="Times New Roman" w:hAnsi="Arial" w:cs="Arial"/>
          <w:color w:val="000000"/>
          <w:sz w:val="20"/>
          <w:szCs w:val="20"/>
        </w:rPr>
        <w:t>ustomer demand, including sustainability offerings and renewable energy solutions</w:t>
      </w:r>
      <w:r>
        <w:rPr>
          <w:rFonts w:eastAsia="Times New Roman"/>
          <w:color w:val="000000"/>
          <w:sz w:val="20"/>
          <w:szCs w:val="20"/>
        </w:rPr>
        <w:t>.</w:t>
      </w:r>
    </w:p>
    <w:p w14:paraId="2760BCEA" w14:textId="77777777" w:rsidR="00000000" w:rsidRDefault="00C01C43">
      <w:pPr>
        <w:jc w:val="both"/>
        <w:rPr>
          <w:rFonts w:eastAsia="Times New Roman"/>
        </w:rPr>
      </w:pPr>
      <w:r>
        <w:rPr>
          <w:rFonts w:ascii="Arial" w:eastAsia="Times New Roman" w:hAnsi="Arial" w:cs="Arial"/>
          <w:b/>
          <w:bCs/>
          <w:color w:val="000000"/>
          <w:sz w:val="20"/>
          <w:szCs w:val="20"/>
        </w:rPr>
        <w:t>COVID-19</w:t>
      </w:r>
    </w:p>
    <w:p w14:paraId="453C3486" w14:textId="77777777" w:rsidR="00000000" w:rsidRDefault="00C01C43">
      <w:pPr>
        <w:jc w:val="both"/>
        <w:rPr>
          <w:rFonts w:eastAsia="Times New Roman"/>
        </w:rPr>
      </w:pPr>
      <w:r>
        <w:rPr>
          <w:rFonts w:ascii="Arial" w:eastAsia="Times New Roman" w:hAnsi="Arial" w:cs="Arial"/>
          <w:color w:val="000000"/>
          <w:sz w:val="20"/>
          <w:szCs w:val="20"/>
        </w:rPr>
        <w:t xml:space="preserve">Beginning in the first quarter of 2020 and through the date of this filing, the aviation, marine and land transportation industries, along with global economic conditions generally, have been significantly impacted by the COVID-19 pandemic. A large number </w:t>
      </w:r>
      <w:r>
        <w:rPr>
          <w:rFonts w:ascii="Arial" w:eastAsia="Times New Roman" w:hAnsi="Arial" w:cs="Arial"/>
          <w:color w:val="000000"/>
          <w:sz w:val="20"/>
          <w:szCs w:val="20"/>
        </w:rPr>
        <w:t>of our customers in these industries have experienced a substantial decline in business activity, especially commercial airlines and cruise lines, which have been particularly impacted by ongoing travel restrictions. Customers in our marine and land segmen</w:t>
      </w:r>
      <w:r>
        <w:rPr>
          <w:rFonts w:ascii="Arial" w:eastAsia="Times New Roman" w:hAnsi="Arial" w:cs="Arial"/>
          <w:color w:val="000000"/>
          <w:sz w:val="20"/>
          <w:szCs w:val="20"/>
        </w:rPr>
        <w:t>ts have also been adversely affected by these restrictions and the reduction in operations of various businesses in affected regions. These impacts have consequently increased the credit risk associated with a number of these customers, particularly in ind</w:t>
      </w:r>
      <w:r>
        <w:rPr>
          <w:rFonts w:ascii="Arial" w:eastAsia="Times New Roman" w:hAnsi="Arial" w:cs="Arial"/>
          <w:color w:val="000000"/>
          <w:sz w:val="20"/>
          <w:szCs w:val="20"/>
        </w:rPr>
        <w:t>ustries that are largely dependent on travel or consumer spending. In response to these developments, we took swift action to ensure the safety of our employees and other stakeholders and initiated a number of initiatives relating to cost reduction, liquid</w:t>
      </w:r>
      <w:r>
        <w:rPr>
          <w:rFonts w:ascii="Arial" w:eastAsia="Times New Roman" w:hAnsi="Arial" w:cs="Arial"/>
          <w:color w:val="000000"/>
          <w:sz w:val="20"/>
          <w:szCs w:val="20"/>
        </w:rPr>
        <w:t>ity and operating efficiencies.</w:t>
      </w:r>
    </w:p>
    <w:p w14:paraId="31B7D884" w14:textId="77777777" w:rsidR="00000000" w:rsidRDefault="00C01C43">
      <w:pPr>
        <w:ind w:firstLine="360"/>
        <w:jc w:val="both"/>
        <w:rPr>
          <w:rFonts w:eastAsia="Times New Roman"/>
        </w:rPr>
      </w:pPr>
    </w:p>
    <w:p w14:paraId="74F9FFA4" w14:textId="77777777" w:rsidR="00000000" w:rsidRDefault="00C01C43">
      <w:pPr>
        <w:jc w:val="both"/>
        <w:rPr>
          <w:rFonts w:eastAsia="Times New Roman"/>
        </w:rPr>
      </w:pPr>
      <w:r>
        <w:rPr>
          <w:rFonts w:ascii="Arial" w:eastAsia="Times New Roman" w:hAnsi="Arial" w:cs="Arial"/>
          <w:color w:val="000000"/>
          <w:sz w:val="20"/>
          <w:szCs w:val="20"/>
        </w:rPr>
        <w:t>While the pandemic and associated impacts on economic activity had a limited adverse effect on our results of operations and financial condition in the beginning of 2020, we experienced a sharp decline in demand and relate</w:t>
      </w:r>
      <w:r>
        <w:rPr>
          <w:rFonts w:ascii="Arial" w:eastAsia="Times New Roman" w:hAnsi="Arial" w:cs="Arial"/>
          <w:color w:val="000000"/>
          <w:sz w:val="20"/>
          <w:szCs w:val="20"/>
        </w:rPr>
        <w:t>d sales during the second quarter, as large sectors of the global economy were adversely impacted by the crisis. Demand showed some moderate improvement through the second half of 2020, however, our results remained well below pre-pandemic levels as descri</w:t>
      </w:r>
      <w:r>
        <w:rPr>
          <w:rFonts w:ascii="Arial" w:eastAsia="Times New Roman" w:hAnsi="Arial" w:cs="Arial"/>
          <w:color w:val="000000"/>
          <w:sz w:val="20"/>
          <w:szCs w:val="20"/>
        </w:rPr>
        <w:t xml:space="preserve">bed in greater detail below. Since the level of activity in our business and that of our customers has historically been driven by the level of economic activity globally, we generally expect these negative impacts to continue through 2021. Any subsequent </w:t>
      </w:r>
      <w:r>
        <w:rPr>
          <w:rFonts w:ascii="Arial" w:eastAsia="Times New Roman" w:hAnsi="Arial" w:cs="Arial"/>
          <w:color w:val="000000"/>
          <w:sz w:val="20"/>
          <w:szCs w:val="20"/>
        </w:rPr>
        <w:t>recovery will be dependent on, among other things, the actions taken by governments and businesses to contain and combat the virus, the speed and effectiveness of vaccine development and distribution, as well as how quickly, and to what extent, normal econ</w:t>
      </w:r>
      <w:r>
        <w:rPr>
          <w:rFonts w:ascii="Arial" w:eastAsia="Times New Roman" w:hAnsi="Arial" w:cs="Arial"/>
          <w:color w:val="000000"/>
          <w:sz w:val="20"/>
          <w:szCs w:val="20"/>
        </w:rPr>
        <w:t>omic and operating conditions can resume on a sustainable basis globally.</w:t>
      </w:r>
    </w:p>
    <w:p w14:paraId="35D11F8E" w14:textId="77777777" w:rsidR="00000000" w:rsidRDefault="00C01C43">
      <w:pPr>
        <w:jc w:val="both"/>
        <w:rPr>
          <w:rFonts w:eastAsia="Times New Roman"/>
        </w:rPr>
      </w:pPr>
    </w:p>
    <w:p w14:paraId="32B4507F" w14:textId="77777777" w:rsidR="00000000" w:rsidRDefault="00C01C43">
      <w:pPr>
        <w:jc w:val="both"/>
        <w:rPr>
          <w:rFonts w:eastAsia="Times New Roman"/>
        </w:rPr>
      </w:pPr>
      <w:r>
        <w:rPr>
          <w:rFonts w:ascii="Arial" w:eastAsia="Times New Roman" w:hAnsi="Arial" w:cs="Arial"/>
          <w:b/>
          <w:bCs/>
          <w:color w:val="000000"/>
          <w:sz w:val="20"/>
          <w:szCs w:val="20"/>
        </w:rPr>
        <w:t>Aviation Segment</w:t>
      </w:r>
    </w:p>
    <w:p w14:paraId="4A80DDAB" w14:textId="77777777" w:rsidR="00000000" w:rsidRDefault="00C01C43">
      <w:pPr>
        <w:jc w:val="both"/>
        <w:rPr>
          <w:rFonts w:eastAsia="Times New Roman"/>
        </w:rPr>
      </w:pPr>
      <w:r>
        <w:rPr>
          <w:rFonts w:ascii="Arial" w:eastAsia="Times New Roman" w:hAnsi="Arial" w:cs="Arial"/>
          <w:color w:val="000000"/>
          <w:sz w:val="20"/>
          <w:szCs w:val="20"/>
        </w:rPr>
        <w:t>Our aviation segment has benefited from growth in our fuel and related services offerings, as well as our improving logistics capability and the impact of expandin</w:t>
      </w:r>
      <w:r>
        <w:rPr>
          <w:rFonts w:ascii="Arial" w:eastAsia="Times New Roman" w:hAnsi="Arial" w:cs="Arial"/>
          <w:color w:val="000000"/>
          <w:sz w:val="20"/>
          <w:szCs w:val="20"/>
        </w:rPr>
        <w:t>g our aviation fueling operations footprint into additional international airport locations. However, as a result of COVID-19, the overall aviation market, principally commercial passenger airlines, has been significantly impacted by global travel restrict</w:t>
      </w:r>
      <w:r>
        <w:rPr>
          <w:rFonts w:ascii="Arial" w:eastAsia="Times New Roman" w:hAnsi="Arial" w:cs="Arial"/>
          <w:color w:val="000000"/>
          <w:sz w:val="20"/>
          <w:szCs w:val="20"/>
        </w:rPr>
        <w:t xml:space="preserve">ions and a sharp decrease in demand for air travel. Accordingly, during the second and through the fourth quarter of 2020, we experienced a material volume decline in our commercial aviation business as compared to 2019 and, to a somewhat lesser extent, a </w:t>
      </w:r>
      <w:r>
        <w:rPr>
          <w:rFonts w:ascii="Arial" w:eastAsia="Times New Roman" w:hAnsi="Arial" w:cs="Arial"/>
          <w:color w:val="000000"/>
          <w:sz w:val="20"/>
          <w:szCs w:val="20"/>
        </w:rPr>
        <w:t>significant reduction in our business and general aviation activities. Our results of operations in these lines of business for 2021 will be highly contingent on the timing and extent to which international border and travel restrictions are lifted and the</w:t>
      </w:r>
      <w:r>
        <w:rPr>
          <w:rFonts w:ascii="Arial" w:eastAsia="Times New Roman" w:hAnsi="Arial" w:cs="Arial"/>
          <w:color w:val="000000"/>
          <w:sz w:val="20"/>
          <w:szCs w:val="20"/>
        </w:rPr>
        <w:t xml:space="preserve"> global economy begins to recover from the effects of the current crisis.</w:t>
      </w:r>
    </w:p>
    <w:p w14:paraId="4CC4D88A" w14:textId="77777777" w:rsidR="00000000" w:rsidRDefault="00C01C43">
      <w:pPr>
        <w:ind w:firstLine="360"/>
        <w:jc w:val="both"/>
        <w:rPr>
          <w:rFonts w:eastAsia="Times New Roman"/>
        </w:rPr>
      </w:pPr>
    </w:p>
    <w:p w14:paraId="36B403CB" w14:textId="77777777" w:rsidR="00000000" w:rsidRDefault="00C01C43">
      <w:pPr>
        <w:jc w:val="both"/>
        <w:rPr>
          <w:rFonts w:eastAsia="Times New Roman"/>
        </w:rPr>
      </w:pPr>
      <w:r>
        <w:rPr>
          <w:rFonts w:ascii="Arial" w:eastAsia="Times New Roman" w:hAnsi="Arial" w:cs="Arial"/>
          <w:color w:val="000000"/>
          <w:sz w:val="20"/>
          <w:szCs w:val="20"/>
        </w:rPr>
        <w:t>Furthermore, our aviation segment has benefited from significant sales to NATO in Afghanistan, which accounts for a material portion of our aviation segment's profitability. The le</w:t>
      </w:r>
      <w:r>
        <w:rPr>
          <w:rFonts w:ascii="Arial" w:eastAsia="Times New Roman" w:hAnsi="Arial" w:cs="Arial"/>
          <w:color w:val="000000"/>
          <w:sz w:val="20"/>
          <w:szCs w:val="20"/>
        </w:rPr>
        <w:t xml:space="preserve">vel of troop deployments and military-related activities can cause our government customer sales to vary significantly and materially impact our operating results. Specifically, the U.S. government has significantly reduced the level of U.S. troops in the </w:t>
      </w:r>
      <w:r>
        <w:rPr>
          <w:rFonts w:ascii="Arial" w:eastAsia="Times New Roman" w:hAnsi="Arial" w:cs="Arial"/>
          <w:color w:val="000000"/>
          <w:sz w:val="20"/>
          <w:szCs w:val="20"/>
        </w:rPr>
        <w:t>Middle East, including the troops supporting NATO in Afghanistan. In connection therewith, in the early part of 2020, the U.S. entered into an agreement with the Taliban where it agreed to reduce the level of troops and negotiate a full withdrawal by 2021,</w:t>
      </w:r>
      <w:r>
        <w:rPr>
          <w:rFonts w:ascii="Arial" w:eastAsia="Times New Roman" w:hAnsi="Arial" w:cs="Arial"/>
          <w:color w:val="000000"/>
          <w:sz w:val="20"/>
          <w:szCs w:val="20"/>
        </w:rPr>
        <w:t xml:space="preserve"> subject to various conditions including a peace agreement being reached between the government of Afghanistan and the Taliban. The U.S. government has since moved forward with a significant reduction in the level of troops. While the exact timing and full</w:t>
      </w:r>
      <w:r>
        <w:rPr>
          <w:rFonts w:ascii="Arial" w:eastAsia="Times New Roman" w:hAnsi="Arial" w:cs="Arial"/>
          <w:color w:val="000000"/>
          <w:sz w:val="20"/>
          <w:szCs w:val="20"/>
        </w:rPr>
        <w:t xml:space="preserve"> impact of the troop withdrawal remain uncertain, we have experienced a material decline in demand since the end of the first quarter of 2020 and may continue to experience further reductions in demand into 2021</w:t>
      </w:r>
      <w:r>
        <w:rPr>
          <w:rFonts w:eastAsia="Times New Roman"/>
          <w:color w:val="000000"/>
          <w:sz w:val="20"/>
          <w:szCs w:val="20"/>
        </w:rPr>
        <w:t>.</w:t>
      </w:r>
    </w:p>
    <w:p w14:paraId="33025E89" w14:textId="77777777" w:rsidR="00000000" w:rsidRDefault="00C01C43">
      <w:pPr>
        <w:ind w:firstLine="360"/>
        <w:jc w:val="both"/>
        <w:rPr>
          <w:rFonts w:eastAsia="Times New Roman"/>
        </w:rPr>
      </w:pPr>
    </w:p>
    <w:p w14:paraId="7CF174CC" w14:textId="77777777" w:rsidR="00000000" w:rsidRDefault="00C01C43">
      <w:pPr>
        <w:jc w:val="center"/>
        <w:divId w:val="1929655533"/>
        <w:rPr>
          <w:rFonts w:eastAsia="Times New Roman"/>
        </w:rPr>
      </w:pPr>
      <w:r>
        <w:rPr>
          <w:rFonts w:ascii="Arial" w:eastAsia="Times New Roman" w:hAnsi="Arial" w:cs="Arial"/>
          <w:color w:val="000000"/>
          <w:sz w:val="16"/>
          <w:szCs w:val="16"/>
        </w:rPr>
        <w:t>26</w:t>
      </w:r>
    </w:p>
    <w:p w14:paraId="561ABDCE" w14:textId="77777777" w:rsidR="00000000" w:rsidRDefault="00C01C43">
      <w:pPr>
        <w:rPr>
          <w:rFonts w:eastAsia="Times New Roman"/>
        </w:rPr>
      </w:pPr>
      <w:r>
        <w:rPr>
          <w:rFonts w:eastAsia="Times New Roman"/>
        </w:rPr>
        <w:pict w14:anchorId="2736E0ED">
          <v:rect id="_x0000_i1055" style="width:0;height:1.5pt" o:hralign="center" o:hrstd="t" o:hr="t" fillcolor="#a0a0a0" stroked="f"/>
        </w:pict>
      </w:r>
    </w:p>
    <w:p w14:paraId="5AF05FE0" w14:textId="77777777" w:rsidR="00000000" w:rsidRDefault="00C01C43">
      <w:pPr>
        <w:divId w:val="1784878340"/>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529AFE9F" w14:textId="77777777" w:rsidR="00000000" w:rsidRDefault="00C01C43">
      <w:pPr>
        <w:jc w:val="both"/>
        <w:rPr>
          <w:rFonts w:eastAsia="Times New Roman"/>
        </w:rPr>
      </w:pPr>
      <w:r>
        <w:rPr>
          <w:rFonts w:ascii="Arial" w:eastAsia="Times New Roman" w:hAnsi="Arial" w:cs="Arial"/>
          <w:b/>
          <w:bCs/>
          <w:color w:val="000000"/>
          <w:sz w:val="20"/>
          <w:szCs w:val="20"/>
        </w:rPr>
        <w:t>Land Segment</w:t>
      </w:r>
    </w:p>
    <w:p w14:paraId="1F270955" w14:textId="77777777" w:rsidR="00000000" w:rsidRDefault="00C01C43">
      <w:pPr>
        <w:jc w:val="both"/>
        <w:rPr>
          <w:rFonts w:eastAsia="Times New Roman"/>
        </w:rPr>
      </w:pPr>
      <w:r>
        <w:rPr>
          <w:rFonts w:ascii="Arial" w:eastAsia="Times New Roman" w:hAnsi="Arial" w:cs="Arial"/>
          <w:color w:val="000000"/>
          <w:sz w:val="20"/>
          <w:szCs w:val="20"/>
        </w:rPr>
        <w:t>Our land segment primarily consists of land fuel distribution in the U.S. and the U.K., further complemented by our expansion into energy advisory, brokerage and fulfill</w:t>
      </w:r>
      <w:r>
        <w:rPr>
          <w:rFonts w:ascii="Arial" w:eastAsia="Times New Roman" w:hAnsi="Arial" w:cs="Arial"/>
          <w:color w:val="000000"/>
          <w:sz w:val="20"/>
          <w:szCs w:val="20"/>
        </w:rPr>
        <w:t>ment solutions with respect to power, natural gas and other energy products. We also offer sustainability consulting, renewable fuel products, and carbon management and renewable energy solutions through World Kinect, our global energy management brand. Du</w:t>
      </w:r>
      <w:r>
        <w:rPr>
          <w:rFonts w:ascii="Arial" w:eastAsia="Times New Roman" w:hAnsi="Arial" w:cs="Arial"/>
          <w:color w:val="000000"/>
          <w:sz w:val="20"/>
          <w:szCs w:val="20"/>
        </w:rPr>
        <w:t>e to the diverse portfolio of customers, businesses and activities within our land segment, the COVID-19 related impacts are more difficult to predict. For example, during the second quarter of 2020, our operating results in our land segment benefited from</w:t>
      </w:r>
      <w:r>
        <w:rPr>
          <w:rFonts w:ascii="Arial" w:eastAsia="Times New Roman" w:hAnsi="Arial" w:cs="Arial"/>
          <w:color w:val="000000"/>
          <w:sz w:val="20"/>
          <w:szCs w:val="20"/>
        </w:rPr>
        <w:t xml:space="preserve"> improvements in the U.K. However, this increase was largely offset by a decline in profitability in North America, primarily due to a decrease in sales to retail, commercial and industrial customers in connection with the continued negative impacts of the</w:t>
      </w:r>
      <w:r>
        <w:rPr>
          <w:rFonts w:ascii="Arial" w:eastAsia="Times New Roman" w:hAnsi="Arial" w:cs="Arial"/>
          <w:color w:val="000000"/>
          <w:sz w:val="20"/>
          <w:szCs w:val="20"/>
        </w:rPr>
        <w:t xml:space="preserve"> pandemic, particularly throughout much of the U.S. The extent of any improvements in these activities will continue to be dependent on the timing and extent to which quarantine restrictions are lifted and local business activities fully reopen. Furthermor</w:t>
      </w:r>
      <w:r>
        <w:rPr>
          <w:rFonts w:ascii="Arial" w:eastAsia="Times New Roman" w:hAnsi="Arial" w:cs="Arial"/>
          <w:color w:val="000000"/>
          <w:sz w:val="20"/>
          <w:szCs w:val="20"/>
        </w:rPr>
        <w:t>e, for the same reasons as those described in the aviation segment, we have experienced a material decline in demand in our government business since the end of the first quarter of 2020 and may continue to experience further reductions in demand into 2021</w:t>
      </w:r>
      <w:r>
        <w:rPr>
          <w:rFonts w:ascii="Arial" w:eastAsia="Times New Roman" w:hAnsi="Arial" w:cs="Arial"/>
          <w:color w:val="000000"/>
          <w:sz w:val="20"/>
          <w:szCs w:val="20"/>
        </w:rPr>
        <w:t>.</w:t>
      </w:r>
    </w:p>
    <w:p w14:paraId="379DC71D" w14:textId="77777777" w:rsidR="00000000" w:rsidRDefault="00C01C43">
      <w:pPr>
        <w:jc w:val="both"/>
        <w:rPr>
          <w:rFonts w:eastAsia="Times New Roman"/>
        </w:rPr>
      </w:pPr>
    </w:p>
    <w:p w14:paraId="3AEC7715" w14:textId="77777777" w:rsidR="00000000" w:rsidRDefault="00C01C43">
      <w:pPr>
        <w:jc w:val="both"/>
        <w:rPr>
          <w:rFonts w:eastAsia="Times New Roman"/>
        </w:rPr>
      </w:pPr>
      <w:r>
        <w:rPr>
          <w:rFonts w:ascii="Arial" w:eastAsia="Times New Roman" w:hAnsi="Arial" w:cs="Arial"/>
          <w:b/>
          <w:bCs/>
          <w:color w:val="000000"/>
          <w:sz w:val="20"/>
          <w:szCs w:val="20"/>
        </w:rPr>
        <w:t>Marine Segment</w:t>
      </w:r>
    </w:p>
    <w:p w14:paraId="1CA1286A" w14:textId="77777777" w:rsidR="00000000" w:rsidRDefault="00C01C43">
      <w:pPr>
        <w:jc w:val="both"/>
        <w:rPr>
          <w:rFonts w:eastAsia="Times New Roman"/>
        </w:rPr>
      </w:pPr>
      <w:r>
        <w:rPr>
          <w:rFonts w:ascii="Arial" w:eastAsia="Times New Roman" w:hAnsi="Arial" w:cs="Arial"/>
          <w:color w:val="000000"/>
          <w:sz w:val="20"/>
          <w:szCs w:val="20"/>
        </w:rPr>
        <w:t>Overall, throughout 2019 and into early 2020, higher average fuel prices, combined with our focus on reshaping our portfolio and cost management, improved profitability in our marine segment. In addition, the implementation of the International Maritime Or</w:t>
      </w:r>
      <w:r>
        <w:rPr>
          <w:rFonts w:ascii="Arial" w:eastAsia="Times New Roman" w:hAnsi="Arial" w:cs="Arial"/>
          <w:color w:val="000000"/>
          <w:sz w:val="20"/>
          <w:szCs w:val="20"/>
        </w:rPr>
        <w:t>ganization's mandatory low sulfur regulations that took effect on January 1, 2020 ("IMO 2020") resulted in certain supply imbalances and price volatility in late 2019 and through much of the first quarter of 2020 that positively impacted our operating resu</w:t>
      </w:r>
      <w:r>
        <w:rPr>
          <w:rFonts w:ascii="Arial" w:eastAsia="Times New Roman" w:hAnsi="Arial" w:cs="Arial"/>
          <w:color w:val="000000"/>
          <w:sz w:val="20"/>
          <w:szCs w:val="20"/>
        </w:rPr>
        <w:t>lts in those periods. However, beginning in the latter part of the first quarter of 2020 and throughout the balance of 2020, we experienced a decline in volume and profitability primarily due to the impact of the COVID-19 pandemic coupled with the signific</w:t>
      </w:r>
      <w:r>
        <w:rPr>
          <w:rFonts w:ascii="Arial" w:eastAsia="Times New Roman" w:hAnsi="Arial" w:cs="Arial"/>
          <w:color w:val="000000"/>
          <w:sz w:val="20"/>
          <w:szCs w:val="20"/>
        </w:rPr>
        <w:t xml:space="preserve">ant decline in fuel prices. We expect our marine segment’s volume and profitability to continue to be impacted by the pandemic into 2021, particularly with respect to weakened demand from cruise lines and certain other sectors of the shipping industry, as </w:t>
      </w:r>
      <w:r>
        <w:rPr>
          <w:rFonts w:ascii="Arial" w:eastAsia="Times New Roman" w:hAnsi="Arial" w:cs="Arial"/>
          <w:color w:val="000000"/>
          <w:sz w:val="20"/>
          <w:szCs w:val="20"/>
        </w:rPr>
        <w:t>well as lower fuel prices.</w:t>
      </w:r>
    </w:p>
    <w:p w14:paraId="6D981E6E" w14:textId="77777777" w:rsidR="00000000" w:rsidRDefault="00C01C43">
      <w:pPr>
        <w:ind w:firstLine="360"/>
        <w:jc w:val="both"/>
        <w:rPr>
          <w:rFonts w:eastAsia="Times New Roman"/>
        </w:rPr>
      </w:pPr>
    </w:p>
    <w:p w14:paraId="7FD45D70" w14:textId="77777777" w:rsidR="00000000" w:rsidRDefault="00C01C43">
      <w:pPr>
        <w:jc w:val="both"/>
        <w:rPr>
          <w:rFonts w:eastAsia="Times New Roman"/>
        </w:rPr>
      </w:pPr>
      <w:r>
        <w:rPr>
          <w:rFonts w:ascii="Arial" w:eastAsia="Times New Roman" w:hAnsi="Arial" w:cs="Arial"/>
          <w:b/>
          <w:bCs/>
          <w:color w:val="000000"/>
          <w:sz w:val="20"/>
          <w:szCs w:val="20"/>
        </w:rPr>
        <w:t>Other Actions</w:t>
      </w:r>
    </w:p>
    <w:p w14:paraId="11119F15" w14:textId="77777777" w:rsidR="00000000" w:rsidRDefault="00C01C43">
      <w:pPr>
        <w:jc w:val="both"/>
        <w:rPr>
          <w:rFonts w:eastAsia="Times New Roman"/>
        </w:rPr>
      </w:pPr>
      <w:r>
        <w:rPr>
          <w:rFonts w:ascii="Arial" w:eastAsia="Times New Roman" w:hAnsi="Arial" w:cs="Arial"/>
          <w:color w:val="000000"/>
          <w:sz w:val="20"/>
          <w:szCs w:val="20"/>
        </w:rPr>
        <w:t>With respect to our own operations, we have implemented our business continuity and emergency response plans in alignment with mandates from local authorities. To ensure the safety of our employees who are continu</w:t>
      </w:r>
      <w:r>
        <w:rPr>
          <w:rFonts w:ascii="Arial" w:eastAsia="Times New Roman" w:hAnsi="Arial" w:cs="Arial"/>
          <w:color w:val="000000"/>
          <w:sz w:val="20"/>
          <w:szCs w:val="20"/>
        </w:rPr>
        <w:t>ing to work, we have provided instructions on how to work safely in light of the pandemic and elevated our cleaning protocols for our offices, facilities and equipment. We are maximizing remote work throughout our global offices and our employees are colla</w:t>
      </w:r>
      <w:r>
        <w:rPr>
          <w:rFonts w:ascii="Arial" w:eastAsia="Times New Roman" w:hAnsi="Arial" w:cs="Arial"/>
          <w:color w:val="000000"/>
          <w:sz w:val="20"/>
          <w:szCs w:val="20"/>
        </w:rPr>
        <w:t>borating virtually with our customers, suppliers and each other using the information-sharing tools and technology that we have invested in during the last several years.</w:t>
      </w:r>
    </w:p>
    <w:p w14:paraId="6C1092D0" w14:textId="77777777" w:rsidR="00000000" w:rsidRDefault="00C01C43">
      <w:pPr>
        <w:jc w:val="both"/>
        <w:rPr>
          <w:rFonts w:eastAsia="Times New Roman"/>
        </w:rPr>
      </w:pPr>
    </w:p>
    <w:p w14:paraId="52DD1984" w14:textId="77777777" w:rsidR="00000000" w:rsidRDefault="00C01C43">
      <w:pPr>
        <w:jc w:val="both"/>
        <w:rPr>
          <w:rFonts w:eastAsia="Times New Roman"/>
        </w:rPr>
      </w:pPr>
      <w:r>
        <w:rPr>
          <w:rFonts w:ascii="Arial" w:eastAsia="Times New Roman" w:hAnsi="Arial" w:cs="Arial"/>
          <w:color w:val="000000"/>
          <w:sz w:val="20"/>
          <w:szCs w:val="20"/>
        </w:rPr>
        <w:t>Due to the ongoing and expected adverse impacts of the COVID-19 crisis, we immediat</w:t>
      </w:r>
      <w:r>
        <w:rPr>
          <w:rFonts w:ascii="Arial" w:eastAsia="Times New Roman" w:hAnsi="Arial" w:cs="Arial"/>
          <w:color w:val="000000"/>
          <w:sz w:val="20"/>
          <w:szCs w:val="20"/>
        </w:rPr>
        <w:t>ely made cost-related decisions as the pandemic began impacting our business activities. For example, we immediately instituted a hiring freeze and implemented travel restrictions for our employees across the organization, postponed or eliminated all non-e</w:t>
      </w:r>
      <w:r>
        <w:rPr>
          <w:rFonts w:ascii="Arial" w:eastAsia="Times New Roman" w:hAnsi="Arial" w:cs="Arial"/>
          <w:color w:val="000000"/>
          <w:sz w:val="20"/>
          <w:szCs w:val="20"/>
        </w:rPr>
        <w:t>ssential capital expenditures and other projects and initiatives, significantly reduced or deferred professional fees, marketing expenses and other similar costs. In addition, while we have continued to focus on improving operating efficiencies and returns</w:t>
      </w:r>
      <w:r>
        <w:rPr>
          <w:rFonts w:ascii="Arial" w:eastAsia="Times New Roman" w:hAnsi="Arial" w:cs="Arial"/>
          <w:color w:val="000000"/>
          <w:sz w:val="20"/>
          <w:szCs w:val="20"/>
        </w:rPr>
        <w:t>, we have also concentrated on lowering our operating costs, including those of our land segment, which has historically had a higher expense ratio than other parts of our business. Accordingly, during the first quarter of 2020, we commenced a restructurin</w:t>
      </w:r>
      <w:r>
        <w:rPr>
          <w:rFonts w:ascii="Arial" w:eastAsia="Times New Roman" w:hAnsi="Arial" w:cs="Arial"/>
          <w:color w:val="000000"/>
          <w:sz w:val="20"/>
          <w:szCs w:val="20"/>
        </w:rPr>
        <w:t xml:space="preserve">g initiative focused on further streamlining our operations and sharpening our deployment of resources, not only in our land segment but also in our other segments due to the adverse impacts of the pandemic. During the second quarter of 2020, we completed </w:t>
      </w:r>
      <w:r>
        <w:rPr>
          <w:rFonts w:ascii="Arial" w:eastAsia="Times New Roman" w:hAnsi="Arial" w:cs="Arial"/>
          <w:color w:val="000000"/>
          <w:sz w:val="20"/>
          <w:szCs w:val="20"/>
        </w:rPr>
        <w:t>a rationalization of our global office footprint and approved the abandonment of certain office leases, including the transition of select offices to smaller or more cost-effective locations. See "Note 5. Restructuring" accompanying our Consolidated Financ</w:t>
      </w:r>
      <w:r>
        <w:rPr>
          <w:rFonts w:ascii="Arial" w:eastAsia="Times New Roman" w:hAnsi="Arial" w:cs="Arial"/>
          <w:color w:val="000000"/>
          <w:sz w:val="20"/>
          <w:szCs w:val="20"/>
        </w:rPr>
        <w:t>ial Statements included in "Part IV. Item 15. Notes to the Consolidated Financial Statements" included in this 2020 10-K Report for additional information regarding this restructuring.</w:t>
      </w:r>
    </w:p>
    <w:p w14:paraId="0728C2C9" w14:textId="77777777" w:rsidR="00000000" w:rsidRDefault="00C01C43">
      <w:pPr>
        <w:jc w:val="both"/>
        <w:rPr>
          <w:rFonts w:eastAsia="Times New Roman"/>
        </w:rPr>
      </w:pPr>
    </w:p>
    <w:p w14:paraId="41C546BA" w14:textId="77777777" w:rsidR="00000000" w:rsidRDefault="00C01C43">
      <w:pPr>
        <w:jc w:val="both"/>
        <w:rPr>
          <w:rFonts w:eastAsia="Times New Roman"/>
        </w:rPr>
      </w:pPr>
      <w:r>
        <w:rPr>
          <w:rFonts w:ascii="Arial" w:eastAsia="Times New Roman" w:hAnsi="Arial" w:cs="Arial"/>
          <w:color w:val="000000"/>
          <w:sz w:val="20"/>
          <w:szCs w:val="20"/>
        </w:rPr>
        <w:t>The ultimate duration and impact of the COVID-19 pandemic on our busi</w:t>
      </w:r>
      <w:r>
        <w:rPr>
          <w:rFonts w:ascii="Arial" w:eastAsia="Times New Roman" w:hAnsi="Arial" w:cs="Arial"/>
          <w:color w:val="000000"/>
          <w:sz w:val="20"/>
          <w:szCs w:val="20"/>
        </w:rPr>
        <w:t>ness and our customers' operations continue to be unclear. Furthermore, the extent to which we or our customers will ultimately be impacted by the pandemic is not fully ascertainable as it is closely related to the timing and extent to which the global eco</w:t>
      </w:r>
      <w:r>
        <w:rPr>
          <w:rFonts w:ascii="Arial" w:eastAsia="Times New Roman" w:hAnsi="Arial" w:cs="Arial"/>
          <w:color w:val="000000"/>
          <w:sz w:val="20"/>
          <w:szCs w:val="20"/>
        </w:rPr>
        <w:t>nomy, and the aviation, land and marine transportation industries, in particular, recover from the crisis. For additional discussion on the risks relating to the pandemic, see Item 1A. Risk Factors in Part I of this 10-K Report.</w:t>
      </w:r>
    </w:p>
    <w:p w14:paraId="48371FC4" w14:textId="77777777" w:rsidR="00000000" w:rsidRDefault="00C01C43">
      <w:pPr>
        <w:jc w:val="both"/>
        <w:rPr>
          <w:rFonts w:eastAsia="Times New Roman"/>
        </w:rPr>
      </w:pPr>
    </w:p>
    <w:p w14:paraId="05CA8603" w14:textId="77777777" w:rsidR="00000000" w:rsidRDefault="00C01C43">
      <w:pPr>
        <w:jc w:val="center"/>
        <w:divId w:val="406420529"/>
        <w:rPr>
          <w:rFonts w:eastAsia="Times New Roman"/>
        </w:rPr>
      </w:pPr>
      <w:r>
        <w:rPr>
          <w:rFonts w:ascii="Arial" w:eastAsia="Times New Roman" w:hAnsi="Arial" w:cs="Arial"/>
          <w:color w:val="000000"/>
          <w:sz w:val="16"/>
          <w:szCs w:val="16"/>
        </w:rPr>
        <w:t>27</w:t>
      </w:r>
    </w:p>
    <w:p w14:paraId="4583D278" w14:textId="77777777" w:rsidR="00000000" w:rsidRDefault="00C01C43">
      <w:pPr>
        <w:rPr>
          <w:rFonts w:eastAsia="Times New Roman"/>
        </w:rPr>
      </w:pPr>
      <w:r>
        <w:rPr>
          <w:rFonts w:eastAsia="Times New Roman"/>
        </w:rPr>
        <w:pict w14:anchorId="7F5FA1C3">
          <v:rect id="_x0000_i1056" style="width:0;height:1.5pt" o:hralign="center" o:hrstd="t" o:hr="t" fillcolor="#a0a0a0" stroked="f"/>
        </w:pict>
      </w:r>
    </w:p>
    <w:p w14:paraId="6D2E13F7" w14:textId="77777777" w:rsidR="00000000" w:rsidRDefault="00C01C43">
      <w:pPr>
        <w:divId w:val="1782530054"/>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BC0EAC9" w14:textId="77777777" w:rsidR="00000000" w:rsidRDefault="00C01C43">
      <w:pPr>
        <w:jc w:val="both"/>
        <w:rPr>
          <w:rFonts w:eastAsia="Times New Roman"/>
        </w:rPr>
      </w:pPr>
      <w:r>
        <w:rPr>
          <w:rFonts w:ascii="Arial" w:eastAsia="Times New Roman" w:hAnsi="Arial" w:cs="Arial"/>
          <w:b/>
          <w:bCs/>
          <w:color w:val="000000"/>
          <w:sz w:val="20"/>
          <w:szCs w:val="20"/>
        </w:rPr>
        <w:t>Reportable Segments</w:t>
      </w:r>
    </w:p>
    <w:p w14:paraId="52FBE4D4" w14:textId="77777777" w:rsidR="00000000" w:rsidRDefault="00C01C43">
      <w:pPr>
        <w:jc w:val="both"/>
        <w:divId w:val="1898855759"/>
        <w:rPr>
          <w:rFonts w:eastAsia="Times New Roman"/>
        </w:rPr>
      </w:pPr>
      <w:r>
        <w:rPr>
          <w:rFonts w:ascii="Arial" w:eastAsia="Times New Roman" w:hAnsi="Arial" w:cs="Arial"/>
          <w:color w:val="000000"/>
          <w:sz w:val="20"/>
          <w:szCs w:val="20"/>
        </w:rPr>
        <w:t>We operate in three reportable segments consisting of aviation, land and marine, where we offer fuel and related products and services to commercial and industrial customers in each of these transportation industries. Within each of our segments, we may en</w:t>
      </w:r>
      <w:r>
        <w:rPr>
          <w:rFonts w:ascii="Arial" w:eastAsia="Times New Roman" w:hAnsi="Arial" w:cs="Arial"/>
          <w:color w:val="000000"/>
          <w:sz w:val="20"/>
          <w:szCs w:val="20"/>
        </w:rPr>
        <w:t>ter into derivative contracts to mitigate the risk of market price fluctuations and also to offer our customers fuel pricing alternatives to meet their needs.</w:t>
      </w:r>
    </w:p>
    <w:p w14:paraId="2486819E" w14:textId="77777777" w:rsidR="00000000" w:rsidRDefault="00C01C43">
      <w:pPr>
        <w:jc w:val="both"/>
        <w:divId w:val="207184913"/>
        <w:rPr>
          <w:rFonts w:eastAsia="Times New Roman"/>
        </w:rPr>
      </w:pPr>
      <w:r>
        <w:rPr>
          <w:rFonts w:ascii="Arial" w:eastAsia="Times New Roman" w:hAnsi="Arial" w:cs="Arial"/>
          <w:color w:val="000000"/>
          <w:sz w:val="20"/>
          <w:szCs w:val="20"/>
        </w:rPr>
        <w:t>In our aviation and land segments, we primarily purchase and resell fuel and other products. Prof</w:t>
      </w:r>
      <w:r>
        <w:rPr>
          <w:rFonts w:ascii="Arial" w:eastAsia="Times New Roman" w:hAnsi="Arial" w:cs="Arial"/>
          <w:color w:val="000000"/>
          <w:sz w:val="20"/>
          <w:szCs w:val="20"/>
        </w:rPr>
        <w:t xml:space="preserve">it from our aviation and land segments is primarily determined by the volume and the gross profit achieved on fuel sales and related services. In our marine segment, we primarily purchase and resell fuel and also act as brokers for others. Profit from our </w:t>
      </w:r>
      <w:r>
        <w:rPr>
          <w:rFonts w:ascii="Arial" w:eastAsia="Times New Roman" w:hAnsi="Arial" w:cs="Arial"/>
          <w:color w:val="000000"/>
          <w:sz w:val="20"/>
          <w:szCs w:val="20"/>
        </w:rPr>
        <w:t>marine segment is determined mostly by the volume and unit margin achieved on fuel resales. Profitability in our segments also depends on our operating expenses, which may be materially affected to the extent that we are required to provide for potential b</w:t>
      </w:r>
      <w:r>
        <w:rPr>
          <w:rFonts w:ascii="Arial" w:eastAsia="Times New Roman" w:hAnsi="Arial" w:cs="Arial"/>
          <w:color w:val="000000"/>
          <w:sz w:val="20"/>
          <w:szCs w:val="20"/>
        </w:rPr>
        <w:t>ad debt.</w:t>
      </w:r>
    </w:p>
    <w:p w14:paraId="572753C1" w14:textId="77777777" w:rsidR="00000000" w:rsidRDefault="00C01C43">
      <w:pPr>
        <w:jc w:val="both"/>
        <w:divId w:val="1962490924"/>
        <w:rPr>
          <w:rFonts w:eastAsia="Times New Roman"/>
        </w:rPr>
      </w:pPr>
      <w:r>
        <w:rPr>
          <w:rFonts w:ascii="Arial" w:eastAsia="Times New Roman" w:hAnsi="Arial" w:cs="Arial"/>
          <w:color w:val="000000"/>
          <w:sz w:val="20"/>
          <w:szCs w:val="20"/>
        </w:rPr>
        <w:t>Corporate expenses are allocated to each segment based on usage, where possible, or other factors according to the nature of the activity. We evaluate and manage our business segments using the performance measurement of income from operations.</w:t>
      </w:r>
    </w:p>
    <w:p w14:paraId="1AC4E649" w14:textId="77777777" w:rsidR="00000000" w:rsidRDefault="00C01C43">
      <w:pPr>
        <w:jc w:val="both"/>
        <w:rPr>
          <w:rFonts w:eastAsia="Times New Roman"/>
        </w:rPr>
      </w:pPr>
      <w:r>
        <w:rPr>
          <w:rFonts w:ascii="Arial" w:eastAsia="Times New Roman" w:hAnsi="Arial" w:cs="Arial"/>
          <w:color w:val="000000"/>
          <w:sz w:val="20"/>
          <w:szCs w:val="20"/>
        </w:rPr>
        <w:t>Se</w:t>
      </w:r>
      <w:r>
        <w:rPr>
          <w:rFonts w:ascii="Arial" w:eastAsia="Times New Roman" w:hAnsi="Arial" w:cs="Arial"/>
          <w:color w:val="000000"/>
          <w:sz w:val="20"/>
          <w:szCs w:val="20"/>
        </w:rPr>
        <w:t xml:space="preserve">lected financial information with respect to our business segments is provided in "Note 13. Business Segments, Geographic Information and Major Customers" within "Part IV. Item 15. Notes to the Consolidated Financial Statements" included in this 2020 10-K </w:t>
      </w:r>
      <w:r>
        <w:rPr>
          <w:rFonts w:ascii="Arial" w:eastAsia="Times New Roman" w:hAnsi="Arial" w:cs="Arial"/>
          <w:color w:val="000000"/>
          <w:sz w:val="20"/>
          <w:szCs w:val="20"/>
        </w:rPr>
        <w:t>Report.</w:t>
      </w:r>
    </w:p>
    <w:p w14:paraId="0EC349D3" w14:textId="77777777" w:rsidR="00000000" w:rsidRDefault="00C01C43">
      <w:pPr>
        <w:jc w:val="both"/>
        <w:divId w:val="94442165"/>
        <w:rPr>
          <w:rFonts w:eastAsia="Times New Roman"/>
        </w:rPr>
      </w:pPr>
    </w:p>
    <w:p w14:paraId="74F3EC2E" w14:textId="77777777" w:rsidR="00000000" w:rsidRDefault="00C01C43">
      <w:pPr>
        <w:jc w:val="both"/>
        <w:rPr>
          <w:rFonts w:eastAsia="Times New Roman"/>
        </w:rPr>
      </w:pPr>
      <w:r>
        <w:rPr>
          <w:rFonts w:ascii="Arial" w:eastAsia="Times New Roman" w:hAnsi="Arial" w:cs="Arial"/>
          <w:b/>
          <w:bCs/>
          <w:color w:val="000000"/>
          <w:sz w:val="20"/>
          <w:szCs w:val="20"/>
        </w:rPr>
        <w:t>Results of Operations</w:t>
      </w:r>
    </w:p>
    <w:p w14:paraId="4CB89A52" w14:textId="77777777" w:rsidR="00000000" w:rsidRDefault="00C01C43">
      <w:pPr>
        <w:divId w:val="1061175571"/>
        <w:rPr>
          <w:rFonts w:eastAsia="Times New Roman"/>
        </w:rPr>
      </w:pPr>
    </w:p>
    <w:p w14:paraId="61050E22" w14:textId="77777777" w:rsidR="00000000" w:rsidRDefault="00C01C43">
      <w:pPr>
        <w:jc w:val="both"/>
        <w:rPr>
          <w:rFonts w:eastAsia="Times New Roman"/>
        </w:rPr>
      </w:pPr>
      <w:r>
        <w:rPr>
          <w:rFonts w:ascii="Arial" w:eastAsia="Times New Roman" w:hAnsi="Arial" w:cs="Arial"/>
          <w:b/>
          <w:bCs/>
          <w:color w:val="000000"/>
          <w:sz w:val="20"/>
          <w:szCs w:val="20"/>
        </w:rPr>
        <w:t>2020 compared to 2019</w:t>
      </w:r>
    </w:p>
    <w:p w14:paraId="19FC2018" w14:textId="77777777" w:rsidR="00000000" w:rsidRDefault="00C01C43">
      <w:pPr>
        <w:jc w:val="both"/>
        <w:divId w:val="129178529"/>
        <w:rPr>
          <w:rFonts w:eastAsia="Times New Roman"/>
        </w:rPr>
      </w:pPr>
      <w:r>
        <w:rPr>
          <w:rFonts w:ascii="Arial" w:eastAsia="Times New Roman" w:hAnsi="Arial" w:cs="Arial"/>
          <w:i/>
          <w:iCs/>
          <w:color w:val="000000"/>
          <w:sz w:val="20"/>
          <w:szCs w:val="20"/>
        </w:rPr>
        <w:t>Revenue.</w:t>
      </w:r>
      <w:r>
        <w:rPr>
          <w:rFonts w:ascii="Arial" w:eastAsia="Times New Roman" w:hAnsi="Arial" w:cs="Arial"/>
          <w:color w:val="000000"/>
          <w:sz w:val="20"/>
          <w:szCs w:val="20"/>
        </w:rPr>
        <w:t xml:space="preserve"> Our revenue for 2020 was $20.4 billion, a decrease of $16.5 billion, or 45%, compared to 2019. Our revenue during these periods was attributable to the following segments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7"/>
        <w:gridCol w:w="4906"/>
        <w:gridCol w:w="36"/>
        <w:gridCol w:w="132"/>
        <w:gridCol w:w="835"/>
        <w:gridCol w:w="36"/>
        <w:gridCol w:w="36"/>
        <w:gridCol w:w="36"/>
        <w:gridCol w:w="36"/>
        <w:gridCol w:w="132"/>
        <w:gridCol w:w="835"/>
        <w:gridCol w:w="36"/>
        <w:gridCol w:w="36"/>
        <w:gridCol w:w="36"/>
        <w:gridCol w:w="36"/>
        <w:gridCol w:w="132"/>
        <w:gridCol w:w="912"/>
        <w:gridCol w:w="36"/>
      </w:tblGrid>
      <w:tr w:rsidR="00000000" w14:paraId="29B9C054" w14:textId="77777777">
        <w:trPr>
          <w:divId w:val="629476355"/>
        </w:trPr>
        <w:tc>
          <w:tcPr>
            <w:tcW w:w="50" w:type="pct"/>
            <w:vAlign w:val="center"/>
            <w:hideMark/>
          </w:tcPr>
          <w:p w14:paraId="78680837" w14:textId="77777777" w:rsidR="00000000" w:rsidRDefault="00C01C43">
            <w:pPr>
              <w:jc w:val="both"/>
              <w:rPr>
                <w:rFonts w:eastAsia="Times New Roman"/>
              </w:rPr>
            </w:pPr>
          </w:p>
        </w:tc>
        <w:tc>
          <w:tcPr>
            <w:tcW w:w="3112" w:type="pct"/>
            <w:vAlign w:val="center"/>
            <w:hideMark/>
          </w:tcPr>
          <w:p w14:paraId="4A101B78" w14:textId="77777777" w:rsidR="00000000" w:rsidRDefault="00C01C43">
            <w:pPr>
              <w:rPr>
                <w:rFonts w:eastAsia="Times New Roman"/>
                <w:sz w:val="20"/>
                <w:szCs w:val="20"/>
              </w:rPr>
            </w:pPr>
          </w:p>
        </w:tc>
        <w:tc>
          <w:tcPr>
            <w:tcW w:w="5" w:type="pct"/>
            <w:vAlign w:val="center"/>
            <w:hideMark/>
          </w:tcPr>
          <w:p w14:paraId="66FA9D3D" w14:textId="77777777" w:rsidR="00000000" w:rsidRDefault="00C01C43">
            <w:pPr>
              <w:rPr>
                <w:rFonts w:eastAsia="Times New Roman"/>
                <w:sz w:val="20"/>
                <w:szCs w:val="20"/>
              </w:rPr>
            </w:pPr>
          </w:p>
        </w:tc>
        <w:tc>
          <w:tcPr>
            <w:tcW w:w="50" w:type="pct"/>
            <w:vAlign w:val="center"/>
            <w:hideMark/>
          </w:tcPr>
          <w:p w14:paraId="376F146A" w14:textId="77777777" w:rsidR="00000000" w:rsidRDefault="00C01C43">
            <w:pPr>
              <w:rPr>
                <w:rFonts w:eastAsia="Times New Roman"/>
                <w:sz w:val="20"/>
                <w:szCs w:val="20"/>
              </w:rPr>
            </w:pPr>
          </w:p>
        </w:tc>
        <w:tc>
          <w:tcPr>
            <w:tcW w:w="531" w:type="pct"/>
            <w:vAlign w:val="center"/>
            <w:hideMark/>
          </w:tcPr>
          <w:p w14:paraId="3B6EE586" w14:textId="77777777" w:rsidR="00000000" w:rsidRDefault="00C01C43">
            <w:pPr>
              <w:rPr>
                <w:rFonts w:eastAsia="Times New Roman"/>
                <w:sz w:val="20"/>
                <w:szCs w:val="20"/>
              </w:rPr>
            </w:pPr>
          </w:p>
        </w:tc>
        <w:tc>
          <w:tcPr>
            <w:tcW w:w="5" w:type="pct"/>
            <w:vAlign w:val="center"/>
            <w:hideMark/>
          </w:tcPr>
          <w:p w14:paraId="2868164E" w14:textId="77777777" w:rsidR="00000000" w:rsidRDefault="00C01C43">
            <w:pPr>
              <w:rPr>
                <w:rFonts w:eastAsia="Times New Roman"/>
                <w:sz w:val="20"/>
                <w:szCs w:val="20"/>
              </w:rPr>
            </w:pPr>
          </w:p>
        </w:tc>
        <w:tc>
          <w:tcPr>
            <w:tcW w:w="5" w:type="pct"/>
            <w:vAlign w:val="center"/>
            <w:hideMark/>
          </w:tcPr>
          <w:p w14:paraId="3C2C72E5" w14:textId="77777777" w:rsidR="00000000" w:rsidRDefault="00C01C43">
            <w:pPr>
              <w:rPr>
                <w:rFonts w:eastAsia="Times New Roman"/>
                <w:sz w:val="20"/>
                <w:szCs w:val="20"/>
              </w:rPr>
            </w:pPr>
          </w:p>
        </w:tc>
        <w:tc>
          <w:tcPr>
            <w:tcW w:w="26" w:type="pct"/>
            <w:vAlign w:val="center"/>
            <w:hideMark/>
          </w:tcPr>
          <w:p w14:paraId="10409CC0" w14:textId="77777777" w:rsidR="00000000" w:rsidRDefault="00C01C43">
            <w:pPr>
              <w:rPr>
                <w:rFonts w:eastAsia="Times New Roman"/>
                <w:sz w:val="20"/>
                <w:szCs w:val="20"/>
              </w:rPr>
            </w:pPr>
          </w:p>
        </w:tc>
        <w:tc>
          <w:tcPr>
            <w:tcW w:w="5" w:type="pct"/>
            <w:vAlign w:val="center"/>
            <w:hideMark/>
          </w:tcPr>
          <w:p w14:paraId="19CA3843" w14:textId="77777777" w:rsidR="00000000" w:rsidRDefault="00C01C43">
            <w:pPr>
              <w:rPr>
                <w:rFonts w:eastAsia="Times New Roman"/>
                <w:sz w:val="20"/>
                <w:szCs w:val="20"/>
              </w:rPr>
            </w:pPr>
          </w:p>
        </w:tc>
        <w:tc>
          <w:tcPr>
            <w:tcW w:w="50" w:type="pct"/>
            <w:vAlign w:val="center"/>
            <w:hideMark/>
          </w:tcPr>
          <w:p w14:paraId="7DDD12E4" w14:textId="77777777" w:rsidR="00000000" w:rsidRDefault="00C01C43">
            <w:pPr>
              <w:rPr>
                <w:rFonts w:eastAsia="Times New Roman"/>
                <w:sz w:val="20"/>
                <w:szCs w:val="20"/>
              </w:rPr>
            </w:pPr>
          </w:p>
        </w:tc>
        <w:tc>
          <w:tcPr>
            <w:tcW w:w="524" w:type="pct"/>
            <w:vAlign w:val="center"/>
            <w:hideMark/>
          </w:tcPr>
          <w:p w14:paraId="252AA9A5" w14:textId="77777777" w:rsidR="00000000" w:rsidRDefault="00C01C43">
            <w:pPr>
              <w:rPr>
                <w:rFonts w:eastAsia="Times New Roman"/>
                <w:sz w:val="20"/>
                <w:szCs w:val="20"/>
              </w:rPr>
            </w:pPr>
          </w:p>
        </w:tc>
        <w:tc>
          <w:tcPr>
            <w:tcW w:w="5" w:type="pct"/>
            <w:vAlign w:val="center"/>
            <w:hideMark/>
          </w:tcPr>
          <w:p w14:paraId="70BAD94F" w14:textId="77777777" w:rsidR="00000000" w:rsidRDefault="00C01C43">
            <w:pPr>
              <w:rPr>
                <w:rFonts w:eastAsia="Times New Roman"/>
                <w:sz w:val="20"/>
                <w:szCs w:val="20"/>
              </w:rPr>
            </w:pPr>
          </w:p>
        </w:tc>
        <w:tc>
          <w:tcPr>
            <w:tcW w:w="5" w:type="pct"/>
            <w:vAlign w:val="center"/>
            <w:hideMark/>
          </w:tcPr>
          <w:p w14:paraId="4B2F98A5" w14:textId="77777777" w:rsidR="00000000" w:rsidRDefault="00C01C43">
            <w:pPr>
              <w:rPr>
                <w:rFonts w:eastAsia="Times New Roman"/>
                <w:sz w:val="20"/>
                <w:szCs w:val="20"/>
              </w:rPr>
            </w:pPr>
          </w:p>
        </w:tc>
        <w:tc>
          <w:tcPr>
            <w:tcW w:w="26" w:type="pct"/>
            <w:vAlign w:val="center"/>
            <w:hideMark/>
          </w:tcPr>
          <w:p w14:paraId="7BFFCFF9" w14:textId="77777777" w:rsidR="00000000" w:rsidRDefault="00C01C43">
            <w:pPr>
              <w:rPr>
                <w:rFonts w:eastAsia="Times New Roman"/>
                <w:sz w:val="20"/>
                <w:szCs w:val="20"/>
              </w:rPr>
            </w:pPr>
          </w:p>
        </w:tc>
        <w:tc>
          <w:tcPr>
            <w:tcW w:w="5" w:type="pct"/>
            <w:vAlign w:val="center"/>
            <w:hideMark/>
          </w:tcPr>
          <w:p w14:paraId="1FDA8217" w14:textId="77777777" w:rsidR="00000000" w:rsidRDefault="00C01C43">
            <w:pPr>
              <w:rPr>
                <w:rFonts w:eastAsia="Times New Roman"/>
                <w:sz w:val="20"/>
                <w:szCs w:val="20"/>
              </w:rPr>
            </w:pPr>
          </w:p>
        </w:tc>
        <w:tc>
          <w:tcPr>
            <w:tcW w:w="50" w:type="pct"/>
            <w:vAlign w:val="center"/>
            <w:hideMark/>
          </w:tcPr>
          <w:p w14:paraId="1CBD5EEF" w14:textId="77777777" w:rsidR="00000000" w:rsidRDefault="00C01C43">
            <w:pPr>
              <w:rPr>
                <w:rFonts w:eastAsia="Times New Roman"/>
                <w:sz w:val="20"/>
                <w:szCs w:val="20"/>
              </w:rPr>
            </w:pPr>
          </w:p>
        </w:tc>
        <w:tc>
          <w:tcPr>
            <w:tcW w:w="538" w:type="pct"/>
            <w:vAlign w:val="center"/>
            <w:hideMark/>
          </w:tcPr>
          <w:p w14:paraId="27EFC19B" w14:textId="77777777" w:rsidR="00000000" w:rsidRDefault="00C01C43">
            <w:pPr>
              <w:rPr>
                <w:rFonts w:eastAsia="Times New Roman"/>
                <w:sz w:val="20"/>
                <w:szCs w:val="20"/>
              </w:rPr>
            </w:pPr>
          </w:p>
        </w:tc>
        <w:tc>
          <w:tcPr>
            <w:tcW w:w="5" w:type="pct"/>
            <w:vAlign w:val="center"/>
            <w:hideMark/>
          </w:tcPr>
          <w:p w14:paraId="33E3156D" w14:textId="77777777" w:rsidR="00000000" w:rsidRDefault="00C01C43">
            <w:pPr>
              <w:rPr>
                <w:rFonts w:eastAsia="Times New Roman"/>
                <w:sz w:val="20"/>
                <w:szCs w:val="20"/>
              </w:rPr>
            </w:pPr>
          </w:p>
        </w:tc>
      </w:tr>
      <w:tr w:rsidR="00000000" w14:paraId="3B569C20" w14:textId="77777777">
        <w:trPr>
          <w:divId w:val="629476355"/>
        </w:trPr>
        <w:tc>
          <w:tcPr>
            <w:tcW w:w="0" w:type="auto"/>
            <w:gridSpan w:val="3"/>
            <w:tcMar>
              <w:top w:w="0" w:type="dxa"/>
              <w:left w:w="20" w:type="dxa"/>
              <w:bottom w:w="0" w:type="dxa"/>
              <w:right w:w="20" w:type="dxa"/>
            </w:tcMar>
            <w:vAlign w:val="center"/>
            <w:hideMark/>
          </w:tcPr>
          <w:p w14:paraId="5614262A"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5E08F651"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18DE7232"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28CFA9CE"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41B1FBCF"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641601F9" w14:textId="77777777" w:rsidR="00000000" w:rsidRDefault="00C01C43">
            <w:pPr>
              <w:jc w:val="center"/>
              <w:rPr>
                <w:rFonts w:eastAsia="Times New Roman"/>
              </w:rPr>
            </w:pPr>
            <w:r>
              <w:rPr>
                <w:rFonts w:ascii="Arial" w:eastAsia="Times New Roman" w:hAnsi="Arial" w:cs="Arial"/>
                <w:b/>
                <w:bCs/>
                <w:color w:val="000000"/>
                <w:sz w:val="16"/>
                <w:szCs w:val="16"/>
              </w:rPr>
              <w:t>$ Change</w:t>
            </w:r>
          </w:p>
        </w:tc>
      </w:tr>
      <w:tr w:rsidR="00000000" w14:paraId="6300F407" w14:textId="77777777">
        <w:trPr>
          <w:divId w:val="62947635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4B05C55" w14:textId="77777777" w:rsidR="00000000" w:rsidRDefault="00C01C43">
            <w:pPr>
              <w:rPr>
                <w:rFonts w:eastAsia="Times New Roman"/>
              </w:rPr>
            </w:pPr>
            <w:r>
              <w:rPr>
                <w:rFonts w:ascii="Arial" w:eastAsia="Times New Roman" w:hAnsi="Arial" w:cs="Arial"/>
                <w:color w:val="000000"/>
                <w:sz w:val="20"/>
                <w:szCs w:val="20"/>
              </w:rPr>
              <w:t>Aviation segment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D2E12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145874" w14:textId="77777777" w:rsidR="00000000" w:rsidRDefault="00C01C43">
            <w:pPr>
              <w:jc w:val="right"/>
              <w:rPr>
                <w:rFonts w:eastAsia="Times New Roman"/>
              </w:rPr>
            </w:pPr>
            <w:r>
              <w:rPr>
                <w:rFonts w:ascii="Arial" w:eastAsia="Times New Roman" w:hAnsi="Arial" w:cs="Arial"/>
                <w:color w:val="000000"/>
                <w:sz w:val="20"/>
                <w:szCs w:val="20"/>
              </w:rPr>
              <w:t>8,179.6 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92387A"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8D6E19"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C57D64"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6823AB" w14:textId="77777777" w:rsidR="00000000" w:rsidRDefault="00C01C43">
            <w:pPr>
              <w:jc w:val="right"/>
              <w:rPr>
                <w:rFonts w:eastAsia="Times New Roman"/>
              </w:rPr>
            </w:pPr>
            <w:r>
              <w:rPr>
                <w:rFonts w:ascii="Arial" w:eastAsia="Times New Roman" w:hAnsi="Arial" w:cs="Arial"/>
                <w:color w:val="000000"/>
                <w:sz w:val="20"/>
                <w:szCs w:val="20"/>
              </w:rPr>
              <w:t>18,479.5 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2D35C2"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7416C3"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9A150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2578D8" w14:textId="77777777" w:rsidR="00000000" w:rsidRDefault="00C01C43">
            <w:pPr>
              <w:jc w:val="right"/>
              <w:rPr>
                <w:rFonts w:eastAsia="Times New Roman"/>
              </w:rPr>
            </w:pPr>
            <w:r>
              <w:rPr>
                <w:rFonts w:ascii="Arial" w:eastAsia="Times New Roman" w:hAnsi="Arial" w:cs="Arial"/>
                <w:color w:val="000000"/>
                <w:sz w:val="20"/>
                <w:szCs w:val="20"/>
              </w:rPr>
              <w:t>(10,299.9)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99E55E" w14:textId="77777777" w:rsidR="00000000" w:rsidRDefault="00C01C43">
            <w:pPr>
              <w:jc w:val="right"/>
              <w:rPr>
                <w:rFonts w:eastAsia="Times New Roman"/>
              </w:rPr>
            </w:pPr>
          </w:p>
        </w:tc>
      </w:tr>
      <w:tr w:rsidR="00000000" w14:paraId="63AFA0D3" w14:textId="77777777">
        <w:trPr>
          <w:divId w:val="629476355"/>
        </w:trPr>
        <w:tc>
          <w:tcPr>
            <w:tcW w:w="0" w:type="auto"/>
            <w:gridSpan w:val="3"/>
            <w:shd w:val="clear" w:color="auto" w:fill="FFFFFF"/>
            <w:tcMar>
              <w:top w:w="30" w:type="dxa"/>
              <w:left w:w="20" w:type="dxa"/>
              <w:bottom w:w="30" w:type="dxa"/>
              <w:right w:w="20" w:type="dxa"/>
            </w:tcMar>
            <w:vAlign w:val="bottom"/>
            <w:hideMark/>
          </w:tcPr>
          <w:p w14:paraId="369EA92E" w14:textId="77777777" w:rsidR="00000000" w:rsidRDefault="00C01C43">
            <w:pPr>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14:paraId="7FCD0E1E" w14:textId="77777777" w:rsidR="00000000" w:rsidRDefault="00C01C43">
            <w:pPr>
              <w:jc w:val="right"/>
              <w:rPr>
                <w:rFonts w:eastAsia="Times New Roman"/>
              </w:rPr>
            </w:pPr>
            <w:r>
              <w:rPr>
                <w:rFonts w:ascii="Arial" w:eastAsia="Times New Roman" w:hAnsi="Arial" w:cs="Arial"/>
                <w:color w:val="000000"/>
                <w:sz w:val="20"/>
                <w:szCs w:val="20"/>
              </w:rPr>
              <w:t>6,663.1 </w:t>
            </w:r>
          </w:p>
        </w:tc>
        <w:tc>
          <w:tcPr>
            <w:tcW w:w="0" w:type="auto"/>
            <w:shd w:val="clear" w:color="auto" w:fill="FFFFFF"/>
            <w:tcMar>
              <w:top w:w="30" w:type="dxa"/>
              <w:left w:w="0" w:type="dxa"/>
              <w:bottom w:w="30" w:type="dxa"/>
              <w:right w:w="20" w:type="dxa"/>
            </w:tcMar>
            <w:vAlign w:val="bottom"/>
            <w:hideMark/>
          </w:tcPr>
          <w:p w14:paraId="78A38EE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AD42D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EA7B70" w14:textId="77777777" w:rsidR="00000000" w:rsidRDefault="00C01C43">
            <w:pPr>
              <w:jc w:val="right"/>
              <w:rPr>
                <w:rFonts w:eastAsia="Times New Roman"/>
              </w:rPr>
            </w:pPr>
            <w:r>
              <w:rPr>
                <w:rFonts w:ascii="Arial" w:eastAsia="Times New Roman" w:hAnsi="Arial" w:cs="Arial"/>
                <w:color w:val="000000"/>
                <w:sz w:val="20"/>
                <w:szCs w:val="20"/>
              </w:rPr>
              <w:t>10,280.9 </w:t>
            </w:r>
          </w:p>
        </w:tc>
        <w:tc>
          <w:tcPr>
            <w:tcW w:w="0" w:type="auto"/>
            <w:shd w:val="clear" w:color="auto" w:fill="FFFFFF"/>
            <w:tcMar>
              <w:top w:w="30" w:type="dxa"/>
              <w:left w:w="0" w:type="dxa"/>
              <w:bottom w:w="30" w:type="dxa"/>
              <w:right w:w="20" w:type="dxa"/>
            </w:tcMar>
            <w:vAlign w:val="bottom"/>
            <w:hideMark/>
          </w:tcPr>
          <w:p w14:paraId="088E542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F153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1CB50B" w14:textId="77777777" w:rsidR="00000000" w:rsidRDefault="00C01C43">
            <w:pPr>
              <w:jc w:val="right"/>
              <w:rPr>
                <w:rFonts w:eastAsia="Times New Roman"/>
              </w:rPr>
            </w:pPr>
            <w:r>
              <w:rPr>
                <w:rFonts w:ascii="Arial" w:eastAsia="Times New Roman" w:hAnsi="Arial" w:cs="Arial"/>
                <w:color w:val="000000"/>
                <w:sz w:val="20"/>
                <w:szCs w:val="20"/>
              </w:rPr>
              <w:t>(3,617.9)</w:t>
            </w:r>
          </w:p>
        </w:tc>
        <w:tc>
          <w:tcPr>
            <w:tcW w:w="0" w:type="auto"/>
            <w:shd w:val="clear" w:color="auto" w:fill="FFFFFF"/>
            <w:tcMar>
              <w:top w:w="30" w:type="dxa"/>
              <w:left w:w="0" w:type="dxa"/>
              <w:bottom w:w="30" w:type="dxa"/>
              <w:right w:w="20" w:type="dxa"/>
            </w:tcMar>
            <w:vAlign w:val="bottom"/>
            <w:hideMark/>
          </w:tcPr>
          <w:p w14:paraId="2A5A4256" w14:textId="77777777" w:rsidR="00000000" w:rsidRDefault="00C01C43">
            <w:pPr>
              <w:jc w:val="right"/>
              <w:rPr>
                <w:rFonts w:eastAsia="Times New Roman"/>
              </w:rPr>
            </w:pPr>
          </w:p>
        </w:tc>
      </w:tr>
      <w:tr w:rsidR="00000000" w14:paraId="47640EA0" w14:textId="77777777">
        <w:trPr>
          <w:divId w:val="629476355"/>
        </w:trPr>
        <w:tc>
          <w:tcPr>
            <w:tcW w:w="0" w:type="auto"/>
            <w:gridSpan w:val="3"/>
            <w:shd w:val="clear" w:color="auto" w:fill="CCEEFF"/>
            <w:tcMar>
              <w:top w:w="30" w:type="dxa"/>
              <w:left w:w="20" w:type="dxa"/>
              <w:bottom w:w="30" w:type="dxa"/>
              <w:right w:w="20" w:type="dxa"/>
            </w:tcMar>
            <w:vAlign w:val="bottom"/>
            <w:hideMark/>
          </w:tcPr>
          <w:p w14:paraId="63B9B8B5" w14:textId="77777777" w:rsidR="00000000" w:rsidRDefault="00C01C43">
            <w:pPr>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14:paraId="66EFF3D5" w14:textId="77777777" w:rsidR="00000000" w:rsidRDefault="00C01C43">
            <w:pPr>
              <w:jc w:val="right"/>
              <w:rPr>
                <w:rFonts w:eastAsia="Times New Roman"/>
              </w:rPr>
            </w:pPr>
            <w:r>
              <w:rPr>
                <w:rFonts w:ascii="Arial" w:eastAsia="Times New Roman" w:hAnsi="Arial" w:cs="Arial"/>
                <w:color w:val="000000"/>
                <w:sz w:val="20"/>
                <w:szCs w:val="20"/>
              </w:rPr>
              <w:t>5,515.7 </w:t>
            </w:r>
          </w:p>
        </w:tc>
        <w:tc>
          <w:tcPr>
            <w:tcW w:w="0" w:type="auto"/>
            <w:shd w:val="clear" w:color="auto" w:fill="CCEEFF"/>
            <w:tcMar>
              <w:top w:w="30" w:type="dxa"/>
              <w:left w:w="0" w:type="dxa"/>
              <w:bottom w:w="30" w:type="dxa"/>
              <w:right w:w="20" w:type="dxa"/>
            </w:tcMar>
            <w:vAlign w:val="bottom"/>
            <w:hideMark/>
          </w:tcPr>
          <w:p w14:paraId="1E6A2AC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85D4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1E403B" w14:textId="77777777" w:rsidR="00000000" w:rsidRDefault="00C01C43">
            <w:pPr>
              <w:jc w:val="right"/>
              <w:rPr>
                <w:rFonts w:eastAsia="Times New Roman"/>
              </w:rPr>
            </w:pPr>
            <w:r>
              <w:rPr>
                <w:rFonts w:ascii="Arial" w:eastAsia="Times New Roman" w:hAnsi="Arial" w:cs="Arial"/>
                <w:color w:val="000000"/>
                <w:sz w:val="20"/>
                <w:szCs w:val="20"/>
              </w:rPr>
              <w:t>8,058.5 </w:t>
            </w:r>
          </w:p>
        </w:tc>
        <w:tc>
          <w:tcPr>
            <w:tcW w:w="0" w:type="auto"/>
            <w:shd w:val="clear" w:color="auto" w:fill="CCEEFF"/>
            <w:tcMar>
              <w:top w:w="30" w:type="dxa"/>
              <w:left w:w="0" w:type="dxa"/>
              <w:bottom w:w="30" w:type="dxa"/>
              <w:right w:w="20" w:type="dxa"/>
            </w:tcMar>
            <w:vAlign w:val="bottom"/>
            <w:hideMark/>
          </w:tcPr>
          <w:p w14:paraId="3B930B6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2A0EF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8D06AD" w14:textId="77777777" w:rsidR="00000000" w:rsidRDefault="00C01C43">
            <w:pPr>
              <w:jc w:val="right"/>
              <w:rPr>
                <w:rFonts w:eastAsia="Times New Roman"/>
              </w:rPr>
            </w:pPr>
            <w:r>
              <w:rPr>
                <w:rFonts w:ascii="Arial" w:eastAsia="Times New Roman" w:hAnsi="Arial" w:cs="Arial"/>
                <w:color w:val="000000"/>
                <w:sz w:val="20"/>
                <w:szCs w:val="20"/>
              </w:rPr>
              <w:t>(2,542.8)</w:t>
            </w:r>
          </w:p>
        </w:tc>
        <w:tc>
          <w:tcPr>
            <w:tcW w:w="0" w:type="auto"/>
            <w:shd w:val="clear" w:color="auto" w:fill="CCEEFF"/>
            <w:tcMar>
              <w:top w:w="30" w:type="dxa"/>
              <w:left w:w="0" w:type="dxa"/>
              <w:bottom w:w="30" w:type="dxa"/>
              <w:right w:w="20" w:type="dxa"/>
            </w:tcMar>
            <w:vAlign w:val="bottom"/>
            <w:hideMark/>
          </w:tcPr>
          <w:p w14:paraId="7045F8BB" w14:textId="77777777" w:rsidR="00000000" w:rsidRDefault="00C01C43">
            <w:pPr>
              <w:jc w:val="right"/>
              <w:rPr>
                <w:rFonts w:eastAsia="Times New Roman"/>
              </w:rPr>
            </w:pPr>
          </w:p>
        </w:tc>
      </w:tr>
      <w:tr w:rsidR="00000000" w14:paraId="31564B3C" w14:textId="77777777">
        <w:trPr>
          <w:divId w:val="629476355"/>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6491F128" w14:textId="77777777" w:rsidR="00000000" w:rsidRDefault="00C01C43">
            <w:pPr>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DD6DF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D15050" w14:textId="77777777" w:rsidR="00000000" w:rsidRDefault="00C01C43">
            <w:pPr>
              <w:jc w:val="right"/>
              <w:rPr>
                <w:rFonts w:eastAsia="Times New Roman"/>
              </w:rPr>
            </w:pPr>
            <w:r>
              <w:rPr>
                <w:rFonts w:ascii="Arial" w:eastAsia="Times New Roman" w:hAnsi="Arial" w:cs="Arial"/>
                <w:color w:val="000000"/>
                <w:sz w:val="20"/>
                <w:szCs w:val="20"/>
              </w:rPr>
              <w:t>20,358.3 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02D8E3"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F4775C6"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7E09C5"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498011" w14:textId="77777777" w:rsidR="00000000" w:rsidRDefault="00C01C43">
            <w:pPr>
              <w:jc w:val="right"/>
              <w:rPr>
                <w:rFonts w:eastAsia="Times New Roman"/>
              </w:rPr>
            </w:pPr>
            <w:r>
              <w:rPr>
                <w:rFonts w:ascii="Arial" w:eastAsia="Times New Roman" w:hAnsi="Arial" w:cs="Arial"/>
                <w:color w:val="000000"/>
                <w:sz w:val="20"/>
                <w:szCs w:val="20"/>
              </w:rPr>
              <w:t>36,819.0 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C2DA2D"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138CD8F"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32BF4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E159A5" w14:textId="77777777" w:rsidR="00000000" w:rsidRDefault="00C01C43">
            <w:pPr>
              <w:jc w:val="right"/>
              <w:rPr>
                <w:rFonts w:eastAsia="Times New Roman"/>
              </w:rPr>
            </w:pPr>
            <w:r>
              <w:rPr>
                <w:rFonts w:ascii="Arial" w:eastAsia="Times New Roman" w:hAnsi="Arial" w:cs="Arial"/>
                <w:color w:val="000000"/>
                <w:sz w:val="20"/>
                <w:szCs w:val="20"/>
              </w:rPr>
              <w:t>(16,460.6)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38C7D0" w14:textId="77777777" w:rsidR="00000000" w:rsidRDefault="00C01C43">
            <w:pPr>
              <w:jc w:val="right"/>
              <w:rPr>
                <w:rFonts w:eastAsia="Times New Roman"/>
              </w:rPr>
            </w:pPr>
          </w:p>
        </w:tc>
      </w:tr>
    </w:tbl>
    <w:p w14:paraId="5690FA03" w14:textId="77777777" w:rsidR="00000000" w:rsidRDefault="00C01C43">
      <w:pPr>
        <w:jc w:val="both"/>
        <w:rPr>
          <w:rFonts w:eastAsia="Times New Roman"/>
        </w:rPr>
      </w:pPr>
    </w:p>
    <w:p w14:paraId="12D42E4B" w14:textId="77777777" w:rsidR="00000000" w:rsidRDefault="00C01C43">
      <w:pPr>
        <w:jc w:val="both"/>
        <w:rPr>
          <w:rFonts w:eastAsia="Times New Roman"/>
        </w:rPr>
      </w:pPr>
      <w:r>
        <w:rPr>
          <w:rFonts w:ascii="Arial" w:eastAsia="Times New Roman" w:hAnsi="Arial" w:cs="Arial"/>
          <w:color w:val="000000"/>
          <w:sz w:val="20"/>
          <w:szCs w:val="20"/>
        </w:rPr>
        <w:t>Revenues in our aviation segment were $8.2 billion for the year ended 2020, a decrease of $10.3 billion, or 56% compared to 2019.  A significant volume decline associated with the COVID-19 pandemic combined with lower average jet fuel prices drove the decr</w:t>
      </w:r>
      <w:r>
        <w:rPr>
          <w:rFonts w:ascii="Arial" w:eastAsia="Times New Roman" w:hAnsi="Arial" w:cs="Arial"/>
          <w:color w:val="000000"/>
          <w:sz w:val="20"/>
          <w:szCs w:val="20"/>
        </w:rPr>
        <w:t xml:space="preserve">ease in aviation revenue during the year ended 2020. Specifically, total volumes in our aviation segment for the year ended 2020 were 4.7 billion gallons, a decrease of 3.8 billion gallons, or 45%, compared to 2019. The decline in volumes was attributable </w:t>
      </w:r>
      <w:r>
        <w:rPr>
          <w:rFonts w:ascii="Arial" w:eastAsia="Times New Roman" w:hAnsi="Arial" w:cs="Arial"/>
          <w:color w:val="000000"/>
          <w:sz w:val="20"/>
          <w:szCs w:val="20"/>
        </w:rPr>
        <w:t>to a significant decrease in our commercial aviation business activity due to the impact of the COVID-19 pandemic on air travel. Additionally, the average price per gallon sold during the year ended 2020 was $1.46, compared to $2.05 in 2019.</w:t>
      </w:r>
    </w:p>
    <w:p w14:paraId="7100A79E" w14:textId="77777777" w:rsidR="00000000" w:rsidRDefault="00C01C43">
      <w:pPr>
        <w:divId w:val="1238514113"/>
        <w:rPr>
          <w:rFonts w:eastAsia="Times New Roman"/>
        </w:rPr>
      </w:pPr>
    </w:p>
    <w:p w14:paraId="412B5754" w14:textId="77777777" w:rsidR="00000000" w:rsidRDefault="00C01C43">
      <w:pPr>
        <w:jc w:val="both"/>
        <w:divId w:val="1166897115"/>
        <w:rPr>
          <w:rFonts w:eastAsia="Times New Roman"/>
        </w:rPr>
      </w:pPr>
      <w:r>
        <w:rPr>
          <w:rFonts w:ascii="Arial" w:eastAsia="Times New Roman" w:hAnsi="Arial" w:cs="Arial"/>
          <w:color w:val="000000"/>
          <w:sz w:val="20"/>
          <w:szCs w:val="20"/>
        </w:rPr>
        <w:t xml:space="preserve">Revenues in </w:t>
      </w:r>
      <w:r>
        <w:rPr>
          <w:rFonts w:ascii="Arial" w:eastAsia="Times New Roman" w:hAnsi="Arial" w:cs="Arial"/>
          <w:color w:val="000000"/>
          <w:sz w:val="20"/>
          <w:szCs w:val="20"/>
        </w:rPr>
        <w:t>our land segment were $6.7 billion for the year ended 2020, a decrease of $3.6 billion, or 35%, compared to 2019. The overall decrease in land revenues was primarily due to lower average fuel prices, where the average price per gallon sold was $1.30, compa</w:t>
      </w:r>
      <w:r>
        <w:rPr>
          <w:rFonts w:ascii="Arial" w:eastAsia="Times New Roman" w:hAnsi="Arial" w:cs="Arial"/>
          <w:color w:val="000000"/>
          <w:sz w:val="20"/>
          <w:szCs w:val="20"/>
        </w:rPr>
        <w:t>red to $1.87 in 2019. Volumes in our land segment for the year ended 2020 were 5.1 billion gallons, a decrease of 387.6 million gallons, or 7%, compared to 2019, driven principally by the effects of the COVID-19 pandemic on our retail, commercial and indus</w:t>
      </w:r>
      <w:r>
        <w:rPr>
          <w:rFonts w:ascii="Arial" w:eastAsia="Times New Roman" w:hAnsi="Arial" w:cs="Arial"/>
          <w:color w:val="000000"/>
          <w:sz w:val="20"/>
          <w:szCs w:val="20"/>
        </w:rPr>
        <w:t>trial and wholesale operations.</w:t>
      </w:r>
    </w:p>
    <w:p w14:paraId="36C1FFF7" w14:textId="77777777" w:rsidR="00000000" w:rsidRDefault="00C01C43">
      <w:pPr>
        <w:jc w:val="both"/>
        <w:divId w:val="1382632836"/>
        <w:rPr>
          <w:rFonts w:eastAsia="Times New Roman"/>
        </w:rPr>
      </w:pPr>
      <w:r>
        <w:rPr>
          <w:rFonts w:ascii="Arial" w:eastAsia="Times New Roman" w:hAnsi="Arial" w:cs="Arial"/>
          <w:color w:val="000000"/>
          <w:sz w:val="20"/>
          <w:szCs w:val="20"/>
        </w:rPr>
        <w:t>Revenues in our marine segment were $5.5 billion for the year ended 2020, a decrease of $2.5 billion, or 32%, compared to 2019.  The decrease in revenues was driven by lower average prices and volume sold in 2020. The averag</w:t>
      </w:r>
      <w:r>
        <w:rPr>
          <w:rFonts w:ascii="Arial" w:eastAsia="Times New Roman" w:hAnsi="Arial" w:cs="Arial"/>
          <w:color w:val="000000"/>
          <w:sz w:val="20"/>
          <w:szCs w:val="20"/>
        </w:rPr>
        <w:t>e bunker price per metric ton sold was $315.74, compared to $385.49 in 2019. Volumes in our marine segment for the year ended 2020 were 17.5 million metric tons, a decrease of 3.4 million metric tons or 16%, from 2019. The volume decrease was driven princi</w:t>
      </w:r>
      <w:r>
        <w:rPr>
          <w:rFonts w:ascii="Arial" w:eastAsia="Times New Roman" w:hAnsi="Arial" w:cs="Arial"/>
          <w:color w:val="000000"/>
          <w:sz w:val="20"/>
          <w:szCs w:val="20"/>
        </w:rPr>
        <w:t>pally by the effects of the pandemic on demand across our core resale and physical businesses.</w:t>
      </w:r>
    </w:p>
    <w:p w14:paraId="4B858763" w14:textId="77777777" w:rsidR="00000000" w:rsidRDefault="00C01C43">
      <w:pPr>
        <w:jc w:val="center"/>
        <w:divId w:val="1642422541"/>
        <w:rPr>
          <w:rFonts w:eastAsia="Times New Roman"/>
        </w:rPr>
      </w:pPr>
      <w:r>
        <w:rPr>
          <w:rFonts w:ascii="Arial" w:eastAsia="Times New Roman" w:hAnsi="Arial" w:cs="Arial"/>
          <w:color w:val="000000"/>
          <w:sz w:val="16"/>
          <w:szCs w:val="16"/>
        </w:rPr>
        <w:t>28</w:t>
      </w:r>
    </w:p>
    <w:p w14:paraId="5CA7C6F1" w14:textId="77777777" w:rsidR="00000000" w:rsidRDefault="00C01C43">
      <w:pPr>
        <w:rPr>
          <w:rFonts w:eastAsia="Times New Roman"/>
        </w:rPr>
      </w:pPr>
      <w:r>
        <w:rPr>
          <w:rFonts w:eastAsia="Times New Roman"/>
        </w:rPr>
        <w:pict w14:anchorId="12CDA27D">
          <v:rect id="_x0000_i1057" style="width:0;height:1.5pt" o:hralign="center" o:hrstd="t" o:hr="t" fillcolor="#a0a0a0" stroked="f"/>
        </w:pict>
      </w:r>
    </w:p>
    <w:p w14:paraId="2B87ED8F" w14:textId="77777777" w:rsidR="00000000" w:rsidRDefault="00C01C43">
      <w:pPr>
        <w:divId w:val="290331929"/>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8B150E8" w14:textId="77777777" w:rsidR="00000000" w:rsidRDefault="00C01C43">
      <w:pPr>
        <w:jc w:val="both"/>
        <w:divId w:val="1970015736"/>
        <w:rPr>
          <w:rFonts w:eastAsia="Times New Roman"/>
        </w:rPr>
      </w:pPr>
      <w:r>
        <w:rPr>
          <w:rFonts w:ascii="Arial" w:eastAsia="Times New Roman" w:hAnsi="Arial" w:cs="Arial"/>
          <w:i/>
          <w:iCs/>
          <w:color w:val="000000"/>
          <w:sz w:val="20"/>
          <w:szCs w:val="20"/>
        </w:rPr>
        <w:t>Gross Profit</w:t>
      </w:r>
      <w:r>
        <w:rPr>
          <w:rFonts w:ascii="Arial" w:eastAsia="Times New Roman" w:hAnsi="Arial" w:cs="Arial"/>
          <w:color w:val="000000"/>
          <w:sz w:val="20"/>
          <w:szCs w:val="20"/>
        </w:rPr>
        <w:t>. Our gross profit for the year ended 2020 was $0.9 billion, a decrease of $260.1 million, or 23%, compared to 2019. Our gross profit was attributable to the following segments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7"/>
        <w:gridCol w:w="5391"/>
        <w:gridCol w:w="36"/>
        <w:gridCol w:w="132"/>
        <w:gridCol w:w="729"/>
        <w:gridCol w:w="36"/>
        <w:gridCol w:w="36"/>
        <w:gridCol w:w="36"/>
        <w:gridCol w:w="36"/>
        <w:gridCol w:w="132"/>
        <w:gridCol w:w="723"/>
        <w:gridCol w:w="36"/>
        <w:gridCol w:w="36"/>
        <w:gridCol w:w="36"/>
        <w:gridCol w:w="36"/>
        <w:gridCol w:w="132"/>
        <w:gridCol w:w="645"/>
        <w:gridCol w:w="36"/>
      </w:tblGrid>
      <w:tr w:rsidR="00000000" w14:paraId="4B4C2224" w14:textId="77777777">
        <w:trPr>
          <w:divId w:val="1027751375"/>
        </w:trPr>
        <w:tc>
          <w:tcPr>
            <w:tcW w:w="50" w:type="pct"/>
            <w:vAlign w:val="center"/>
            <w:hideMark/>
          </w:tcPr>
          <w:p w14:paraId="65799278" w14:textId="77777777" w:rsidR="00000000" w:rsidRDefault="00C01C43">
            <w:pPr>
              <w:jc w:val="both"/>
              <w:rPr>
                <w:rFonts w:eastAsia="Times New Roman"/>
              </w:rPr>
            </w:pPr>
          </w:p>
        </w:tc>
        <w:tc>
          <w:tcPr>
            <w:tcW w:w="3288" w:type="pct"/>
            <w:vAlign w:val="center"/>
            <w:hideMark/>
          </w:tcPr>
          <w:p w14:paraId="03F4FCA9" w14:textId="77777777" w:rsidR="00000000" w:rsidRDefault="00C01C43">
            <w:pPr>
              <w:rPr>
                <w:rFonts w:eastAsia="Times New Roman"/>
                <w:sz w:val="20"/>
                <w:szCs w:val="20"/>
              </w:rPr>
            </w:pPr>
          </w:p>
        </w:tc>
        <w:tc>
          <w:tcPr>
            <w:tcW w:w="5" w:type="pct"/>
            <w:vAlign w:val="center"/>
            <w:hideMark/>
          </w:tcPr>
          <w:p w14:paraId="688D848F" w14:textId="77777777" w:rsidR="00000000" w:rsidRDefault="00C01C43">
            <w:pPr>
              <w:rPr>
                <w:rFonts w:eastAsia="Times New Roman"/>
                <w:sz w:val="20"/>
                <w:szCs w:val="20"/>
              </w:rPr>
            </w:pPr>
          </w:p>
        </w:tc>
        <w:tc>
          <w:tcPr>
            <w:tcW w:w="50" w:type="pct"/>
            <w:vAlign w:val="center"/>
            <w:hideMark/>
          </w:tcPr>
          <w:p w14:paraId="18233F63" w14:textId="77777777" w:rsidR="00000000" w:rsidRDefault="00C01C43">
            <w:pPr>
              <w:rPr>
                <w:rFonts w:eastAsia="Times New Roman"/>
                <w:sz w:val="20"/>
                <w:szCs w:val="20"/>
              </w:rPr>
            </w:pPr>
          </w:p>
        </w:tc>
        <w:tc>
          <w:tcPr>
            <w:tcW w:w="472" w:type="pct"/>
            <w:vAlign w:val="center"/>
            <w:hideMark/>
          </w:tcPr>
          <w:p w14:paraId="1B437FD9" w14:textId="77777777" w:rsidR="00000000" w:rsidRDefault="00C01C43">
            <w:pPr>
              <w:rPr>
                <w:rFonts w:eastAsia="Times New Roman"/>
                <w:sz w:val="20"/>
                <w:szCs w:val="20"/>
              </w:rPr>
            </w:pPr>
          </w:p>
        </w:tc>
        <w:tc>
          <w:tcPr>
            <w:tcW w:w="5" w:type="pct"/>
            <w:vAlign w:val="center"/>
            <w:hideMark/>
          </w:tcPr>
          <w:p w14:paraId="078C7B3B" w14:textId="77777777" w:rsidR="00000000" w:rsidRDefault="00C01C43">
            <w:pPr>
              <w:rPr>
                <w:rFonts w:eastAsia="Times New Roman"/>
                <w:sz w:val="20"/>
                <w:szCs w:val="20"/>
              </w:rPr>
            </w:pPr>
          </w:p>
        </w:tc>
        <w:tc>
          <w:tcPr>
            <w:tcW w:w="5" w:type="pct"/>
            <w:vAlign w:val="center"/>
            <w:hideMark/>
          </w:tcPr>
          <w:p w14:paraId="33604048" w14:textId="77777777" w:rsidR="00000000" w:rsidRDefault="00C01C43">
            <w:pPr>
              <w:rPr>
                <w:rFonts w:eastAsia="Times New Roman"/>
                <w:sz w:val="20"/>
                <w:szCs w:val="20"/>
              </w:rPr>
            </w:pPr>
          </w:p>
        </w:tc>
        <w:tc>
          <w:tcPr>
            <w:tcW w:w="26" w:type="pct"/>
            <w:vAlign w:val="center"/>
            <w:hideMark/>
          </w:tcPr>
          <w:p w14:paraId="0E8EC654" w14:textId="77777777" w:rsidR="00000000" w:rsidRDefault="00C01C43">
            <w:pPr>
              <w:rPr>
                <w:rFonts w:eastAsia="Times New Roman"/>
                <w:sz w:val="20"/>
                <w:szCs w:val="20"/>
              </w:rPr>
            </w:pPr>
          </w:p>
        </w:tc>
        <w:tc>
          <w:tcPr>
            <w:tcW w:w="5" w:type="pct"/>
            <w:vAlign w:val="center"/>
            <w:hideMark/>
          </w:tcPr>
          <w:p w14:paraId="165B3286" w14:textId="77777777" w:rsidR="00000000" w:rsidRDefault="00C01C43">
            <w:pPr>
              <w:rPr>
                <w:rFonts w:eastAsia="Times New Roman"/>
                <w:sz w:val="20"/>
                <w:szCs w:val="20"/>
              </w:rPr>
            </w:pPr>
          </w:p>
        </w:tc>
        <w:tc>
          <w:tcPr>
            <w:tcW w:w="50" w:type="pct"/>
            <w:vAlign w:val="center"/>
            <w:hideMark/>
          </w:tcPr>
          <w:p w14:paraId="43AE0663" w14:textId="77777777" w:rsidR="00000000" w:rsidRDefault="00C01C43">
            <w:pPr>
              <w:rPr>
                <w:rFonts w:eastAsia="Times New Roman"/>
                <w:sz w:val="20"/>
                <w:szCs w:val="20"/>
              </w:rPr>
            </w:pPr>
          </w:p>
        </w:tc>
        <w:tc>
          <w:tcPr>
            <w:tcW w:w="472" w:type="pct"/>
            <w:vAlign w:val="center"/>
            <w:hideMark/>
          </w:tcPr>
          <w:p w14:paraId="0637D74A" w14:textId="77777777" w:rsidR="00000000" w:rsidRDefault="00C01C43">
            <w:pPr>
              <w:rPr>
                <w:rFonts w:eastAsia="Times New Roman"/>
                <w:sz w:val="20"/>
                <w:szCs w:val="20"/>
              </w:rPr>
            </w:pPr>
          </w:p>
        </w:tc>
        <w:tc>
          <w:tcPr>
            <w:tcW w:w="5" w:type="pct"/>
            <w:vAlign w:val="center"/>
            <w:hideMark/>
          </w:tcPr>
          <w:p w14:paraId="274AE4C3" w14:textId="77777777" w:rsidR="00000000" w:rsidRDefault="00C01C43">
            <w:pPr>
              <w:rPr>
                <w:rFonts w:eastAsia="Times New Roman"/>
                <w:sz w:val="20"/>
                <w:szCs w:val="20"/>
              </w:rPr>
            </w:pPr>
          </w:p>
        </w:tc>
        <w:tc>
          <w:tcPr>
            <w:tcW w:w="5" w:type="pct"/>
            <w:vAlign w:val="center"/>
            <w:hideMark/>
          </w:tcPr>
          <w:p w14:paraId="7F36CD20" w14:textId="77777777" w:rsidR="00000000" w:rsidRDefault="00C01C43">
            <w:pPr>
              <w:rPr>
                <w:rFonts w:eastAsia="Times New Roman"/>
                <w:sz w:val="20"/>
                <w:szCs w:val="20"/>
              </w:rPr>
            </w:pPr>
          </w:p>
        </w:tc>
        <w:tc>
          <w:tcPr>
            <w:tcW w:w="26" w:type="pct"/>
            <w:vAlign w:val="center"/>
            <w:hideMark/>
          </w:tcPr>
          <w:p w14:paraId="74683EFB" w14:textId="77777777" w:rsidR="00000000" w:rsidRDefault="00C01C43">
            <w:pPr>
              <w:rPr>
                <w:rFonts w:eastAsia="Times New Roman"/>
                <w:sz w:val="20"/>
                <w:szCs w:val="20"/>
              </w:rPr>
            </w:pPr>
          </w:p>
        </w:tc>
        <w:tc>
          <w:tcPr>
            <w:tcW w:w="5" w:type="pct"/>
            <w:vAlign w:val="center"/>
            <w:hideMark/>
          </w:tcPr>
          <w:p w14:paraId="5E4514D9" w14:textId="77777777" w:rsidR="00000000" w:rsidRDefault="00C01C43">
            <w:pPr>
              <w:rPr>
                <w:rFonts w:eastAsia="Times New Roman"/>
                <w:sz w:val="20"/>
                <w:szCs w:val="20"/>
              </w:rPr>
            </w:pPr>
          </w:p>
        </w:tc>
        <w:tc>
          <w:tcPr>
            <w:tcW w:w="50" w:type="pct"/>
            <w:vAlign w:val="center"/>
            <w:hideMark/>
          </w:tcPr>
          <w:p w14:paraId="1B3DB7CE" w14:textId="77777777" w:rsidR="00000000" w:rsidRDefault="00C01C43">
            <w:pPr>
              <w:rPr>
                <w:rFonts w:eastAsia="Times New Roman"/>
                <w:sz w:val="20"/>
                <w:szCs w:val="20"/>
              </w:rPr>
            </w:pPr>
          </w:p>
        </w:tc>
        <w:tc>
          <w:tcPr>
            <w:tcW w:w="472" w:type="pct"/>
            <w:vAlign w:val="center"/>
            <w:hideMark/>
          </w:tcPr>
          <w:p w14:paraId="29C10DB0" w14:textId="77777777" w:rsidR="00000000" w:rsidRDefault="00C01C43">
            <w:pPr>
              <w:rPr>
                <w:rFonts w:eastAsia="Times New Roman"/>
                <w:sz w:val="20"/>
                <w:szCs w:val="20"/>
              </w:rPr>
            </w:pPr>
          </w:p>
        </w:tc>
        <w:tc>
          <w:tcPr>
            <w:tcW w:w="5" w:type="pct"/>
            <w:vAlign w:val="center"/>
            <w:hideMark/>
          </w:tcPr>
          <w:p w14:paraId="6E36E716" w14:textId="77777777" w:rsidR="00000000" w:rsidRDefault="00C01C43">
            <w:pPr>
              <w:rPr>
                <w:rFonts w:eastAsia="Times New Roman"/>
                <w:sz w:val="20"/>
                <w:szCs w:val="20"/>
              </w:rPr>
            </w:pPr>
          </w:p>
        </w:tc>
      </w:tr>
      <w:tr w:rsidR="00000000" w14:paraId="392DD36D" w14:textId="77777777">
        <w:trPr>
          <w:divId w:val="1027751375"/>
        </w:trPr>
        <w:tc>
          <w:tcPr>
            <w:tcW w:w="0" w:type="auto"/>
            <w:gridSpan w:val="3"/>
            <w:tcMar>
              <w:top w:w="0" w:type="dxa"/>
              <w:left w:w="20" w:type="dxa"/>
              <w:bottom w:w="0" w:type="dxa"/>
              <w:right w:w="20" w:type="dxa"/>
            </w:tcMar>
            <w:vAlign w:val="center"/>
            <w:hideMark/>
          </w:tcPr>
          <w:p w14:paraId="42C68F54"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56755198"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6DC82A61"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330EB63D"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56720452"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6F1CA689" w14:textId="77777777" w:rsidR="00000000" w:rsidRDefault="00C01C43">
            <w:pPr>
              <w:jc w:val="center"/>
              <w:rPr>
                <w:rFonts w:eastAsia="Times New Roman"/>
              </w:rPr>
            </w:pPr>
            <w:r>
              <w:rPr>
                <w:rFonts w:ascii="Arial" w:eastAsia="Times New Roman" w:hAnsi="Arial" w:cs="Arial"/>
                <w:b/>
                <w:bCs/>
                <w:color w:val="000000"/>
                <w:sz w:val="16"/>
                <w:szCs w:val="16"/>
              </w:rPr>
              <w:t>$ Change</w:t>
            </w:r>
          </w:p>
        </w:tc>
      </w:tr>
      <w:tr w:rsidR="00000000" w14:paraId="765667BD" w14:textId="77777777">
        <w:trPr>
          <w:divId w:val="102775137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E14C79A" w14:textId="77777777" w:rsidR="00000000" w:rsidRDefault="00C01C43">
            <w:pPr>
              <w:rPr>
                <w:rFonts w:eastAsia="Times New Roman"/>
              </w:rPr>
            </w:pPr>
            <w:r>
              <w:rPr>
                <w:rFonts w:ascii="Arial" w:eastAsia="Times New Roman" w:hAnsi="Arial" w:cs="Arial"/>
                <w:color w:val="000000"/>
                <w:sz w:val="20"/>
                <w:szCs w:val="20"/>
              </w:rPr>
              <w:t>Aviation segment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3A31F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9BB476" w14:textId="77777777" w:rsidR="00000000" w:rsidRDefault="00C01C43">
            <w:pPr>
              <w:jc w:val="right"/>
              <w:rPr>
                <w:rFonts w:eastAsia="Times New Roman"/>
              </w:rPr>
            </w:pPr>
            <w:r>
              <w:rPr>
                <w:rFonts w:ascii="Arial" w:eastAsia="Times New Roman" w:hAnsi="Arial" w:cs="Arial"/>
                <w:color w:val="000000"/>
                <w:sz w:val="20"/>
                <w:szCs w:val="20"/>
              </w:rPr>
              <w:t>352.9 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66E3B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3ABCF3"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6F654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8C6A8C" w14:textId="77777777" w:rsidR="00000000" w:rsidRDefault="00C01C43">
            <w:pPr>
              <w:jc w:val="right"/>
              <w:rPr>
                <w:rFonts w:eastAsia="Times New Roman"/>
              </w:rPr>
            </w:pPr>
            <w:r>
              <w:rPr>
                <w:rFonts w:ascii="Arial" w:eastAsia="Times New Roman" w:hAnsi="Arial" w:cs="Arial"/>
                <w:color w:val="000000"/>
                <w:sz w:val="20"/>
                <w:szCs w:val="20"/>
              </w:rPr>
              <w:t>551.6 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E0411F"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2F07F3"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50A5E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F98AB2" w14:textId="77777777" w:rsidR="00000000" w:rsidRDefault="00C01C43">
            <w:pPr>
              <w:jc w:val="right"/>
              <w:rPr>
                <w:rFonts w:eastAsia="Times New Roman"/>
              </w:rPr>
            </w:pPr>
            <w:r>
              <w:rPr>
                <w:rFonts w:ascii="Arial" w:eastAsia="Times New Roman" w:hAnsi="Arial" w:cs="Arial"/>
                <w:color w:val="000000"/>
                <w:sz w:val="20"/>
                <w:szCs w:val="20"/>
              </w:rPr>
              <w:t>(198.6)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4AD190" w14:textId="77777777" w:rsidR="00000000" w:rsidRDefault="00C01C43">
            <w:pPr>
              <w:jc w:val="right"/>
              <w:rPr>
                <w:rFonts w:eastAsia="Times New Roman"/>
              </w:rPr>
            </w:pPr>
          </w:p>
        </w:tc>
      </w:tr>
      <w:tr w:rsidR="00000000" w14:paraId="14389463" w14:textId="77777777">
        <w:trPr>
          <w:divId w:val="1027751375"/>
        </w:trPr>
        <w:tc>
          <w:tcPr>
            <w:tcW w:w="0" w:type="auto"/>
            <w:gridSpan w:val="3"/>
            <w:shd w:val="clear" w:color="auto" w:fill="FFFFFF"/>
            <w:tcMar>
              <w:top w:w="30" w:type="dxa"/>
              <w:left w:w="20" w:type="dxa"/>
              <w:bottom w:w="30" w:type="dxa"/>
              <w:right w:w="20" w:type="dxa"/>
            </w:tcMar>
            <w:vAlign w:val="bottom"/>
            <w:hideMark/>
          </w:tcPr>
          <w:p w14:paraId="6BD6A31C" w14:textId="77777777" w:rsidR="00000000" w:rsidRDefault="00C01C43">
            <w:pPr>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14:paraId="243C6747" w14:textId="77777777" w:rsidR="00000000" w:rsidRDefault="00C01C43">
            <w:pPr>
              <w:jc w:val="right"/>
              <w:rPr>
                <w:rFonts w:eastAsia="Times New Roman"/>
              </w:rPr>
            </w:pPr>
            <w:r>
              <w:rPr>
                <w:rFonts w:ascii="Arial" w:eastAsia="Times New Roman" w:hAnsi="Arial" w:cs="Arial"/>
                <w:color w:val="000000"/>
                <w:sz w:val="20"/>
                <w:szCs w:val="20"/>
              </w:rPr>
              <w:t>347.6 </w:t>
            </w:r>
          </w:p>
        </w:tc>
        <w:tc>
          <w:tcPr>
            <w:tcW w:w="0" w:type="auto"/>
            <w:shd w:val="clear" w:color="auto" w:fill="FFFFFF"/>
            <w:tcMar>
              <w:top w:w="30" w:type="dxa"/>
              <w:left w:w="0" w:type="dxa"/>
              <w:bottom w:w="30" w:type="dxa"/>
              <w:right w:w="20" w:type="dxa"/>
            </w:tcMar>
            <w:vAlign w:val="bottom"/>
            <w:hideMark/>
          </w:tcPr>
          <w:p w14:paraId="3C52DD3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E742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BBEEB1" w14:textId="77777777" w:rsidR="00000000" w:rsidRDefault="00C01C43">
            <w:pPr>
              <w:jc w:val="right"/>
              <w:rPr>
                <w:rFonts w:eastAsia="Times New Roman"/>
              </w:rPr>
            </w:pPr>
            <w:r>
              <w:rPr>
                <w:rFonts w:ascii="Arial" w:eastAsia="Times New Roman" w:hAnsi="Arial" w:cs="Arial"/>
                <w:color w:val="000000"/>
                <w:sz w:val="20"/>
                <w:szCs w:val="20"/>
              </w:rPr>
              <w:t>378.9 </w:t>
            </w:r>
          </w:p>
        </w:tc>
        <w:tc>
          <w:tcPr>
            <w:tcW w:w="0" w:type="auto"/>
            <w:shd w:val="clear" w:color="auto" w:fill="FFFFFF"/>
            <w:tcMar>
              <w:top w:w="30" w:type="dxa"/>
              <w:left w:w="0" w:type="dxa"/>
              <w:bottom w:w="30" w:type="dxa"/>
              <w:right w:w="20" w:type="dxa"/>
            </w:tcMar>
            <w:vAlign w:val="bottom"/>
            <w:hideMark/>
          </w:tcPr>
          <w:p w14:paraId="29C0B7F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D88D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589133" w14:textId="77777777" w:rsidR="00000000" w:rsidRDefault="00C01C43">
            <w:pPr>
              <w:jc w:val="right"/>
              <w:rPr>
                <w:rFonts w:eastAsia="Times New Roman"/>
              </w:rPr>
            </w:pPr>
            <w:r>
              <w:rPr>
                <w:rFonts w:ascii="Arial" w:eastAsia="Times New Roman" w:hAnsi="Arial" w:cs="Arial"/>
                <w:color w:val="000000"/>
                <w:sz w:val="20"/>
                <w:szCs w:val="20"/>
              </w:rPr>
              <w:t>(31.3)</w:t>
            </w:r>
          </w:p>
        </w:tc>
        <w:tc>
          <w:tcPr>
            <w:tcW w:w="0" w:type="auto"/>
            <w:shd w:val="clear" w:color="auto" w:fill="FFFFFF"/>
            <w:tcMar>
              <w:top w:w="30" w:type="dxa"/>
              <w:left w:w="0" w:type="dxa"/>
              <w:bottom w:w="30" w:type="dxa"/>
              <w:right w:w="20" w:type="dxa"/>
            </w:tcMar>
            <w:vAlign w:val="bottom"/>
            <w:hideMark/>
          </w:tcPr>
          <w:p w14:paraId="4CC74897" w14:textId="77777777" w:rsidR="00000000" w:rsidRDefault="00C01C43">
            <w:pPr>
              <w:jc w:val="right"/>
              <w:rPr>
                <w:rFonts w:eastAsia="Times New Roman"/>
              </w:rPr>
            </w:pPr>
          </w:p>
        </w:tc>
      </w:tr>
      <w:tr w:rsidR="00000000" w14:paraId="09463415" w14:textId="77777777">
        <w:trPr>
          <w:divId w:val="1027751375"/>
        </w:trPr>
        <w:tc>
          <w:tcPr>
            <w:tcW w:w="0" w:type="auto"/>
            <w:gridSpan w:val="3"/>
            <w:shd w:val="clear" w:color="auto" w:fill="CCEEFF"/>
            <w:tcMar>
              <w:top w:w="30" w:type="dxa"/>
              <w:left w:w="20" w:type="dxa"/>
              <w:bottom w:w="30" w:type="dxa"/>
              <w:right w:w="20" w:type="dxa"/>
            </w:tcMar>
            <w:vAlign w:val="bottom"/>
            <w:hideMark/>
          </w:tcPr>
          <w:p w14:paraId="59A15109" w14:textId="77777777" w:rsidR="00000000" w:rsidRDefault="00C01C43">
            <w:pPr>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14:paraId="1CAEB384" w14:textId="77777777" w:rsidR="00000000" w:rsidRDefault="00C01C43">
            <w:pPr>
              <w:jc w:val="right"/>
              <w:rPr>
                <w:rFonts w:eastAsia="Times New Roman"/>
              </w:rPr>
            </w:pPr>
            <w:r>
              <w:rPr>
                <w:rFonts w:ascii="Arial" w:eastAsia="Times New Roman" w:hAnsi="Arial" w:cs="Arial"/>
                <w:color w:val="000000"/>
                <w:sz w:val="20"/>
                <w:szCs w:val="20"/>
              </w:rPr>
              <w:t>151.4 </w:t>
            </w:r>
          </w:p>
        </w:tc>
        <w:tc>
          <w:tcPr>
            <w:tcW w:w="0" w:type="auto"/>
            <w:shd w:val="clear" w:color="auto" w:fill="CCEEFF"/>
            <w:tcMar>
              <w:top w:w="30" w:type="dxa"/>
              <w:left w:w="0" w:type="dxa"/>
              <w:bottom w:w="30" w:type="dxa"/>
              <w:right w:w="20" w:type="dxa"/>
            </w:tcMar>
            <w:vAlign w:val="bottom"/>
            <w:hideMark/>
          </w:tcPr>
          <w:p w14:paraId="7529A25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6108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F560A9" w14:textId="77777777" w:rsidR="00000000" w:rsidRDefault="00C01C43">
            <w:pPr>
              <w:jc w:val="right"/>
              <w:rPr>
                <w:rFonts w:eastAsia="Times New Roman"/>
              </w:rPr>
            </w:pPr>
            <w:r>
              <w:rPr>
                <w:rFonts w:ascii="Arial" w:eastAsia="Times New Roman" w:hAnsi="Arial" w:cs="Arial"/>
                <w:color w:val="000000"/>
                <w:sz w:val="20"/>
                <w:szCs w:val="20"/>
              </w:rPr>
              <w:t>181.5 </w:t>
            </w:r>
          </w:p>
        </w:tc>
        <w:tc>
          <w:tcPr>
            <w:tcW w:w="0" w:type="auto"/>
            <w:shd w:val="clear" w:color="auto" w:fill="CCEEFF"/>
            <w:tcMar>
              <w:top w:w="30" w:type="dxa"/>
              <w:left w:w="0" w:type="dxa"/>
              <w:bottom w:w="30" w:type="dxa"/>
              <w:right w:w="20" w:type="dxa"/>
            </w:tcMar>
            <w:vAlign w:val="bottom"/>
            <w:hideMark/>
          </w:tcPr>
          <w:p w14:paraId="338A2E2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86FD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8792B9" w14:textId="77777777" w:rsidR="00000000" w:rsidRDefault="00C01C43">
            <w:pPr>
              <w:jc w:val="right"/>
              <w:rPr>
                <w:rFonts w:eastAsia="Times New Roman"/>
              </w:rPr>
            </w:pPr>
            <w:r>
              <w:rPr>
                <w:rFonts w:ascii="Arial" w:eastAsia="Times New Roman" w:hAnsi="Arial" w:cs="Arial"/>
                <w:color w:val="000000"/>
                <w:sz w:val="20"/>
                <w:szCs w:val="20"/>
              </w:rPr>
              <w:t>(30.2)</w:t>
            </w:r>
          </w:p>
        </w:tc>
        <w:tc>
          <w:tcPr>
            <w:tcW w:w="0" w:type="auto"/>
            <w:shd w:val="clear" w:color="auto" w:fill="CCEEFF"/>
            <w:tcMar>
              <w:top w:w="30" w:type="dxa"/>
              <w:left w:w="0" w:type="dxa"/>
              <w:bottom w:w="30" w:type="dxa"/>
              <w:right w:w="20" w:type="dxa"/>
            </w:tcMar>
            <w:vAlign w:val="bottom"/>
            <w:hideMark/>
          </w:tcPr>
          <w:p w14:paraId="6F14BA91" w14:textId="77777777" w:rsidR="00000000" w:rsidRDefault="00C01C43">
            <w:pPr>
              <w:jc w:val="right"/>
              <w:rPr>
                <w:rFonts w:eastAsia="Times New Roman"/>
              </w:rPr>
            </w:pPr>
          </w:p>
        </w:tc>
      </w:tr>
      <w:tr w:rsidR="00000000" w14:paraId="2EC1CA39" w14:textId="77777777">
        <w:trPr>
          <w:divId w:val="1027751375"/>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6548B037" w14:textId="77777777" w:rsidR="00000000" w:rsidRDefault="00C01C43">
            <w:pPr>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9D1CB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63D0E2" w14:textId="77777777" w:rsidR="00000000" w:rsidRDefault="00C01C43">
            <w:pPr>
              <w:jc w:val="right"/>
              <w:rPr>
                <w:rFonts w:eastAsia="Times New Roman"/>
              </w:rPr>
            </w:pPr>
            <w:r>
              <w:rPr>
                <w:rFonts w:ascii="Arial" w:eastAsia="Times New Roman" w:hAnsi="Arial" w:cs="Arial"/>
                <w:color w:val="000000"/>
                <w:sz w:val="20"/>
                <w:szCs w:val="20"/>
              </w:rPr>
              <w:t>851.8 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512241"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99BDB46"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37E71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A95551" w14:textId="77777777" w:rsidR="00000000" w:rsidRDefault="00C01C43">
            <w:pPr>
              <w:jc w:val="right"/>
              <w:rPr>
                <w:rFonts w:eastAsia="Times New Roman"/>
              </w:rPr>
            </w:pPr>
            <w:r>
              <w:rPr>
                <w:rFonts w:ascii="Arial" w:eastAsia="Times New Roman" w:hAnsi="Arial" w:cs="Arial"/>
                <w:color w:val="000000"/>
                <w:sz w:val="20"/>
                <w:szCs w:val="20"/>
              </w:rPr>
              <w:t>1,112.0 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3AD6DA"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551152E"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A6511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81AEDB" w14:textId="77777777" w:rsidR="00000000" w:rsidRDefault="00C01C43">
            <w:pPr>
              <w:jc w:val="right"/>
              <w:rPr>
                <w:rFonts w:eastAsia="Times New Roman"/>
              </w:rPr>
            </w:pPr>
            <w:r>
              <w:rPr>
                <w:rFonts w:ascii="Arial" w:eastAsia="Times New Roman" w:hAnsi="Arial" w:cs="Arial"/>
                <w:color w:val="000000"/>
                <w:sz w:val="20"/>
                <w:szCs w:val="20"/>
              </w:rPr>
              <w:t>(260.1)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1DD6AF" w14:textId="77777777" w:rsidR="00000000" w:rsidRDefault="00C01C43">
            <w:pPr>
              <w:jc w:val="right"/>
              <w:rPr>
                <w:rFonts w:eastAsia="Times New Roman"/>
              </w:rPr>
            </w:pPr>
          </w:p>
        </w:tc>
      </w:tr>
    </w:tbl>
    <w:p w14:paraId="5B77AD98" w14:textId="77777777" w:rsidR="00000000" w:rsidRDefault="00C01C43">
      <w:pPr>
        <w:divId w:val="1363240545"/>
        <w:rPr>
          <w:rFonts w:eastAsia="Times New Roman"/>
        </w:rPr>
      </w:pPr>
    </w:p>
    <w:p w14:paraId="194B8599" w14:textId="77777777" w:rsidR="00000000" w:rsidRDefault="00C01C43">
      <w:pPr>
        <w:jc w:val="both"/>
        <w:rPr>
          <w:rFonts w:eastAsia="Times New Roman"/>
        </w:rPr>
      </w:pPr>
      <w:r>
        <w:rPr>
          <w:rFonts w:ascii="Arial" w:eastAsia="Times New Roman" w:hAnsi="Arial" w:cs="Arial"/>
          <w:color w:val="000000"/>
          <w:sz w:val="20"/>
          <w:szCs w:val="20"/>
        </w:rPr>
        <w:t>Our aviation segment gross profit for the year ended 2020 was $352.9 million, a decrease of $198.6 million, or 36%, compared to 2019. The decrease in aviation gross profit was primarily due to a 45% decline in volume as a consequence of the depressed deman</w:t>
      </w:r>
      <w:r>
        <w:rPr>
          <w:rFonts w:ascii="Arial" w:eastAsia="Times New Roman" w:hAnsi="Arial" w:cs="Arial"/>
          <w:color w:val="000000"/>
          <w:sz w:val="20"/>
          <w:szCs w:val="20"/>
        </w:rPr>
        <w:t>d for air travel due to the pandemic, together with a reduction in our government-related activity in Afghanistan as a result of the drawdown of troops in Afghanistan. Partially offsetting the decline in gross profit were certain situation-specific activit</w:t>
      </w:r>
      <w:r>
        <w:rPr>
          <w:rFonts w:ascii="Arial" w:eastAsia="Times New Roman" w:hAnsi="Arial" w:cs="Arial"/>
          <w:color w:val="000000"/>
          <w:sz w:val="20"/>
          <w:szCs w:val="20"/>
        </w:rPr>
        <w:t>ies arising from the pandemic, such as repatriation flights and increased cargo activity, as well as physical supply gains associated with the historic volatility in jet fuel prices during the period.</w:t>
      </w:r>
    </w:p>
    <w:p w14:paraId="01510F36" w14:textId="77777777" w:rsidR="00000000" w:rsidRDefault="00C01C43">
      <w:pPr>
        <w:jc w:val="both"/>
        <w:rPr>
          <w:rFonts w:eastAsia="Times New Roman"/>
        </w:rPr>
      </w:pPr>
    </w:p>
    <w:p w14:paraId="1DC128D1" w14:textId="77777777" w:rsidR="00000000" w:rsidRDefault="00C01C43">
      <w:pPr>
        <w:jc w:val="both"/>
        <w:rPr>
          <w:rFonts w:eastAsia="Times New Roman"/>
        </w:rPr>
      </w:pPr>
      <w:r>
        <w:rPr>
          <w:rFonts w:ascii="Arial" w:eastAsia="Times New Roman" w:hAnsi="Arial" w:cs="Arial"/>
          <w:color w:val="000000"/>
          <w:sz w:val="20"/>
          <w:szCs w:val="20"/>
        </w:rPr>
        <w:t>Our land segment gross profit for the year ended 2020</w:t>
      </w:r>
      <w:r>
        <w:rPr>
          <w:rFonts w:ascii="Arial" w:eastAsia="Times New Roman" w:hAnsi="Arial" w:cs="Arial"/>
          <w:color w:val="000000"/>
          <w:sz w:val="20"/>
          <w:szCs w:val="20"/>
        </w:rPr>
        <w:t xml:space="preserve"> was $347.6 million, a decrease of $31.3 million, or 8%, compared to 2019. The decrease in land segment gross profit was primarily attributable to the sale of our Multi Service payment solutions business, and the decline in volumes in our core domestic ret</w:t>
      </w:r>
      <w:r>
        <w:rPr>
          <w:rFonts w:ascii="Arial" w:eastAsia="Times New Roman" w:hAnsi="Arial" w:cs="Arial"/>
          <w:color w:val="000000"/>
          <w:sz w:val="20"/>
          <w:szCs w:val="20"/>
        </w:rPr>
        <w:t>ail, commercial and industrial activities, as well as a decrease in our government-related activities in Afghanistan. These decreases were partially offset by improved results in the U.K. and growth in World Kinect, our global energy management brand.</w:t>
      </w:r>
    </w:p>
    <w:p w14:paraId="16479520" w14:textId="77777777" w:rsidR="00000000" w:rsidRDefault="00C01C43">
      <w:pPr>
        <w:jc w:val="both"/>
        <w:rPr>
          <w:rFonts w:eastAsia="Times New Roman"/>
        </w:rPr>
      </w:pPr>
    </w:p>
    <w:p w14:paraId="53309845" w14:textId="77777777" w:rsidR="00000000" w:rsidRDefault="00C01C43">
      <w:pPr>
        <w:jc w:val="both"/>
        <w:rPr>
          <w:rFonts w:eastAsia="Times New Roman"/>
        </w:rPr>
      </w:pPr>
      <w:r>
        <w:rPr>
          <w:rFonts w:ascii="Arial" w:eastAsia="Times New Roman" w:hAnsi="Arial" w:cs="Arial"/>
          <w:color w:val="000000"/>
          <w:sz w:val="20"/>
          <w:szCs w:val="20"/>
        </w:rPr>
        <w:t>Ou</w:t>
      </w:r>
      <w:r>
        <w:rPr>
          <w:rFonts w:ascii="Arial" w:eastAsia="Times New Roman" w:hAnsi="Arial" w:cs="Arial"/>
          <w:color w:val="000000"/>
          <w:sz w:val="20"/>
          <w:szCs w:val="20"/>
        </w:rPr>
        <w:t>r marine segment gross profit for the year ended 2020 was $151.4 million, a decrease of $30.2 million, or 17%, as compared to 2019.  The gross profit decrease was attributable to lower volume and profitability, particularly in our core resale business, due</w:t>
      </w:r>
      <w:r>
        <w:rPr>
          <w:rFonts w:ascii="Arial" w:eastAsia="Times New Roman" w:hAnsi="Arial" w:cs="Arial"/>
          <w:color w:val="000000"/>
          <w:sz w:val="20"/>
          <w:szCs w:val="20"/>
        </w:rPr>
        <w:t xml:space="preserve"> to a decline in demand as a consequence of the pandemic in certain sectors of the marine shipping and travel industry. The decrease in gross profit income was partially offset by higher profitability during the first two months of 2020, resulting from the</w:t>
      </w:r>
      <w:r>
        <w:rPr>
          <w:rFonts w:ascii="Arial" w:eastAsia="Times New Roman" w:hAnsi="Arial" w:cs="Arial"/>
          <w:color w:val="000000"/>
          <w:sz w:val="20"/>
          <w:szCs w:val="20"/>
        </w:rPr>
        <w:t xml:space="preserve"> shift to very low sulfur fuel oil, as mandated by the IMO 2020 regulations that took effect on January 1, 2020.</w:t>
      </w:r>
    </w:p>
    <w:p w14:paraId="0A4E74A3" w14:textId="77777777" w:rsidR="00000000" w:rsidRDefault="00C01C43">
      <w:pPr>
        <w:divId w:val="812526803"/>
        <w:rPr>
          <w:rFonts w:eastAsia="Times New Roman"/>
        </w:rPr>
      </w:pPr>
    </w:p>
    <w:p w14:paraId="7EDD39AC" w14:textId="77777777" w:rsidR="00000000" w:rsidRDefault="00C01C43">
      <w:pPr>
        <w:jc w:val="both"/>
        <w:divId w:val="650255891"/>
        <w:rPr>
          <w:rFonts w:eastAsia="Times New Roman"/>
        </w:rPr>
      </w:pPr>
      <w:r>
        <w:rPr>
          <w:rFonts w:ascii="Arial" w:eastAsia="Times New Roman" w:hAnsi="Arial" w:cs="Arial"/>
          <w:i/>
          <w:iCs/>
          <w:color w:val="000000"/>
          <w:sz w:val="20"/>
          <w:szCs w:val="20"/>
        </w:rPr>
        <w:t>Operating Expenses.</w:t>
      </w:r>
      <w:r>
        <w:rPr>
          <w:rFonts w:ascii="Arial" w:eastAsia="Times New Roman" w:hAnsi="Arial" w:cs="Arial"/>
          <w:color w:val="000000"/>
          <w:sz w:val="20"/>
          <w:szCs w:val="20"/>
        </w:rPr>
        <w:t xml:space="preserve"> Total operating expenses for 2020 were $714.0 million, a decrease of $98.3 million, or 12%, compared to 2019. The followi</w:t>
      </w:r>
      <w:r>
        <w:rPr>
          <w:rFonts w:ascii="Arial" w:eastAsia="Times New Roman" w:hAnsi="Arial" w:cs="Arial"/>
          <w:color w:val="000000"/>
          <w:sz w:val="20"/>
          <w:szCs w:val="20"/>
        </w:rPr>
        <w:t>ng table sets forth our expense categories (in millions):</w:t>
      </w:r>
    </w:p>
    <w:tbl>
      <w:tblPr>
        <w:tblW w:w="4985" w:type="pct"/>
        <w:tblCellMar>
          <w:top w:w="15" w:type="dxa"/>
          <w:left w:w="15" w:type="dxa"/>
          <w:bottom w:w="15" w:type="dxa"/>
          <w:right w:w="15" w:type="dxa"/>
        </w:tblCellMar>
        <w:tblLook w:val="04A0" w:firstRow="1" w:lastRow="0" w:firstColumn="1" w:lastColumn="0" w:noHBand="0" w:noVBand="1"/>
      </w:tblPr>
      <w:tblGrid>
        <w:gridCol w:w="37"/>
        <w:gridCol w:w="5328"/>
        <w:gridCol w:w="36"/>
        <w:gridCol w:w="132"/>
        <w:gridCol w:w="765"/>
        <w:gridCol w:w="36"/>
        <w:gridCol w:w="36"/>
        <w:gridCol w:w="36"/>
        <w:gridCol w:w="36"/>
        <w:gridCol w:w="132"/>
        <w:gridCol w:w="697"/>
        <w:gridCol w:w="36"/>
        <w:gridCol w:w="36"/>
        <w:gridCol w:w="36"/>
        <w:gridCol w:w="36"/>
        <w:gridCol w:w="132"/>
        <w:gridCol w:w="698"/>
        <w:gridCol w:w="36"/>
      </w:tblGrid>
      <w:tr w:rsidR="00000000" w14:paraId="72F4522F" w14:textId="77777777">
        <w:trPr>
          <w:divId w:val="1336423157"/>
        </w:trPr>
        <w:tc>
          <w:tcPr>
            <w:tcW w:w="50" w:type="pct"/>
            <w:vAlign w:val="center"/>
            <w:hideMark/>
          </w:tcPr>
          <w:p w14:paraId="07FA7EFD" w14:textId="77777777" w:rsidR="00000000" w:rsidRDefault="00C01C43">
            <w:pPr>
              <w:jc w:val="both"/>
              <w:rPr>
                <w:rFonts w:eastAsia="Times New Roman"/>
              </w:rPr>
            </w:pPr>
          </w:p>
        </w:tc>
        <w:tc>
          <w:tcPr>
            <w:tcW w:w="3251" w:type="pct"/>
            <w:vAlign w:val="center"/>
            <w:hideMark/>
          </w:tcPr>
          <w:p w14:paraId="2FE65AFF" w14:textId="77777777" w:rsidR="00000000" w:rsidRDefault="00C01C43">
            <w:pPr>
              <w:rPr>
                <w:rFonts w:eastAsia="Times New Roman"/>
                <w:sz w:val="20"/>
                <w:szCs w:val="20"/>
              </w:rPr>
            </w:pPr>
          </w:p>
        </w:tc>
        <w:tc>
          <w:tcPr>
            <w:tcW w:w="5" w:type="pct"/>
            <w:vAlign w:val="center"/>
            <w:hideMark/>
          </w:tcPr>
          <w:p w14:paraId="333DAD1F" w14:textId="77777777" w:rsidR="00000000" w:rsidRDefault="00C01C43">
            <w:pPr>
              <w:rPr>
                <w:rFonts w:eastAsia="Times New Roman"/>
                <w:sz w:val="20"/>
                <w:szCs w:val="20"/>
              </w:rPr>
            </w:pPr>
          </w:p>
        </w:tc>
        <w:tc>
          <w:tcPr>
            <w:tcW w:w="50" w:type="pct"/>
            <w:vAlign w:val="center"/>
            <w:hideMark/>
          </w:tcPr>
          <w:p w14:paraId="602758D9" w14:textId="77777777" w:rsidR="00000000" w:rsidRDefault="00C01C43">
            <w:pPr>
              <w:rPr>
                <w:rFonts w:eastAsia="Times New Roman"/>
                <w:sz w:val="20"/>
                <w:szCs w:val="20"/>
              </w:rPr>
            </w:pPr>
          </w:p>
        </w:tc>
        <w:tc>
          <w:tcPr>
            <w:tcW w:w="494" w:type="pct"/>
            <w:vAlign w:val="center"/>
            <w:hideMark/>
          </w:tcPr>
          <w:p w14:paraId="60886DD2" w14:textId="77777777" w:rsidR="00000000" w:rsidRDefault="00C01C43">
            <w:pPr>
              <w:rPr>
                <w:rFonts w:eastAsia="Times New Roman"/>
                <w:sz w:val="20"/>
                <w:szCs w:val="20"/>
              </w:rPr>
            </w:pPr>
          </w:p>
        </w:tc>
        <w:tc>
          <w:tcPr>
            <w:tcW w:w="5" w:type="pct"/>
            <w:vAlign w:val="center"/>
            <w:hideMark/>
          </w:tcPr>
          <w:p w14:paraId="6CEA0E31" w14:textId="77777777" w:rsidR="00000000" w:rsidRDefault="00C01C43">
            <w:pPr>
              <w:rPr>
                <w:rFonts w:eastAsia="Times New Roman"/>
                <w:sz w:val="20"/>
                <w:szCs w:val="20"/>
              </w:rPr>
            </w:pPr>
          </w:p>
        </w:tc>
        <w:tc>
          <w:tcPr>
            <w:tcW w:w="5" w:type="pct"/>
            <w:vAlign w:val="center"/>
            <w:hideMark/>
          </w:tcPr>
          <w:p w14:paraId="6A2F6622" w14:textId="77777777" w:rsidR="00000000" w:rsidRDefault="00C01C43">
            <w:pPr>
              <w:rPr>
                <w:rFonts w:eastAsia="Times New Roman"/>
                <w:sz w:val="20"/>
                <w:szCs w:val="20"/>
              </w:rPr>
            </w:pPr>
          </w:p>
        </w:tc>
        <w:tc>
          <w:tcPr>
            <w:tcW w:w="26" w:type="pct"/>
            <w:vAlign w:val="center"/>
            <w:hideMark/>
          </w:tcPr>
          <w:p w14:paraId="376E1BC4" w14:textId="77777777" w:rsidR="00000000" w:rsidRDefault="00C01C43">
            <w:pPr>
              <w:rPr>
                <w:rFonts w:eastAsia="Times New Roman"/>
                <w:sz w:val="20"/>
                <w:szCs w:val="20"/>
              </w:rPr>
            </w:pPr>
          </w:p>
        </w:tc>
        <w:tc>
          <w:tcPr>
            <w:tcW w:w="5" w:type="pct"/>
            <w:vAlign w:val="center"/>
            <w:hideMark/>
          </w:tcPr>
          <w:p w14:paraId="162BF9E2" w14:textId="77777777" w:rsidR="00000000" w:rsidRDefault="00C01C43">
            <w:pPr>
              <w:rPr>
                <w:rFonts w:eastAsia="Times New Roman"/>
                <w:sz w:val="20"/>
                <w:szCs w:val="20"/>
              </w:rPr>
            </w:pPr>
          </w:p>
        </w:tc>
        <w:tc>
          <w:tcPr>
            <w:tcW w:w="50" w:type="pct"/>
            <w:vAlign w:val="center"/>
            <w:hideMark/>
          </w:tcPr>
          <w:p w14:paraId="301E181D" w14:textId="77777777" w:rsidR="00000000" w:rsidRDefault="00C01C43">
            <w:pPr>
              <w:rPr>
                <w:rFonts w:eastAsia="Times New Roman"/>
                <w:sz w:val="20"/>
                <w:szCs w:val="20"/>
              </w:rPr>
            </w:pPr>
          </w:p>
        </w:tc>
        <w:tc>
          <w:tcPr>
            <w:tcW w:w="480" w:type="pct"/>
            <w:vAlign w:val="center"/>
            <w:hideMark/>
          </w:tcPr>
          <w:p w14:paraId="0D8FCF2E" w14:textId="77777777" w:rsidR="00000000" w:rsidRDefault="00C01C43">
            <w:pPr>
              <w:rPr>
                <w:rFonts w:eastAsia="Times New Roman"/>
                <w:sz w:val="20"/>
                <w:szCs w:val="20"/>
              </w:rPr>
            </w:pPr>
          </w:p>
        </w:tc>
        <w:tc>
          <w:tcPr>
            <w:tcW w:w="5" w:type="pct"/>
            <w:vAlign w:val="center"/>
            <w:hideMark/>
          </w:tcPr>
          <w:p w14:paraId="610BC57E" w14:textId="77777777" w:rsidR="00000000" w:rsidRDefault="00C01C43">
            <w:pPr>
              <w:rPr>
                <w:rFonts w:eastAsia="Times New Roman"/>
                <w:sz w:val="20"/>
                <w:szCs w:val="20"/>
              </w:rPr>
            </w:pPr>
          </w:p>
        </w:tc>
        <w:tc>
          <w:tcPr>
            <w:tcW w:w="5" w:type="pct"/>
            <w:vAlign w:val="center"/>
            <w:hideMark/>
          </w:tcPr>
          <w:p w14:paraId="1BA44BF1" w14:textId="77777777" w:rsidR="00000000" w:rsidRDefault="00C01C43">
            <w:pPr>
              <w:rPr>
                <w:rFonts w:eastAsia="Times New Roman"/>
                <w:sz w:val="20"/>
                <w:szCs w:val="20"/>
              </w:rPr>
            </w:pPr>
          </w:p>
        </w:tc>
        <w:tc>
          <w:tcPr>
            <w:tcW w:w="26" w:type="pct"/>
            <w:vAlign w:val="center"/>
            <w:hideMark/>
          </w:tcPr>
          <w:p w14:paraId="090215E0" w14:textId="77777777" w:rsidR="00000000" w:rsidRDefault="00C01C43">
            <w:pPr>
              <w:rPr>
                <w:rFonts w:eastAsia="Times New Roman"/>
                <w:sz w:val="20"/>
                <w:szCs w:val="20"/>
              </w:rPr>
            </w:pPr>
          </w:p>
        </w:tc>
        <w:tc>
          <w:tcPr>
            <w:tcW w:w="5" w:type="pct"/>
            <w:vAlign w:val="center"/>
            <w:hideMark/>
          </w:tcPr>
          <w:p w14:paraId="300DE421" w14:textId="77777777" w:rsidR="00000000" w:rsidRDefault="00C01C43">
            <w:pPr>
              <w:rPr>
                <w:rFonts w:eastAsia="Times New Roman"/>
                <w:sz w:val="20"/>
                <w:szCs w:val="20"/>
              </w:rPr>
            </w:pPr>
          </w:p>
        </w:tc>
        <w:tc>
          <w:tcPr>
            <w:tcW w:w="50" w:type="pct"/>
            <w:vAlign w:val="center"/>
            <w:hideMark/>
          </w:tcPr>
          <w:p w14:paraId="1FF590D8" w14:textId="77777777" w:rsidR="00000000" w:rsidRDefault="00C01C43">
            <w:pPr>
              <w:rPr>
                <w:rFonts w:eastAsia="Times New Roman"/>
                <w:sz w:val="20"/>
                <w:szCs w:val="20"/>
              </w:rPr>
            </w:pPr>
          </w:p>
        </w:tc>
        <w:tc>
          <w:tcPr>
            <w:tcW w:w="480" w:type="pct"/>
            <w:vAlign w:val="center"/>
            <w:hideMark/>
          </w:tcPr>
          <w:p w14:paraId="2AC2738E" w14:textId="77777777" w:rsidR="00000000" w:rsidRDefault="00C01C43">
            <w:pPr>
              <w:rPr>
                <w:rFonts w:eastAsia="Times New Roman"/>
                <w:sz w:val="20"/>
                <w:szCs w:val="20"/>
              </w:rPr>
            </w:pPr>
          </w:p>
        </w:tc>
        <w:tc>
          <w:tcPr>
            <w:tcW w:w="5" w:type="pct"/>
            <w:vAlign w:val="center"/>
            <w:hideMark/>
          </w:tcPr>
          <w:p w14:paraId="00D7D433" w14:textId="77777777" w:rsidR="00000000" w:rsidRDefault="00C01C43">
            <w:pPr>
              <w:rPr>
                <w:rFonts w:eastAsia="Times New Roman"/>
                <w:sz w:val="20"/>
                <w:szCs w:val="20"/>
              </w:rPr>
            </w:pPr>
          </w:p>
        </w:tc>
      </w:tr>
      <w:tr w:rsidR="00000000" w14:paraId="46C50E22" w14:textId="77777777">
        <w:trPr>
          <w:divId w:val="1336423157"/>
        </w:trPr>
        <w:tc>
          <w:tcPr>
            <w:tcW w:w="0" w:type="auto"/>
            <w:gridSpan w:val="3"/>
            <w:tcMar>
              <w:top w:w="0" w:type="dxa"/>
              <w:left w:w="20" w:type="dxa"/>
              <w:bottom w:w="0" w:type="dxa"/>
              <w:right w:w="20" w:type="dxa"/>
            </w:tcMar>
            <w:vAlign w:val="center"/>
            <w:hideMark/>
          </w:tcPr>
          <w:p w14:paraId="2201D4FB"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3B546299"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2F575103"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43CBBA3B"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79B4309D"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10B9E64F" w14:textId="77777777" w:rsidR="00000000" w:rsidRDefault="00C01C43">
            <w:pPr>
              <w:jc w:val="center"/>
              <w:rPr>
                <w:rFonts w:eastAsia="Times New Roman"/>
              </w:rPr>
            </w:pPr>
            <w:r>
              <w:rPr>
                <w:rFonts w:ascii="Arial" w:eastAsia="Times New Roman" w:hAnsi="Arial" w:cs="Arial"/>
                <w:b/>
                <w:bCs/>
                <w:color w:val="000000"/>
                <w:sz w:val="16"/>
                <w:szCs w:val="16"/>
              </w:rPr>
              <w:t>$ Change</w:t>
            </w:r>
          </w:p>
        </w:tc>
      </w:tr>
      <w:tr w:rsidR="00000000" w14:paraId="19B7D83C" w14:textId="77777777">
        <w:trPr>
          <w:divId w:val="133642315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0BC195A" w14:textId="77777777" w:rsidR="00000000" w:rsidRDefault="00C01C43">
            <w:pPr>
              <w:rPr>
                <w:rFonts w:eastAsia="Times New Roman"/>
              </w:rPr>
            </w:pPr>
            <w:r>
              <w:rPr>
                <w:rFonts w:ascii="Arial" w:eastAsia="Times New Roman" w:hAnsi="Arial" w:cs="Arial"/>
                <w:color w:val="000000"/>
                <w:sz w:val="20"/>
                <w:szCs w:val="20"/>
              </w:rPr>
              <w:t>Compensation and employee benefits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2553D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0EE150" w14:textId="77777777" w:rsidR="00000000" w:rsidRDefault="00C01C43">
            <w:pPr>
              <w:jc w:val="right"/>
              <w:rPr>
                <w:rFonts w:eastAsia="Times New Roman"/>
              </w:rPr>
            </w:pPr>
            <w:r>
              <w:rPr>
                <w:rFonts w:ascii="Arial" w:eastAsia="Times New Roman" w:hAnsi="Arial" w:cs="Arial"/>
                <w:color w:val="000000"/>
                <w:sz w:val="20"/>
                <w:szCs w:val="20"/>
              </w:rPr>
              <w:t>366.9 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E66AFE"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A35D35"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3B76F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4F00B2" w14:textId="77777777" w:rsidR="00000000" w:rsidRDefault="00C01C43">
            <w:pPr>
              <w:jc w:val="right"/>
              <w:rPr>
                <w:rFonts w:eastAsia="Times New Roman"/>
              </w:rPr>
            </w:pPr>
            <w:r>
              <w:rPr>
                <w:rFonts w:ascii="Arial" w:eastAsia="Times New Roman" w:hAnsi="Arial" w:cs="Arial"/>
                <w:color w:val="000000"/>
                <w:sz w:val="20"/>
                <w:szCs w:val="20"/>
              </w:rPr>
              <w:t>470.4 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DAA441"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DC0132"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269BC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32049D" w14:textId="77777777" w:rsidR="00000000" w:rsidRDefault="00C01C43">
            <w:pPr>
              <w:jc w:val="right"/>
              <w:rPr>
                <w:rFonts w:eastAsia="Times New Roman"/>
              </w:rPr>
            </w:pPr>
            <w:r>
              <w:rPr>
                <w:rFonts w:ascii="Arial" w:eastAsia="Times New Roman" w:hAnsi="Arial" w:cs="Arial"/>
                <w:color w:val="000000"/>
                <w:sz w:val="20"/>
                <w:szCs w:val="20"/>
              </w:rPr>
              <w:t>(103.4)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E80296" w14:textId="77777777" w:rsidR="00000000" w:rsidRDefault="00C01C43">
            <w:pPr>
              <w:jc w:val="right"/>
              <w:rPr>
                <w:rFonts w:eastAsia="Times New Roman"/>
              </w:rPr>
            </w:pPr>
          </w:p>
        </w:tc>
      </w:tr>
      <w:tr w:rsidR="00000000" w14:paraId="1363089C" w14:textId="77777777">
        <w:trPr>
          <w:divId w:val="1336423157"/>
        </w:trPr>
        <w:tc>
          <w:tcPr>
            <w:tcW w:w="0" w:type="auto"/>
            <w:gridSpan w:val="3"/>
            <w:shd w:val="clear" w:color="auto" w:fill="FFFFFF"/>
            <w:tcMar>
              <w:top w:w="30" w:type="dxa"/>
              <w:left w:w="20" w:type="dxa"/>
              <w:bottom w:w="30" w:type="dxa"/>
              <w:right w:w="20" w:type="dxa"/>
            </w:tcMar>
            <w:vAlign w:val="bottom"/>
            <w:hideMark/>
          </w:tcPr>
          <w:p w14:paraId="3CEF41ED" w14:textId="77777777" w:rsidR="00000000" w:rsidRDefault="00C01C43">
            <w:pPr>
              <w:rPr>
                <w:rFonts w:eastAsia="Times New Roman"/>
              </w:rPr>
            </w:pPr>
            <w:r>
              <w:rPr>
                <w:rFonts w:ascii="Arial" w:eastAsia="Times New Roman" w:hAnsi="Arial" w:cs="Arial"/>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14:paraId="41C1008E" w14:textId="77777777" w:rsidR="00000000" w:rsidRDefault="00C01C43">
            <w:pPr>
              <w:jc w:val="right"/>
              <w:rPr>
                <w:rFonts w:eastAsia="Times New Roman"/>
              </w:rPr>
            </w:pPr>
            <w:r>
              <w:rPr>
                <w:rFonts w:ascii="Arial" w:eastAsia="Times New Roman" w:hAnsi="Arial" w:cs="Arial"/>
                <w:color w:val="000000"/>
                <w:sz w:val="20"/>
                <w:szCs w:val="20"/>
              </w:rPr>
              <w:t>311.1 </w:t>
            </w:r>
          </w:p>
        </w:tc>
        <w:tc>
          <w:tcPr>
            <w:tcW w:w="0" w:type="auto"/>
            <w:shd w:val="clear" w:color="auto" w:fill="FFFFFF"/>
            <w:tcMar>
              <w:top w:w="30" w:type="dxa"/>
              <w:left w:w="0" w:type="dxa"/>
              <w:bottom w:w="30" w:type="dxa"/>
              <w:right w:w="20" w:type="dxa"/>
            </w:tcMar>
            <w:vAlign w:val="bottom"/>
            <w:hideMark/>
          </w:tcPr>
          <w:p w14:paraId="243F312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4DC91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29217E" w14:textId="77777777" w:rsidR="00000000" w:rsidRDefault="00C01C43">
            <w:pPr>
              <w:jc w:val="right"/>
              <w:rPr>
                <w:rFonts w:eastAsia="Times New Roman"/>
              </w:rPr>
            </w:pPr>
            <w:r>
              <w:rPr>
                <w:rFonts w:ascii="Arial" w:eastAsia="Times New Roman" w:hAnsi="Arial" w:cs="Arial"/>
                <w:color w:val="000000"/>
                <w:sz w:val="20"/>
                <w:szCs w:val="20"/>
              </w:rPr>
              <w:t>322.2 </w:t>
            </w:r>
          </w:p>
        </w:tc>
        <w:tc>
          <w:tcPr>
            <w:tcW w:w="0" w:type="auto"/>
            <w:shd w:val="clear" w:color="auto" w:fill="FFFFFF"/>
            <w:tcMar>
              <w:top w:w="30" w:type="dxa"/>
              <w:left w:w="0" w:type="dxa"/>
              <w:bottom w:w="30" w:type="dxa"/>
              <w:right w:w="20" w:type="dxa"/>
            </w:tcMar>
            <w:vAlign w:val="bottom"/>
            <w:hideMark/>
          </w:tcPr>
          <w:p w14:paraId="3AF6D55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21F5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589503" w14:textId="77777777" w:rsidR="00000000" w:rsidRDefault="00C01C43">
            <w:pPr>
              <w:jc w:val="right"/>
              <w:rPr>
                <w:rFonts w:eastAsia="Times New Roman"/>
              </w:rPr>
            </w:pPr>
            <w:r>
              <w:rPr>
                <w:rFonts w:ascii="Arial" w:eastAsia="Times New Roman" w:hAnsi="Arial" w:cs="Arial"/>
                <w:color w:val="000000"/>
                <w:sz w:val="20"/>
                <w:szCs w:val="20"/>
              </w:rPr>
              <w:t>(11.1)</w:t>
            </w:r>
          </w:p>
        </w:tc>
        <w:tc>
          <w:tcPr>
            <w:tcW w:w="0" w:type="auto"/>
            <w:shd w:val="clear" w:color="auto" w:fill="FFFFFF"/>
            <w:tcMar>
              <w:top w:w="30" w:type="dxa"/>
              <w:left w:w="0" w:type="dxa"/>
              <w:bottom w:w="30" w:type="dxa"/>
              <w:right w:w="20" w:type="dxa"/>
            </w:tcMar>
            <w:vAlign w:val="bottom"/>
            <w:hideMark/>
          </w:tcPr>
          <w:p w14:paraId="0E59501C" w14:textId="77777777" w:rsidR="00000000" w:rsidRDefault="00C01C43">
            <w:pPr>
              <w:jc w:val="right"/>
              <w:rPr>
                <w:rFonts w:eastAsia="Times New Roman"/>
              </w:rPr>
            </w:pPr>
          </w:p>
        </w:tc>
      </w:tr>
      <w:tr w:rsidR="00000000" w14:paraId="05280CC7" w14:textId="77777777">
        <w:trPr>
          <w:divId w:val="1336423157"/>
        </w:trPr>
        <w:tc>
          <w:tcPr>
            <w:tcW w:w="0" w:type="auto"/>
            <w:gridSpan w:val="3"/>
            <w:shd w:val="clear" w:color="auto" w:fill="CCEEFF"/>
            <w:tcMar>
              <w:top w:w="30" w:type="dxa"/>
              <w:left w:w="20" w:type="dxa"/>
              <w:bottom w:w="30" w:type="dxa"/>
              <w:right w:w="20" w:type="dxa"/>
            </w:tcMar>
            <w:vAlign w:val="bottom"/>
            <w:hideMark/>
          </w:tcPr>
          <w:p w14:paraId="594DF242" w14:textId="77777777" w:rsidR="00000000" w:rsidRDefault="00C01C43">
            <w:pPr>
              <w:rPr>
                <w:rFonts w:eastAsia="Times New Roman"/>
              </w:rPr>
            </w:pPr>
            <w:r>
              <w:rPr>
                <w:rFonts w:ascii="Arial" w:eastAsia="Times New Roman" w:hAnsi="Arial" w:cs="Arial"/>
                <w:color w:val="000000"/>
                <w:sz w:val="20"/>
                <w:szCs w:val="20"/>
              </w:rPr>
              <w:t>Asset impairments</w:t>
            </w:r>
          </w:p>
        </w:tc>
        <w:tc>
          <w:tcPr>
            <w:tcW w:w="0" w:type="auto"/>
            <w:gridSpan w:val="2"/>
            <w:shd w:val="clear" w:color="auto" w:fill="CCEEFF"/>
            <w:tcMar>
              <w:top w:w="30" w:type="dxa"/>
              <w:left w:w="20" w:type="dxa"/>
              <w:bottom w:w="30" w:type="dxa"/>
              <w:right w:w="0" w:type="dxa"/>
            </w:tcMar>
            <w:vAlign w:val="bottom"/>
            <w:hideMark/>
          </w:tcPr>
          <w:p w14:paraId="1E53A08D" w14:textId="77777777" w:rsidR="00000000" w:rsidRDefault="00C01C43">
            <w:pPr>
              <w:jc w:val="right"/>
              <w:rPr>
                <w:rFonts w:eastAsia="Times New Roman"/>
              </w:rPr>
            </w:pPr>
            <w:r>
              <w:rPr>
                <w:rFonts w:ascii="Arial" w:eastAsia="Times New Roman" w:hAnsi="Arial" w:cs="Arial"/>
                <w:color w:val="000000"/>
                <w:sz w:val="20"/>
                <w:szCs w:val="20"/>
              </w:rPr>
              <w:t>25.6 </w:t>
            </w:r>
          </w:p>
        </w:tc>
        <w:tc>
          <w:tcPr>
            <w:tcW w:w="0" w:type="auto"/>
            <w:shd w:val="clear" w:color="auto" w:fill="CCEEFF"/>
            <w:tcMar>
              <w:top w:w="30" w:type="dxa"/>
              <w:left w:w="0" w:type="dxa"/>
              <w:bottom w:w="30" w:type="dxa"/>
              <w:right w:w="20" w:type="dxa"/>
            </w:tcMar>
            <w:vAlign w:val="bottom"/>
            <w:hideMark/>
          </w:tcPr>
          <w:p w14:paraId="0942FB2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97D9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436704"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2D3CC8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5A739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106CAD" w14:textId="77777777" w:rsidR="00000000" w:rsidRDefault="00C01C43">
            <w:pPr>
              <w:jc w:val="right"/>
              <w:rPr>
                <w:rFonts w:eastAsia="Times New Roman"/>
              </w:rPr>
            </w:pPr>
            <w:r>
              <w:rPr>
                <w:rFonts w:ascii="Arial" w:eastAsia="Times New Roman" w:hAnsi="Arial" w:cs="Arial"/>
                <w:color w:val="000000"/>
                <w:sz w:val="20"/>
                <w:szCs w:val="20"/>
              </w:rPr>
              <w:t>25.6 </w:t>
            </w:r>
          </w:p>
        </w:tc>
        <w:tc>
          <w:tcPr>
            <w:tcW w:w="0" w:type="auto"/>
            <w:shd w:val="clear" w:color="auto" w:fill="CCEEFF"/>
            <w:tcMar>
              <w:top w:w="30" w:type="dxa"/>
              <w:left w:w="0" w:type="dxa"/>
              <w:bottom w:w="30" w:type="dxa"/>
              <w:right w:w="20" w:type="dxa"/>
            </w:tcMar>
            <w:vAlign w:val="bottom"/>
            <w:hideMark/>
          </w:tcPr>
          <w:p w14:paraId="18260204" w14:textId="77777777" w:rsidR="00000000" w:rsidRDefault="00C01C43">
            <w:pPr>
              <w:jc w:val="right"/>
              <w:rPr>
                <w:rFonts w:eastAsia="Times New Roman"/>
              </w:rPr>
            </w:pPr>
          </w:p>
        </w:tc>
      </w:tr>
      <w:tr w:rsidR="00000000" w14:paraId="62ED41BF" w14:textId="77777777">
        <w:trPr>
          <w:divId w:val="1336423157"/>
        </w:trPr>
        <w:tc>
          <w:tcPr>
            <w:tcW w:w="0" w:type="auto"/>
            <w:gridSpan w:val="3"/>
            <w:shd w:val="clear" w:color="auto" w:fill="FFFFFF"/>
            <w:tcMar>
              <w:top w:w="30" w:type="dxa"/>
              <w:left w:w="20" w:type="dxa"/>
              <w:bottom w:w="30" w:type="dxa"/>
              <w:right w:w="20" w:type="dxa"/>
            </w:tcMar>
            <w:vAlign w:val="bottom"/>
            <w:hideMark/>
          </w:tcPr>
          <w:p w14:paraId="6C7EE00B" w14:textId="77777777" w:rsidR="00000000" w:rsidRDefault="00C01C43">
            <w:pPr>
              <w:rPr>
                <w:rFonts w:eastAsia="Times New Roman"/>
              </w:rPr>
            </w:pPr>
            <w:r>
              <w:rPr>
                <w:rFonts w:ascii="Arial" w:eastAsia="Times New Roman" w:hAnsi="Arial" w:cs="Arial"/>
                <w:color w:val="000000"/>
                <w:sz w:val="20"/>
                <w:szCs w:val="20"/>
              </w:rPr>
              <w:t>Restructuring charges</w:t>
            </w:r>
          </w:p>
        </w:tc>
        <w:tc>
          <w:tcPr>
            <w:tcW w:w="0" w:type="auto"/>
            <w:gridSpan w:val="2"/>
            <w:shd w:val="clear" w:color="auto" w:fill="FFFFFF"/>
            <w:tcMar>
              <w:top w:w="30" w:type="dxa"/>
              <w:left w:w="20" w:type="dxa"/>
              <w:bottom w:w="30" w:type="dxa"/>
              <w:right w:w="0" w:type="dxa"/>
            </w:tcMar>
            <w:vAlign w:val="bottom"/>
            <w:hideMark/>
          </w:tcPr>
          <w:p w14:paraId="5A65F736" w14:textId="77777777" w:rsidR="00000000" w:rsidRDefault="00C01C43">
            <w:pPr>
              <w:jc w:val="right"/>
              <w:rPr>
                <w:rFonts w:eastAsia="Times New Roman"/>
              </w:rPr>
            </w:pPr>
            <w:r>
              <w:rPr>
                <w:rFonts w:ascii="Arial" w:eastAsia="Times New Roman" w:hAnsi="Arial" w:cs="Arial"/>
                <w:color w:val="000000"/>
                <w:sz w:val="20"/>
                <w:szCs w:val="20"/>
              </w:rPr>
              <w:t>10.3 </w:t>
            </w:r>
          </w:p>
        </w:tc>
        <w:tc>
          <w:tcPr>
            <w:tcW w:w="0" w:type="auto"/>
            <w:shd w:val="clear" w:color="auto" w:fill="FFFFFF"/>
            <w:tcMar>
              <w:top w:w="30" w:type="dxa"/>
              <w:left w:w="0" w:type="dxa"/>
              <w:bottom w:w="30" w:type="dxa"/>
              <w:right w:w="20" w:type="dxa"/>
            </w:tcMar>
            <w:vAlign w:val="bottom"/>
            <w:hideMark/>
          </w:tcPr>
          <w:p w14:paraId="14C9BE2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9037A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B3F3EF" w14:textId="77777777" w:rsidR="00000000" w:rsidRDefault="00C01C43">
            <w:pPr>
              <w:jc w:val="right"/>
              <w:rPr>
                <w:rFonts w:eastAsia="Times New Roman"/>
              </w:rPr>
            </w:pPr>
            <w:r>
              <w:rPr>
                <w:rFonts w:ascii="Arial" w:eastAsia="Times New Roman" w:hAnsi="Arial" w:cs="Arial"/>
                <w:color w:val="000000"/>
                <w:sz w:val="20"/>
                <w:szCs w:val="20"/>
              </w:rPr>
              <w:t>19.7 </w:t>
            </w:r>
          </w:p>
        </w:tc>
        <w:tc>
          <w:tcPr>
            <w:tcW w:w="0" w:type="auto"/>
            <w:shd w:val="clear" w:color="auto" w:fill="FFFFFF"/>
            <w:tcMar>
              <w:top w:w="30" w:type="dxa"/>
              <w:left w:w="0" w:type="dxa"/>
              <w:bottom w:w="30" w:type="dxa"/>
              <w:right w:w="20" w:type="dxa"/>
            </w:tcMar>
            <w:vAlign w:val="bottom"/>
            <w:hideMark/>
          </w:tcPr>
          <w:p w14:paraId="77A1F1B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C3B84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823750" w14:textId="77777777" w:rsidR="00000000" w:rsidRDefault="00C01C43">
            <w:pPr>
              <w:jc w:val="right"/>
              <w:rPr>
                <w:rFonts w:eastAsia="Times New Roman"/>
              </w:rPr>
            </w:pPr>
            <w:r>
              <w:rPr>
                <w:rFonts w:ascii="Arial" w:eastAsia="Times New Roman" w:hAnsi="Arial" w:cs="Arial"/>
                <w:color w:val="000000"/>
                <w:sz w:val="20"/>
                <w:szCs w:val="20"/>
              </w:rPr>
              <w:t>(9.4)</w:t>
            </w:r>
          </w:p>
        </w:tc>
        <w:tc>
          <w:tcPr>
            <w:tcW w:w="0" w:type="auto"/>
            <w:shd w:val="clear" w:color="auto" w:fill="FFFFFF"/>
            <w:tcMar>
              <w:top w:w="30" w:type="dxa"/>
              <w:left w:w="0" w:type="dxa"/>
              <w:bottom w:w="30" w:type="dxa"/>
              <w:right w:w="20" w:type="dxa"/>
            </w:tcMar>
            <w:vAlign w:val="bottom"/>
            <w:hideMark/>
          </w:tcPr>
          <w:p w14:paraId="5B90F3FE" w14:textId="77777777" w:rsidR="00000000" w:rsidRDefault="00C01C43">
            <w:pPr>
              <w:jc w:val="right"/>
              <w:rPr>
                <w:rFonts w:eastAsia="Times New Roman"/>
              </w:rPr>
            </w:pPr>
          </w:p>
        </w:tc>
      </w:tr>
      <w:tr w:rsidR="00000000" w14:paraId="20DB6D5E" w14:textId="77777777">
        <w:trPr>
          <w:divId w:val="1336423157"/>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43001A7F" w14:textId="77777777" w:rsidR="00000000" w:rsidRDefault="00C01C43">
            <w:pPr>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05595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42662E" w14:textId="77777777" w:rsidR="00000000" w:rsidRDefault="00C01C43">
            <w:pPr>
              <w:jc w:val="right"/>
              <w:rPr>
                <w:rFonts w:eastAsia="Times New Roman"/>
              </w:rPr>
            </w:pPr>
            <w:r>
              <w:rPr>
                <w:rFonts w:ascii="Arial" w:eastAsia="Times New Roman" w:hAnsi="Arial" w:cs="Arial"/>
                <w:color w:val="000000"/>
                <w:sz w:val="20"/>
                <w:szCs w:val="20"/>
              </w:rPr>
              <w:t>714.0 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56D670"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A6D7DD3"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80DA4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437CDB" w14:textId="77777777" w:rsidR="00000000" w:rsidRDefault="00C01C43">
            <w:pPr>
              <w:jc w:val="right"/>
              <w:rPr>
                <w:rFonts w:eastAsia="Times New Roman"/>
              </w:rPr>
            </w:pPr>
            <w:r>
              <w:rPr>
                <w:rFonts w:ascii="Arial" w:eastAsia="Times New Roman" w:hAnsi="Arial" w:cs="Arial"/>
                <w:color w:val="000000"/>
                <w:sz w:val="20"/>
                <w:szCs w:val="20"/>
              </w:rPr>
              <w:t>812.3 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19E94C"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6817FFAB"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B8350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D69186" w14:textId="77777777" w:rsidR="00000000" w:rsidRDefault="00C01C43">
            <w:pPr>
              <w:jc w:val="right"/>
              <w:rPr>
                <w:rFonts w:eastAsia="Times New Roman"/>
              </w:rPr>
            </w:pPr>
            <w:r>
              <w:rPr>
                <w:rFonts w:ascii="Arial" w:eastAsia="Times New Roman" w:hAnsi="Arial" w:cs="Arial"/>
                <w:color w:val="000000"/>
                <w:sz w:val="20"/>
                <w:szCs w:val="20"/>
              </w:rPr>
              <w:t>(98.3)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99AF01" w14:textId="77777777" w:rsidR="00000000" w:rsidRDefault="00C01C43">
            <w:pPr>
              <w:jc w:val="right"/>
              <w:rPr>
                <w:rFonts w:eastAsia="Times New Roman"/>
              </w:rPr>
            </w:pPr>
          </w:p>
        </w:tc>
      </w:tr>
    </w:tbl>
    <w:p w14:paraId="1CFF64E0" w14:textId="77777777" w:rsidR="00000000" w:rsidRDefault="00C01C43">
      <w:pPr>
        <w:jc w:val="both"/>
        <w:divId w:val="114906905"/>
        <w:rPr>
          <w:rFonts w:eastAsia="Times New Roman"/>
        </w:rPr>
      </w:pPr>
      <w:r>
        <w:rPr>
          <w:rFonts w:ascii="Arial" w:eastAsia="Times New Roman" w:hAnsi="Arial" w:cs="Arial"/>
          <w:color w:val="000000"/>
          <w:sz w:val="20"/>
          <w:szCs w:val="20"/>
        </w:rPr>
        <w:t>The decrease in total operating expenses was primarily due to lower employee compensation and benefits costs, including lower incentive bonuses. Furthermore, as part of our cost-reduction initiatives, we materially reduced certain general and administrativ</w:t>
      </w:r>
      <w:r>
        <w:rPr>
          <w:rFonts w:ascii="Arial" w:eastAsia="Times New Roman" w:hAnsi="Arial" w:cs="Arial"/>
          <w:color w:val="000000"/>
          <w:sz w:val="20"/>
          <w:szCs w:val="20"/>
        </w:rPr>
        <w:t>e expenses during 2020, which were offset by a higher provision for bad debt, principally due to the effects of the pandemic on our accounts receivable. Total operating expenses were also impacted by impairment charges of $25.6 million, principally associa</w:t>
      </w:r>
      <w:r>
        <w:rPr>
          <w:rFonts w:ascii="Arial" w:eastAsia="Times New Roman" w:hAnsi="Arial" w:cs="Arial"/>
          <w:color w:val="000000"/>
          <w:sz w:val="20"/>
          <w:szCs w:val="20"/>
        </w:rPr>
        <w:t>ted with our decision to rationalize our global office footprint.</w:t>
      </w:r>
    </w:p>
    <w:p w14:paraId="0CCDA1EC" w14:textId="77777777" w:rsidR="00000000" w:rsidRDefault="00C01C43">
      <w:pPr>
        <w:jc w:val="both"/>
        <w:rPr>
          <w:rFonts w:eastAsia="Times New Roman"/>
        </w:rPr>
      </w:pPr>
    </w:p>
    <w:p w14:paraId="47C98538" w14:textId="77777777" w:rsidR="00000000" w:rsidRDefault="00C01C43">
      <w:pPr>
        <w:jc w:val="center"/>
        <w:divId w:val="234821870"/>
        <w:rPr>
          <w:rFonts w:eastAsia="Times New Roman"/>
        </w:rPr>
      </w:pPr>
      <w:r>
        <w:rPr>
          <w:rFonts w:ascii="Arial" w:eastAsia="Times New Roman" w:hAnsi="Arial" w:cs="Arial"/>
          <w:color w:val="000000"/>
          <w:sz w:val="16"/>
          <w:szCs w:val="16"/>
        </w:rPr>
        <w:t>29</w:t>
      </w:r>
    </w:p>
    <w:p w14:paraId="19088ED0" w14:textId="77777777" w:rsidR="00000000" w:rsidRDefault="00C01C43">
      <w:pPr>
        <w:rPr>
          <w:rFonts w:eastAsia="Times New Roman"/>
        </w:rPr>
      </w:pPr>
      <w:r>
        <w:rPr>
          <w:rFonts w:eastAsia="Times New Roman"/>
        </w:rPr>
        <w:pict w14:anchorId="75DF5792">
          <v:rect id="_x0000_i1058" style="width:0;height:1.5pt" o:hralign="center" o:hrstd="t" o:hr="t" fillcolor="#a0a0a0" stroked="f"/>
        </w:pict>
      </w:r>
    </w:p>
    <w:p w14:paraId="785B7064" w14:textId="77777777" w:rsidR="00000000" w:rsidRDefault="00C01C43">
      <w:pPr>
        <w:divId w:val="765081011"/>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66F39A52" w14:textId="77777777" w:rsidR="00000000" w:rsidRDefault="00C01C43">
      <w:pPr>
        <w:jc w:val="both"/>
        <w:divId w:val="305017713"/>
        <w:rPr>
          <w:rFonts w:eastAsia="Times New Roman"/>
        </w:rPr>
      </w:pPr>
      <w:r>
        <w:rPr>
          <w:rFonts w:ascii="Arial" w:eastAsia="Times New Roman" w:hAnsi="Arial" w:cs="Arial"/>
          <w:i/>
          <w:iCs/>
          <w:color w:val="000000"/>
          <w:sz w:val="20"/>
          <w:szCs w:val="20"/>
        </w:rPr>
        <w:t>Income (loss) from Operations.</w:t>
      </w:r>
      <w:r>
        <w:rPr>
          <w:rFonts w:ascii="Arial" w:eastAsia="Times New Roman" w:hAnsi="Arial" w:cs="Arial"/>
          <w:color w:val="000000"/>
          <w:sz w:val="20"/>
          <w:szCs w:val="20"/>
        </w:rPr>
        <w:t xml:space="preserve"> Our income from operations for 2020 was $</w:t>
      </w:r>
      <w:r>
        <w:rPr>
          <w:rFonts w:ascii="Arial" w:eastAsia="Times New Roman" w:hAnsi="Arial" w:cs="Arial"/>
          <w:color w:val="000000"/>
          <w:sz w:val="20"/>
          <w:szCs w:val="20"/>
        </w:rPr>
        <w:t>137.9 million, a decrease of $161.8 million, or 54%, compared to 2019. Income from operations during these periods was attributable to the following segments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5545"/>
        <w:gridCol w:w="37"/>
        <w:gridCol w:w="132"/>
        <w:gridCol w:w="681"/>
        <w:gridCol w:w="36"/>
        <w:gridCol w:w="36"/>
        <w:gridCol w:w="36"/>
        <w:gridCol w:w="36"/>
        <w:gridCol w:w="132"/>
        <w:gridCol w:w="587"/>
        <w:gridCol w:w="36"/>
        <w:gridCol w:w="36"/>
        <w:gridCol w:w="36"/>
        <w:gridCol w:w="36"/>
        <w:gridCol w:w="132"/>
        <w:gridCol w:w="673"/>
        <w:gridCol w:w="36"/>
      </w:tblGrid>
      <w:tr w:rsidR="00000000" w14:paraId="0064A318" w14:textId="77777777">
        <w:trPr>
          <w:divId w:val="998078623"/>
        </w:trPr>
        <w:tc>
          <w:tcPr>
            <w:tcW w:w="50" w:type="pct"/>
            <w:vAlign w:val="center"/>
            <w:hideMark/>
          </w:tcPr>
          <w:p w14:paraId="2A742E82" w14:textId="77777777" w:rsidR="00000000" w:rsidRDefault="00C01C43">
            <w:pPr>
              <w:jc w:val="both"/>
              <w:rPr>
                <w:rFonts w:eastAsia="Times New Roman"/>
              </w:rPr>
            </w:pPr>
          </w:p>
        </w:tc>
        <w:tc>
          <w:tcPr>
            <w:tcW w:w="3383" w:type="pct"/>
            <w:vAlign w:val="center"/>
            <w:hideMark/>
          </w:tcPr>
          <w:p w14:paraId="4628E839" w14:textId="77777777" w:rsidR="00000000" w:rsidRDefault="00C01C43">
            <w:pPr>
              <w:rPr>
                <w:rFonts w:eastAsia="Times New Roman"/>
                <w:sz w:val="20"/>
                <w:szCs w:val="20"/>
              </w:rPr>
            </w:pPr>
          </w:p>
        </w:tc>
        <w:tc>
          <w:tcPr>
            <w:tcW w:w="5" w:type="pct"/>
            <w:vAlign w:val="center"/>
            <w:hideMark/>
          </w:tcPr>
          <w:p w14:paraId="2A61B8FC" w14:textId="77777777" w:rsidR="00000000" w:rsidRDefault="00C01C43">
            <w:pPr>
              <w:rPr>
                <w:rFonts w:eastAsia="Times New Roman"/>
                <w:sz w:val="20"/>
                <w:szCs w:val="20"/>
              </w:rPr>
            </w:pPr>
          </w:p>
        </w:tc>
        <w:tc>
          <w:tcPr>
            <w:tcW w:w="50" w:type="pct"/>
            <w:vAlign w:val="center"/>
            <w:hideMark/>
          </w:tcPr>
          <w:p w14:paraId="02027311" w14:textId="77777777" w:rsidR="00000000" w:rsidRDefault="00C01C43">
            <w:pPr>
              <w:rPr>
                <w:rFonts w:eastAsia="Times New Roman"/>
                <w:sz w:val="20"/>
                <w:szCs w:val="20"/>
              </w:rPr>
            </w:pPr>
          </w:p>
        </w:tc>
        <w:tc>
          <w:tcPr>
            <w:tcW w:w="443" w:type="pct"/>
            <w:vAlign w:val="center"/>
            <w:hideMark/>
          </w:tcPr>
          <w:p w14:paraId="33050CA6" w14:textId="77777777" w:rsidR="00000000" w:rsidRDefault="00C01C43">
            <w:pPr>
              <w:rPr>
                <w:rFonts w:eastAsia="Times New Roman"/>
                <w:sz w:val="20"/>
                <w:szCs w:val="20"/>
              </w:rPr>
            </w:pPr>
          </w:p>
        </w:tc>
        <w:tc>
          <w:tcPr>
            <w:tcW w:w="5" w:type="pct"/>
            <w:vAlign w:val="center"/>
            <w:hideMark/>
          </w:tcPr>
          <w:p w14:paraId="63C2FBFF" w14:textId="77777777" w:rsidR="00000000" w:rsidRDefault="00C01C43">
            <w:pPr>
              <w:rPr>
                <w:rFonts w:eastAsia="Times New Roman"/>
                <w:sz w:val="20"/>
                <w:szCs w:val="20"/>
              </w:rPr>
            </w:pPr>
          </w:p>
        </w:tc>
        <w:tc>
          <w:tcPr>
            <w:tcW w:w="5" w:type="pct"/>
            <w:vAlign w:val="center"/>
            <w:hideMark/>
          </w:tcPr>
          <w:p w14:paraId="4A4A3F40" w14:textId="77777777" w:rsidR="00000000" w:rsidRDefault="00C01C43">
            <w:pPr>
              <w:rPr>
                <w:rFonts w:eastAsia="Times New Roman"/>
                <w:sz w:val="20"/>
                <w:szCs w:val="20"/>
              </w:rPr>
            </w:pPr>
          </w:p>
        </w:tc>
        <w:tc>
          <w:tcPr>
            <w:tcW w:w="26" w:type="pct"/>
            <w:vAlign w:val="center"/>
            <w:hideMark/>
          </w:tcPr>
          <w:p w14:paraId="1D695D62" w14:textId="77777777" w:rsidR="00000000" w:rsidRDefault="00C01C43">
            <w:pPr>
              <w:rPr>
                <w:rFonts w:eastAsia="Times New Roman"/>
                <w:sz w:val="20"/>
                <w:szCs w:val="20"/>
              </w:rPr>
            </w:pPr>
          </w:p>
        </w:tc>
        <w:tc>
          <w:tcPr>
            <w:tcW w:w="5" w:type="pct"/>
            <w:vAlign w:val="center"/>
            <w:hideMark/>
          </w:tcPr>
          <w:p w14:paraId="6E3037FD" w14:textId="77777777" w:rsidR="00000000" w:rsidRDefault="00C01C43">
            <w:pPr>
              <w:rPr>
                <w:rFonts w:eastAsia="Times New Roman"/>
                <w:sz w:val="20"/>
                <w:szCs w:val="20"/>
              </w:rPr>
            </w:pPr>
          </w:p>
        </w:tc>
        <w:tc>
          <w:tcPr>
            <w:tcW w:w="50" w:type="pct"/>
            <w:vAlign w:val="center"/>
            <w:hideMark/>
          </w:tcPr>
          <w:p w14:paraId="4AE0D860" w14:textId="77777777" w:rsidR="00000000" w:rsidRDefault="00C01C43">
            <w:pPr>
              <w:rPr>
                <w:rFonts w:eastAsia="Times New Roman"/>
                <w:sz w:val="20"/>
                <w:szCs w:val="20"/>
              </w:rPr>
            </w:pPr>
          </w:p>
        </w:tc>
        <w:tc>
          <w:tcPr>
            <w:tcW w:w="414" w:type="pct"/>
            <w:vAlign w:val="center"/>
            <w:hideMark/>
          </w:tcPr>
          <w:p w14:paraId="2ED9B145" w14:textId="77777777" w:rsidR="00000000" w:rsidRDefault="00C01C43">
            <w:pPr>
              <w:rPr>
                <w:rFonts w:eastAsia="Times New Roman"/>
                <w:sz w:val="20"/>
                <w:szCs w:val="20"/>
              </w:rPr>
            </w:pPr>
          </w:p>
        </w:tc>
        <w:tc>
          <w:tcPr>
            <w:tcW w:w="5" w:type="pct"/>
            <w:vAlign w:val="center"/>
            <w:hideMark/>
          </w:tcPr>
          <w:p w14:paraId="70726819" w14:textId="77777777" w:rsidR="00000000" w:rsidRDefault="00C01C43">
            <w:pPr>
              <w:rPr>
                <w:rFonts w:eastAsia="Times New Roman"/>
                <w:sz w:val="20"/>
                <w:szCs w:val="20"/>
              </w:rPr>
            </w:pPr>
          </w:p>
        </w:tc>
        <w:tc>
          <w:tcPr>
            <w:tcW w:w="5" w:type="pct"/>
            <w:vAlign w:val="center"/>
            <w:hideMark/>
          </w:tcPr>
          <w:p w14:paraId="70108496" w14:textId="77777777" w:rsidR="00000000" w:rsidRDefault="00C01C43">
            <w:pPr>
              <w:rPr>
                <w:rFonts w:eastAsia="Times New Roman"/>
                <w:sz w:val="20"/>
                <w:szCs w:val="20"/>
              </w:rPr>
            </w:pPr>
          </w:p>
        </w:tc>
        <w:tc>
          <w:tcPr>
            <w:tcW w:w="26" w:type="pct"/>
            <w:vAlign w:val="center"/>
            <w:hideMark/>
          </w:tcPr>
          <w:p w14:paraId="44BB51EC" w14:textId="77777777" w:rsidR="00000000" w:rsidRDefault="00C01C43">
            <w:pPr>
              <w:rPr>
                <w:rFonts w:eastAsia="Times New Roman"/>
                <w:sz w:val="20"/>
                <w:szCs w:val="20"/>
              </w:rPr>
            </w:pPr>
          </w:p>
        </w:tc>
        <w:tc>
          <w:tcPr>
            <w:tcW w:w="5" w:type="pct"/>
            <w:vAlign w:val="center"/>
            <w:hideMark/>
          </w:tcPr>
          <w:p w14:paraId="6142A612" w14:textId="77777777" w:rsidR="00000000" w:rsidRDefault="00C01C43">
            <w:pPr>
              <w:rPr>
                <w:rFonts w:eastAsia="Times New Roman"/>
                <w:sz w:val="20"/>
                <w:szCs w:val="20"/>
              </w:rPr>
            </w:pPr>
          </w:p>
        </w:tc>
        <w:tc>
          <w:tcPr>
            <w:tcW w:w="50" w:type="pct"/>
            <w:vAlign w:val="center"/>
            <w:hideMark/>
          </w:tcPr>
          <w:p w14:paraId="54E9EA7D" w14:textId="77777777" w:rsidR="00000000" w:rsidRDefault="00C01C43">
            <w:pPr>
              <w:rPr>
                <w:rFonts w:eastAsia="Times New Roman"/>
                <w:sz w:val="20"/>
                <w:szCs w:val="20"/>
              </w:rPr>
            </w:pPr>
          </w:p>
        </w:tc>
        <w:tc>
          <w:tcPr>
            <w:tcW w:w="465" w:type="pct"/>
            <w:vAlign w:val="center"/>
            <w:hideMark/>
          </w:tcPr>
          <w:p w14:paraId="2CD5911B" w14:textId="77777777" w:rsidR="00000000" w:rsidRDefault="00C01C43">
            <w:pPr>
              <w:rPr>
                <w:rFonts w:eastAsia="Times New Roman"/>
                <w:sz w:val="20"/>
                <w:szCs w:val="20"/>
              </w:rPr>
            </w:pPr>
          </w:p>
        </w:tc>
        <w:tc>
          <w:tcPr>
            <w:tcW w:w="5" w:type="pct"/>
            <w:vAlign w:val="center"/>
            <w:hideMark/>
          </w:tcPr>
          <w:p w14:paraId="182C8E88" w14:textId="77777777" w:rsidR="00000000" w:rsidRDefault="00C01C43">
            <w:pPr>
              <w:rPr>
                <w:rFonts w:eastAsia="Times New Roman"/>
                <w:sz w:val="20"/>
                <w:szCs w:val="20"/>
              </w:rPr>
            </w:pPr>
          </w:p>
        </w:tc>
      </w:tr>
      <w:tr w:rsidR="00000000" w14:paraId="103136DE" w14:textId="77777777">
        <w:trPr>
          <w:divId w:val="998078623"/>
        </w:trPr>
        <w:tc>
          <w:tcPr>
            <w:tcW w:w="0" w:type="auto"/>
            <w:gridSpan w:val="3"/>
            <w:tcMar>
              <w:top w:w="0" w:type="dxa"/>
              <w:left w:w="20" w:type="dxa"/>
              <w:bottom w:w="0" w:type="dxa"/>
              <w:right w:w="20" w:type="dxa"/>
            </w:tcMar>
            <w:vAlign w:val="center"/>
            <w:hideMark/>
          </w:tcPr>
          <w:p w14:paraId="2FD17F39"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130A8DB2"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16EA9B51"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41552800"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7AEC5CF7"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58B76F2F" w14:textId="77777777" w:rsidR="00000000" w:rsidRDefault="00C01C43">
            <w:pPr>
              <w:jc w:val="center"/>
              <w:rPr>
                <w:rFonts w:eastAsia="Times New Roman"/>
              </w:rPr>
            </w:pPr>
            <w:r>
              <w:rPr>
                <w:rFonts w:ascii="Arial" w:eastAsia="Times New Roman" w:hAnsi="Arial" w:cs="Arial"/>
                <w:b/>
                <w:bCs/>
                <w:color w:val="000000"/>
                <w:sz w:val="16"/>
                <w:szCs w:val="16"/>
              </w:rPr>
              <w:t>$ Change</w:t>
            </w:r>
          </w:p>
        </w:tc>
      </w:tr>
      <w:tr w:rsidR="00000000" w14:paraId="1C994681" w14:textId="77777777">
        <w:trPr>
          <w:divId w:val="99807862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129F7D" w14:textId="77777777" w:rsidR="00000000" w:rsidRDefault="00C01C43">
            <w:pPr>
              <w:rPr>
                <w:rFonts w:eastAsia="Times New Roman"/>
              </w:rPr>
            </w:pPr>
            <w:r>
              <w:rPr>
                <w:rFonts w:ascii="Arial" w:eastAsia="Times New Roman" w:hAnsi="Arial" w:cs="Arial"/>
                <w:color w:val="000000"/>
                <w:sz w:val="20"/>
                <w:szCs w:val="20"/>
              </w:rPr>
              <w:t>Aviation segment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7D6B2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83C054" w14:textId="77777777" w:rsidR="00000000" w:rsidRDefault="00C01C43">
            <w:pPr>
              <w:jc w:val="right"/>
              <w:rPr>
                <w:rFonts w:eastAsia="Times New Roman"/>
              </w:rPr>
            </w:pPr>
            <w:r>
              <w:rPr>
                <w:rFonts w:ascii="Arial" w:eastAsia="Times New Roman" w:hAnsi="Arial" w:cs="Arial"/>
                <w:color w:val="000000"/>
                <w:sz w:val="20"/>
                <w:szCs w:val="20"/>
              </w:rPr>
              <w:t>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765393"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70E805"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81FBC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A5EE92" w14:textId="77777777" w:rsidR="00000000" w:rsidRDefault="00C01C43">
            <w:pPr>
              <w:jc w:val="right"/>
              <w:rPr>
                <w:rFonts w:eastAsia="Times New Roman"/>
              </w:rPr>
            </w:pPr>
            <w:r>
              <w:rPr>
                <w:rFonts w:ascii="Arial" w:eastAsia="Times New Roman" w:hAnsi="Arial" w:cs="Arial"/>
                <w:color w:val="000000"/>
                <w:sz w:val="20"/>
                <w:szCs w:val="20"/>
              </w:rPr>
              <w:t>283.9 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BE1DA0"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833AA5"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6DBCA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EA73E2" w14:textId="77777777" w:rsidR="00000000" w:rsidRDefault="00C01C43">
            <w:pPr>
              <w:jc w:val="right"/>
              <w:rPr>
                <w:rFonts w:eastAsia="Times New Roman"/>
              </w:rPr>
            </w:pPr>
            <w:r>
              <w:rPr>
                <w:rFonts w:ascii="Arial" w:eastAsia="Times New Roman" w:hAnsi="Arial" w:cs="Arial"/>
                <w:color w:val="000000"/>
                <w:sz w:val="20"/>
                <w:szCs w:val="20"/>
              </w:rPr>
              <w:t>(199.4)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6C878E" w14:textId="77777777" w:rsidR="00000000" w:rsidRDefault="00C01C43">
            <w:pPr>
              <w:jc w:val="right"/>
              <w:rPr>
                <w:rFonts w:eastAsia="Times New Roman"/>
              </w:rPr>
            </w:pPr>
          </w:p>
        </w:tc>
      </w:tr>
      <w:tr w:rsidR="00000000" w14:paraId="1226F8D5" w14:textId="77777777">
        <w:trPr>
          <w:divId w:val="998078623"/>
        </w:trPr>
        <w:tc>
          <w:tcPr>
            <w:tcW w:w="0" w:type="auto"/>
            <w:gridSpan w:val="3"/>
            <w:shd w:val="clear" w:color="auto" w:fill="FFFFFF"/>
            <w:tcMar>
              <w:top w:w="30" w:type="dxa"/>
              <w:left w:w="20" w:type="dxa"/>
              <w:bottom w:w="30" w:type="dxa"/>
              <w:right w:w="20" w:type="dxa"/>
            </w:tcMar>
            <w:vAlign w:val="bottom"/>
            <w:hideMark/>
          </w:tcPr>
          <w:p w14:paraId="3F327644" w14:textId="77777777" w:rsidR="00000000" w:rsidRDefault="00C01C43">
            <w:pPr>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14:paraId="0DEFD969" w14:textId="77777777" w:rsidR="00000000" w:rsidRDefault="00C01C43">
            <w:pPr>
              <w:jc w:val="right"/>
              <w:rPr>
                <w:rFonts w:eastAsia="Times New Roman"/>
              </w:rPr>
            </w:pPr>
            <w:r>
              <w:rPr>
                <w:rFonts w:ascii="Arial" w:eastAsia="Times New Roman" w:hAnsi="Arial" w:cs="Arial"/>
                <w:color w:val="000000"/>
                <w:sz w:val="20"/>
                <w:szCs w:val="20"/>
              </w:rPr>
              <w:t>72.6 </w:t>
            </w:r>
          </w:p>
        </w:tc>
        <w:tc>
          <w:tcPr>
            <w:tcW w:w="0" w:type="auto"/>
            <w:shd w:val="clear" w:color="auto" w:fill="FFFFFF"/>
            <w:tcMar>
              <w:top w:w="30" w:type="dxa"/>
              <w:left w:w="0" w:type="dxa"/>
              <w:bottom w:w="30" w:type="dxa"/>
              <w:right w:w="20" w:type="dxa"/>
            </w:tcMar>
            <w:vAlign w:val="bottom"/>
            <w:hideMark/>
          </w:tcPr>
          <w:p w14:paraId="4574484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6331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E3155C" w14:textId="77777777" w:rsidR="00000000" w:rsidRDefault="00C01C43">
            <w:pPr>
              <w:jc w:val="right"/>
              <w:rPr>
                <w:rFonts w:eastAsia="Times New Roman"/>
              </w:rPr>
            </w:pPr>
            <w:r>
              <w:rPr>
                <w:rFonts w:ascii="Arial" w:eastAsia="Times New Roman" w:hAnsi="Arial" w:cs="Arial"/>
                <w:color w:val="000000"/>
                <w:sz w:val="20"/>
                <w:szCs w:val="20"/>
              </w:rPr>
              <w:t>55.0 </w:t>
            </w:r>
          </w:p>
        </w:tc>
        <w:tc>
          <w:tcPr>
            <w:tcW w:w="0" w:type="auto"/>
            <w:shd w:val="clear" w:color="auto" w:fill="FFFFFF"/>
            <w:tcMar>
              <w:top w:w="30" w:type="dxa"/>
              <w:left w:w="0" w:type="dxa"/>
              <w:bottom w:w="30" w:type="dxa"/>
              <w:right w:w="20" w:type="dxa"/>
            </w:tcMar>
            <w:vAlign w:val="bottom"/>
            <w:hideMark/>
          </w:tcPr>
          <w:p w14:paraId="2BB724A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05869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090E9E" w14:textId="77777777" w:rsidR="00000000" w:rsidRDefault="00C01C43">
            <w:pPr>
              <w:jc w:val="right"/>
              <w:rPr>
                <w:rFonts w:eastAsia="Times New Roman"/>
              </w:rPr>
            </w:pPr>
            <w:r>
              <w:rPr>
                <w:rFonts w:ascii="Arial" w:eastAsia="Times New Roman" w:hAnsi="Arial" w:cs="Arial"/>
                <w:color w:val="000000"/>
                <w:sz w:val="20"/>
                <w:szCs w:val="20"/>
              </w:rPr>
              <w:t>17.6 </w:t>
            </w:r>
          </w:p>
        </w:tc>
        <w:tc>
          <w:tcPr>
            <w:tcW w:w="0" w:type="auto"/>
            <w:shd w:val="clear" w:color="auto" w:fill="FFFFFF"/>
            <w:tcMar>
              <w:top w:w="30" w:type="dxa"/>
              <w:left w:w="0" w:type="dxa"/>
              <w:bottom w:w="30" w:type="dxa"/>
              <w:right w:w="20" w:type="dxa"/>
            </w:tcMar>
            <w:vAlign w:val="bottom"/>
            <w:hideMark/>
          </w:tcPr>
          <w:p w14:paraId="5582B357" w14:textId="77777777" w:rsidR="00000000" w:rsidRDefault="00C01C43">
            <w:pPr>
              <w:jc w:val="right"/>
              <w:rPr>
                <w:rFonts w:eastAsia="Times New Roman"/>
              </w:rPr>
            </w:pPr>
          </w:p>
        </w:tc>
      </w:tr>
      <w:tr w:rsidR="00000000" w14:paraId="226617B3" w14:textId="77777777">
        <w:trPr>
          <w:divId w:val="998078623"/>
        </w:trPr>
        <w:tc>
          <w:tcPr>
            <w:tcW w:w="0" w:type="auto"/>
            <w:gridSpan w:val="3"/>
            <w:shd w:val="clear" w:color="auto" w:fill="CCEEFF"/>
            <w:tcMar>
              <w:top w:w="30" w:type="dxa"/>
              <w:left w:w="20" w:type="dxa"/>
              <w:bottom w:w="30" w:type="dxa"/>
              <w:right w:w="20" w:type="dxa"/>
            </w:tcMar>
            <w:vAlign w:val="bottom"/>
            <w:hideMark/>
          </w:tcPr>
          <w:p w14:paraId="7C24D041" w14:textId="77777777" w:rsidR="00000000" w:rsidRDefault="00C01C43">
            <w:pPr>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14:paraId="2B563564" w14:textId="77777777" w:rsidR="00000000" w:rsidRDefault="00C01C43">
            <w:pPr>
              <w:jc w:val="right"/>
              <w:rPr>
                <w:rFonts w:eastAsia="Times New Roman"/>
              </w:rPr>
            </w:pPr>
            <w:r>
              <w:rPr>
                <w:rFonts w:ascii="Arial" w:eastAsia="Times New Roman" w:hAnsi="Arial" w:cs="Arial"/>
                <w:color w:val="000000"/>
                <w:sz w:val="20"/>
                <w:szCs w:val="20"/>
              </w:rPr>
              <w:t>58.5 </w:t>
            </w:r>
          </w:p>
        </w:tc>
        <w:tc>
          <w:tcPr>
            <w:tcW w:w="0" w:type="auto"/>
            <w:shd w:val="clear" w:color="auto" w:fill="CCEEFF"/>
            <w:tcMar>
              <w:top w:w="30" w:type="dxa"/>
              <w:left w:w="0" w:type="dxa"/>
              <w:bottom w:w="30" w:type="dxa"/>
              <w:right w:w="20" w:type="dxa"/>
            </w:tcMar>
            <w:vAlign w:val="bottom"/>
            <w:hideMark/>
          </w:tcPr>
          <w:p w14:paraId="254B06D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1FA7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035079" w14:textId="77777777" w:rsidR="00000000" w:rsidRDefault="00C01C43">
            <w:pPr>
              <w:jc w:val="right"/>
              <w:rPr>
                <w:rFonts w:eastAsia="Times New Roman"/>
              </w:rPr>
            </w:pPr>
            <w:r>
              <w:rPr>
                <w:rFonts w:ascii="Arial" w:eastAsia="Times New Roman" w:hAnsi="Arial" w:cs="Arial"/>
                <w:color w:val="000000"/>
                <w:sz w:val="20"/>
                <w:szCs w:val="20"/>
              </w:rPr>
              <w:t>67.1 </w:t>
            </w:r>
          </w:p>
        </w:tc>
        <w:tc>
          <w:tcPr>
            <w:tcW w:w="0" w:type="auto"/>
            <w:shd w:val="clear" w:color="auto" w:fill="CCEEFF"/>
            <w:tcMar>
              <w:top w:w="30" w:type="dxa"/>
              <w:left w:w="0" w:type="dxa"/>
              <w:bottom w:w="30" w:type="dxa"/>
              <w:right w:w="20" w:type="dxa"/>
            </w:tcMar>
            <w:vAlign w:val="bottom"/>
            <w:hideMark/>
          </w:tcPr>
          <w:p w14:paraId="0832FB3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DD1F5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090236" w14:textId="77777777" w:rsidR="00000000" w:rsidRDefault="00C01C43">
            <w:pPr>
              <w:jc w:val="right"/>
              <w:rPr>
                <w:rFonts w:eastAsia="Times New Roman"/>
              </w:rPr>
            </w:pPr>
            <w:r>
              <w:rPr>
                <w:rFonts w:ascii="Arial" w:eastAsia="Times New Roman" w:hAnsi="Arial" w:cs="Arial"/>
                <w:color w:val="000000"/>
                <w:sz w:val="20"/>
                <w:szCs w:val="20"/>
              </w:rPr>
              <w:t>(8.6)</w:t>
            </w:r>
          </w:p>
        </w:tc>
        <w:tc>
          <w:tcPr>
            <w:tcW w:w="0" w:type="auto"/>
            <w:shd w:val="clear" w:color="auto" w:fill="CCEEFF"/>
            <w:tcMar>
              <w:top w:w="30" w:type="dxa"/>
              <w:left w:w="0" w:type="dxa"/>
              <w:bottom w:w="30" w:type="dxa"/>
              <w:right w:w="20" w:type="dxa"/>
            </w:tcMar>
            <w:vAlign w:val="bottom"/>
            <w:hideMark/>
          </w:tcPr>
          <w:p w14:paraId="50A699C6" w14:textId="77777777" w:rsidR="00000000" w:rsidRDefault="00C01C43">
            <w:pPr>
              <w:jc w:val="right"/>
              <w:rPr>
                <w:rFonts w:eastAsia="Times New Roman"/>
              </w:rPr>
            </w:pPr>
          </w:p>
        </w:tc>
      </w:tr>
      <w:tr w:rsidR="00000000" w14:paraId="5B4CDAC1" w14:textId="77777777">
        <w:trPr>
          <w:divId w:val="998078623"/>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1A7EE8A"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770D08" w14:textId="77777777" w:rsidR="00000000" w:rsidRDefault="00C01C43">
            <w:pPr>
              <w:jc w:val="right"/>
              <w:rPr>
                <w:rFonts w:eastAsia="Times New Roman"/>
              </w:rPr>
            </w:pPr>
            <w:r>
              <w:rPr>
                <w:rFonts w:ascii="Arial" w:eastAsia="Times New Roman" w:hAnsi="Arial" w:cs="Arial"/>
                <w:color w:val="000000"/>
                <w:sz w:val="20"/>
                <w:szCs w:val="20"/>
              </w:rPr>
              <w:t>215.6 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3BD123"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D2EE66"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10B238" w14:textId="77777777" w:rsidR="00000000" w:rsidRDefault="00C01C43">
            <w:pPr>
              <w:jc w:val="right"/>
              <w:rPr>
                <w:rFonts w:eastAsia="Times New Roman"/>
              </w:rPr>
            </w:pPr>
            <w:r>
              <w:rPr>
                <w:rFonts w:ascii="Arial" w:eastAsia="Times New Roman" w:hAnsi="Arial" w:cs="Arial"/>
                <w:color w:val="000000"/>
                <w:sz w:val="20"/>
                <w:szCs w:val="20"/>
              </w:rPr>
              <w:t>406.1 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91EF3A"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8935898"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BA6E7F" w14:textId="77777777" w:rsidR="00000000" w:rsidRDefault="00C01C43">
            <w:pPr>
              <w:jc w:val="right"/>
              <w:rPr>
                <w:rFonts w:eastAsia="Times New Roman"/>
              </w:rPr>
            </w:pPr>
            <w:r>
              <w:rPr>
                <w:rFonts w:ascii="Arial" w:eastAsia="Times New Roman" w:hAnsi="Arial" w:cs="Arial"/>
                <w:color w:val="000000"/>
                <w:sz w:val="20"/>
                <w:szCs w:val="20"/>
              </w:rPr>
              <w:t>(190.4)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2DEF93" w14:textId="77777777" w:rsidR="00000000" w:rsidRDefault="00C01C43">
            <w:pPr>
              <w:jc w:val="right"/>
              <w:rPr>
                <w:rFonts w:eastAsia="Times New Roman"/>
              </w:rPr>
            </w:pPr>
          </w:p>
        </w:tc>
      </w:tr>
      <w:tr w:rsidR="00000000" w14:paraId="4DF493F9" w14:textId="77777777">
        <w:trPr>
          <w:divId w:val="998078623"/>
        </w:trPr>
        <w:tc>
          <w:tcPr>
            <w:tcW w:w="0" w:type="auto"/>
            <w:gridSpan w:val="3"/>
            <w:shd w:val="clear" w:color="auto" w:fill="CCEEFF"/>
            <w:tcMar>
              <w:top w:w="30" w:type="dxa"/>
              <w:left w:w="20" w:type="dxa"/>
              <w:bottom w:w="30" w:type="dxa"/>
              <w:right w:w="20" w:type="dxa"/>
            </w:tcMar>
            <w:vAlign w:val="bottom"/>
            <w:hideMark/>
          </w:tcPr>
          <w:p w14:paraId="2E70FDCC" w14:textId="77777777" w:rsidR="00000000" w:rsidRDefault="00C01C43">
            <w:pPr>
              <w:rPr>
                <w:rFonts w:eastAsia="Times New Roman"/>
              </w:rPr>
            </w:pPr>
            <w:r>
              <w:rPr>
                <w:rFonts w:ascii="Arial" w:eastAsia="Times New Roman" w:hAnsi="Arial" w:cs="Arial"/>
                <w:color w:val="000000"/>
                <w:sz w:val="20"/>
                <w:szCs w:val="20"/>
              </w:rPr>
              <w:t>Corporate overhead - unallocated</w:t>
            </w:r>
          </w:p>
        </w:tc>
        <w:tc>
          <w:tcPr>
            <w:tcW w:w="0" w:type="auto"/>
            <w:gridSpan w:val="2"/>
            <w:shd w:val="clear" w:color="auto" w:fill="CCEEFF"/>
            <w:tcMar>
              <w:top w:w="30" w:type="dxa"/>
              <w:left w:w="20" w:type="dxa"/>
              <w:bottom w:w="30" w:type="dxa"/>
              <w:right w:w="0" w:type="dxa"/>
            </w:tcMar>
            <w:vAlign w:val="bottom"/>
            <w:hideMark/>
          </w:tcPr>
          <w:p w14:paraId="3FC5533A" w14:textId="77777777" w:rsidR="00000000" w:rsidRDefault="00C01C43">
            <w:pPr>
              <w:jc w:val="right"/>
              <w:rPr>
                <w:rFonts w:eastAsia="Times New Roman"/>
              </w:rPr>
            </w:pPr>
            <w:r>
              <w:rPr>
                <w:rFonts w:ascii="Arial" w:eastAsia="Times New Roman" w:hAnsi="Arial" w:cs="Arial"/>
                <w:color w:val="000000"/>
                <w:sz w:val="20"/>
                <w:szCs w:val="20"/>
              </w:rPr>
              <w:t>(77.8)</w:t>
            </w:r>
          </w:p>
        </w:tc>
        <w:tc>
          <w:tcPr>
            <w:tcW w:w="0" w:type="auto"/>
            <w:shd w:val="clear" w:color="auto" w:fill="CCEEFF"/>
            <w:tcMar>
              <w:top w:w="30" w:type="dxa"/>
              <w:left w:w="0" w:type="dxa"/>
              <w:bottom w:w="30" w:type="dxa"/>
              <w:right w:w="20" w:type="dxa"/>
            </w:tcMar>
            <w:vAlign w:val="bottom"/>
            <w:hideMark/>
          </w:tcPr>
          <w:p w14:paraId="1016A2E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75232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D387AE" w14:textId="77777777" w:rsidR="00000000" w:rsidRDefault="00C01C43">
            <w:pPr>
              <w:jc w:val="right"/>
              <w:rPr>
                <w:rFonts w:eastAsia="Times New Roman"/>
              </w:rPr>
            </w:pPr>
            <w:r>
              <w:rPr>
                <w:rFonts w:ascii="Arial" w:eastAsia="Times New Roman" w:hAnsi="Arial" w:cs="Arial"/>
                <w:color w:val="000000"/>
                <w:sz w:val="20"/>
                <w:szCs w:val="20"/>
              </w:rPr>
              <w:t>(106.4)</w:t>
            </w:r>
          </w:p>
        </w:tc>
        <w:tc>
          <w:tcPr>
            <w:tcW w:w="0" w:type="auto"/>
            <w:shd w:val="clear" w:color="auto" w:fill="CCEEFF"/>
            <w:tcMar>
              <w:top w:w="30" w:type="dxa"/>
              <w:left w:w="0" w:type="dxa"/>
              <w:bottom w:w="30" w:type="dxa"/>
              <w:right w:w="20" w:type="dxa"/>
            </w:tcMar>
            <w:vAlign w:val="bottom"/>
            <w:hideMark/>
          </w:tcPr>
          <w:p w14:paraId="5D09149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680B1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7F806C" w14:textId="77777777" w:rsidR="00000000" w:rsidRDefault="00C01C43">
            <w:pPr>
              <w:jc w:val="right"/>
              <w:rPr>
                <w:rFonts w:eastAsia="Times New Roman"/>
              </w:rPr>
            </w:pPr>
            <w:r>
              <w:rPr>
                <w:rFonts w:ascii="Arial" w:eastAsia="Times New Roman" w:hAnsi="Arial" w:cs="Arial"/>
                <w:color w:val="000000"/>
                <w:sz w:val="20"/>
                <w:szCs w:val="20"/>
              </w:rPr>
              <w:t>28.6 </w:t>
            </w:r>
          </w:p>
        </w:tc>
        <w:tc>
          <w:tcPr>
            <w:tcW w:w="0" w:type="auto"/>
            <w:shd w:val="clear" w:color="auto" w:fill="CCEEFF"/>
            <w:tcMar>
              <w:top w:w="30" w:type="dxa"/>
              <w:left w:w="0" w:type="dxa"/>
              <w:bottom w:w="30" w:type="dxa"/>
              <w:right w:w="20" w:type="dxa"/>
            </w:tcMar>
            <w:vAlign w:val="bottom"/>
            <w:hideMark/>
          </w:tcPr>
          <w:p w14:paraId="206E991C" w14:textId="77777777" w:rsidR="00000000" w:rsidRDefault="00C01C43">
            <w:pPr>
              <w:jc w:val="right"/>
              <w:rPr>
                <w:rFonts w:eastAsia="Times New Roman"/>
              </w:rPr>
            </w:pPr>
          </w:p>
        </w:tc>
      </w:tr>
      <w:tr w:rsidR="00000000" w14:paraId="4CB6F59D" w14:textId="77777777">
        <w:trPr>
          <w:divId w:val="998078623"/>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3ADD9844" w14:textId="77777777" w:rsidR="00000000" w:rsidRDefault="00C01C43">
            <w:pPr>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27364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593561" w14:textId="77777777" w:rsidR="00000000" w:rsidRDefault="00C01C43">
            <w:pPr>
              <w:jc w:val="right"/>
              <w:rPr>
                <w:rFonts w:eastAsia="Times New Roman"/>
              </w:rPr>
            </w:pPr>
            <w:r>
              <w:rPr>
                <w:rFonts w:ascii="Arial" w:eastAsia="Times New Roman" w:hAnsi="Arial" w:cs="Arial"/>
                <w:color w:val="000000"/>
                <w:sz w:val="20"/>
                <w:szCs w:val="20"/>
              </w:rPr>
              <w:t>137.9 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6194F2"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C9BBF10"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FD96A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89C708" w14:textId="77777777" w:rsidR="00000000" w:rsidRDefault="00C01C43">
            <w:pPr>
              <w:jc w:val="right"/>
              <w:rPr>
                <w:rFonts w:eastAsia="Times New Roman"/>
              </w:rPr>
            </w:pPr>
            <w:r>
              <w:rPr>
                <w:rFonts w:ascii="Arial" w:eastAsia="Times New Roman" w:hAnsi="Arial" w:cs="Arial"/>
                <w:color w:val="000000"/>
                <w:sz w:val="20"/>
                <w:szCs w:val="20"/>
              </w:rPr>
              <w:t>299.7 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A55EA4"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72C8028"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3D82C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CEFD10" w14:textId="77777777" w:rsidR="00000000" w:rsidRDefault="00C01C43">
            <w:pPr>
              <w:jc w:val="right"/>
              <w:rPr>
                <w:rFonts w:eastAsia="Times New Roman"/>
              </w:rPr>
            </w:pPr>
            <w:r>
              <w:rPr>
                <w:rFonts w:ascii="Arial" w:eastAsia="Times New Roman" w:hAnsi="Arial" w:cs="Arial"/>
                <w:color w:val="000000"/>
                <w:sz w:val="20"/>
                <w:szCs w:val="20"/>
              </w:rPr>
              <w:t>(161.8)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CF1074" w14:textId="77777777" w:rsidR="00000000" w:rsidRDefault="00C01C43">
            <w:pPr>
              <w:jc w:val="right"/>
              <w:rPr>
                <w:rFonts w:eastAsia="Times New Roman"/>
              </w:rPr>
            </w:pPr>
          </w:p>
        </w:tc>
      </w:tr>
    </w:tbl>
    <w:p w14:paraId="21F96476" w14:textId="77777777" w:rsidR="00000000" w:rsidRDefault="00C01C43">
      <w:pPr>
        <w:divId w:val="84691437"/>
        <w:rPr>
          <w:rFonts w:eastAsia="Times New Roman"/>
        </w:rPr>
      </w:pPr>
    </w:p>
    <w:p w14:paraId="778FCB8B" w14:textId="77777777" w:rsidR="00000000" w:rsidRDefault="00C01C43">
      <w:pPr>
        <w:divId w:val="751239375"/>
        <w:rPr>
          <w:rFonts w:eastAsia="Times New Roman"/>
        </w:rPr>
      </w:pPr>
      <w:r>
        <w:rPr>
          <w:rFonts w:ascii="Arial" w:eastAsia="Times New Roman" w:hAnsi="Arial" w:cs="Arial"/>
          <w:color w:val="000000"/>
          <w:sz w:val="20"/>
          <w:szCs w:val="20"/>
        </w:rPr>
        <w:t>Our income from operations, including unallocated corporate overhead, for the year ended 2020 was $137.9 million, a decrease of $161.8 million, or 54%, compared to 2019. The overall decrease was primarily attributable to the performance in our aviation seg</w:t>
      </w:r>
      <w:r>
        <w:rPr>
          <w:rFonts w:ascii="Arial" w:eastAsia="Times New Roman" w:hAnsi="Arial" w:cs="Arial"/>
          <w:color w:val="000000"/>
          <w:sz w:val="20"/>
          <w:szCs w:val="20"/>
        </w:rPr>
        <w:t>ment.</w:t>
      </w:r>
    </w:p>
    <w:p w14:paraId="62809B0A" w14:textId="77777777" w:rsidR="00000000" w:rsidRDefault="00C01C43">
      <w:pPr>
        <w:divId w:val="31732526"/>
        <w:rPr>
          <w:rFonts w:eastAsia="Times New Roman"/>
        </w:rPr>
      </w:pPr>
    </w:p>
    <w:p w14:paraId="7AC8BF19" w14:textId="77777777" w:rsidR="00000000" w:rsidRDefault="00C01C43">
      <w:pPr>
        <w:jc w:val="both"/>
        <w:rPr>
          <w:rFonts w:eastAsia="Times New Roman"/>
        </w:rPr>
      </w:pPr>
      <w:r>
        <w:rPr>
          <w:rFonts w:ascii="Arial" w:eastAsia="Times New Roman" w:hAnsi="Arial" w:cs="Arial"/>
          <w:color w:val="000000"/>
          <w:sz w:val="20"/>
          <w:szCs w:val="20"/>
        </w:rPr>
        <w:t>Income from operations in our aviation segment for the year ended 2020 was $84.5 million, a decrease of $199.4 million as compared to 2019. Our aviation segment was significantly impacted by lower volumes and the correspondingly reduced profit cont</w:t>
      </w:r>
      <w:r>
        <w:rPr>
          <w:rFonts w:ascii="Arial" w:eastAsia="Times New Roman" w:hAnsi="Arial" w:cs="Arial"/>
          <w:color w:val="000000"/>
          <w:sz w:val="20"/>
          <w:szCs w:val="20"/>
        </w:rPr>
        <w:t>ribution as a consequence of the decline in air travel due to the COVID-19 pandemic, as well as a reduction in government-related activity in Afghanistan. Aviation operating income also decreased during the year ended 2020 compared to 2019 due to increased</w:t>
      </w:r>
      <w:r>
        <w:rPr>
          <w:rFonts w:ascii="Arial" w:eastAsia="Times New Roman" w:hAnsi="Arial" w:cs="Arial"/>
          <w:color w:val="000000"/>
          <w:sz w:val="20"/>
          <w:szCs w:val="20"/>
        </w:rPr>
        <w:t xml:space="preserve"> expenses resulting from a materially higher bad debt expense because of the impact of the pandemic on the aviation industry, as well as the global office footprint rationalization impairment charge. Partially offsetting these higher expenses were signific</w:t>
      </w:r>
      <w:r>
        <w:rPr>
          <w:rFonts w:ascii="Arial" w:eastAsia="Times New Roman" w:hAnsi="Arial" w:cs="Arial"/>
          <w:color w:val="000000"/>
          <w:sz w:val="20"/>
          <w:szCs w:val="20"/>
        </w:rPr>
        <w:t>ant reductions in compensation and administrative expenses over the course of 2020.</w:t>
      </w:r>
    </w:p>
    <w:p w14:paraId="02581494" w14:textId="77777777" w:rsidR="00000000" w:rsidRDefault="00C01C43">
      <w:pPr>
        <w:divId w:val="1900553193"/>
        <w:rPr>
          <w:rFonts w:eastAsia="Times New Roman"/>
        </w:rPr>
      </w:pPr>
    </w:p>
    <w:p w14:paraId="081A13DD" w14:textId="77777777" w:rsidR="00000000" w:rsidRDefault="00C01C43">
      <w:pPr>
        <w:jc w:val="both"/>
        <w:divId w:val="839736522"/>
        <w:rPr>
          <w:rFonts w:eastAsia="Times New Roman"/>
        </w:rPr>
      </w:pPr>
      <w:r>
        <w:rPr>
          <w:rFonts w:ascii="Arial" w:eastAsia="Times New Roman" w:hAnsi="Arial" w:cs="Arial"/>
          <w:color w:val="000000"/>
          <w:sz w:val="20"/>
          <w:szCs w:val="20"/>
        </w:rPr>
        <w:t>In our land segment, income from operations for the year ended 2020 was $72.6 million, an increase of $17.6 million compared to 2019. The higher profitability was primari</w:t>
      </w:r>
      <w:r>
        <w:rPr>
          <w:rFonts w:ascii="Arial" w:eastAsia="Times New Roman" w:hAnsi="Arial" w:cs="Arial"/>
          <w:color w:val="000000"/>
          <w:sz w:val="20"/>
          <w:szCs w:val="20"/>
        </w:rPr>
        <w:t>ly attributable to a reduction in compensation costs and general and administrative expenses, improved results in the U.K., together with growth in World Kinect. This was partially offset by lower volumes as a result of the pandemic, particularly in our re</w:t>
      </w:r>
      <w:r>
        <w:rPr>
          <w:rFonts w:ascii="Arial" w:eastAsia="Times New Roman" w:hAnsi="Arial" w:cs="Arial"/>
          <w:color w:val="000000"/>
          <w:sz w:val="20"/>
          <w:szCs w:val="20"/>
        </w:rPr>
        <w:t>tail, commercial and industrial activities in North America, as well as a decrease in our government-related activities in Afghanistan and the global office footprint rationalization impairment charge.</w:t>
      </w:r>
    </w:p>
    <w:p w14:paraId="6B78AB33" w14:textId="77777777" w:rsidR="00000000" w:rsidRDefault="00C01C43">
      <w:pPr>
        <w:jc w:val="both"/>
        <w:divId w:val="1304625781"/>
        <w:rPr>
          <w:rFonts w:eastAsia="Times New Roman"/>
        </w:rPr>
      </w:pPr>
      <w:r>
        <w:rPr>
          <w:rFonts w:ascii="Arial" w:eastAsia="Times New Roman" w:hAnsi="Arial" w:cs="Arial"/>
          <w:color w:val="000000"/>
          <w:sz w:val="20"/>
          <w:szCs w:val="20"/>
        </w:rPr>
        <w:t>Our marine segment income from operations for the year</w:t>
      </w:r>
      <w:r>
        <w:rPr>
          <w:rFonts w:ascii="Arial" w:eastAsia="Times New Roman" w:hAnsi="Arial" w:cs="Arial"/>
          <w:color w:val="000000"/>
          <w:sz w:val="20"/>
          <w:szCs w:val="20"/>
        </w:rPr>
        <w:t xml:space="preserve"> ended 2020 was $58.5 million, a decrease of $8.6 million compared to 2019, driven by lower average prices and volume of activity in our core resale business and an impairment charge resulting from our global office footprint rationalization. The decrease </w:t>
      </w:r>
      <w:r>
        <w:rPr>
          <w:rFonts w:ascii="Arial" w:eastAsia="Times New Roman" w:hAnsi="Arial" w:cs="Arial"/>
          <w:color w:val="000000"/>
          <w:sz w:val="20"/>
          <w:szCs w:val="20"/>
        </w:rPr>
        <w:t xml:space="preserve">in operating income was partially offset by higher profitability during the first two months of 2020, resulting from the shift to very low sulfur fuel oil, as mandated by the IMO 2020 regulations that took effect on January 1, 2020. Further offsetting the </w:t>
      </w:r>
      <w:r>
        <w:rPr>
          <w:rFonts w:ascii="Arial" w:eastAsia="Times New Roman" w:hAnsi="Arial" w:cs="Arial"/>
          <w:color w:val="000000"/>
          <w:sz w:val="20"/>
          <w:szCs w:val="20"/>
        </w:rPr>
        <w:t>decrease in operating profitability was a reduction in compensation expense during 2020 compared to 2019.</w:t>
      </w:r>
    </w:p>
    <w:p w14:paraId="0F4CB0EB" w14:textId="77777777" w:rsidR="00000000" w:rsidRDefault="00C01C43">
      <w:pPr>
        <w:jc w:val="both"/>
        <w:divId w:val="1482311008"/>
        <w:rPr>
          <w:rFonts w:eastAsia="Times New Roman"/>
        </w:rPr>
      </w:pPr>
      <w:r>
        <w:rPr>
          <w:rFonts w:ascii="Arial" w:eastAsia="Times New Roman" w:hAnsi="Arial" w:cs="Arial"/>
          <w:color w:val="000000"/>
          <w:sz w:val="20"/>
          <w:szCs w:val="20"/>
        </w:rPr>
        <w:t>Corporate overhead costs not charged to the business segments in 2020 were $77.8 million, a decrease of $28.6 million, or 27%, compared to 2019, prima</w:t>
      </w:r>
      <w:r>
        <w:rPr>
          <w:rFonts w:ascii="Arial" w:eastAsia="Times New Roman" w:hAnsi="Arial" w:cs="Arial"/>
          <w:color w:val="000000"/>
          <w:sz w:val="20"/>
          <w:szCs w:val="20"/>
        </w:rPr>
        <w:t>rily attributable to a reduction in compensation costs and general and administrative expenses.</w:t>
      </w:r>
    </w:p>
    <w:p w14:paraId="0C2BD335" w14:textId="77777777" w:rsidR="00000000" w:rsidRDefault="00C01C43">
      <w:pPr>
        <w:jc w:val="both"/>
        <w:divId w:val="556624933"/>
        <w:rPr>
          <w:rFonts w:eastAsia="Times New Roman"/>
        </w:rPr>
      </w:pPr>
      <w:r>
        <w:rPr>
          <w:rFonts w:ascii="Arial" w:eastAsia="Times New Roman" w:hAnsi="Arial" w:cs="Arial"/>
          <w:i/>
          <w:iCs/>
          <w:color w:val="000000"/>
          <w:sz w:val="20"/>
          <w:szCs w:val="20"/>
        </w:rPr>
        <w:t>Non-Operating Income (Expenses), net</w:t>
      </w:r>
      <w:r>
        <w:rPr>
          <w:rFonts w:ascii="Arial" w:eastAsia="Times New Roman" w:hAnsi="Arial" w:cs="Arial"/>
          <w:color w:val="000000"/>
          <w:sz w:val="20"/>
          <w:szCs w:val="20"/>
        </w:rPr>
        <w:t>. We had non-operating income of $23.9 million, compared to expenses of $62.4 million for the years ended 2020 and 2019, res</w:t>
      </w:r>
      <w:r>
        <w:rPr>
          <w:rFonts w:ascii="Arial" w:eastAsia="Times New Roman" w:hAnsi="Arial" w:cs="Arial"/>
          <w:color w:val="000000"/>
          <w:sz w:val="20"/>
          <w:szCs w:val="20"/>
        </w:rPr>
        <w:t>pectively. The positive variance of $86.2 million compared to 2019 was driven principally by a gain on the sale of our Multi Service payment solutions business of $80.0 million principally in the land segment, as well as a reduction in interest expense and</w:t>
      </w:r>
      <w:r>
        <w:rPr>
          <w:rFonts w:ascii="Arial" w:eastAsia="Times New Roman" w:hAnsi="Arial" w:cs="Arial"/>
          <w:color w:val="000000"/>
          <w:sz w:val="20"/>
          <w:szCs w:val="20"/>
        </w:rPr>
        <w:t xml:space="preserve"> lower fees associated with our receivables purchasing programs.</w:t>
      </w:r>
    </w:p>
    <w:p w14:paraId="085255B3" w14:textId="77777777" w:rsidR="00000000" w:rsidRDefault="00C01C43">
      <w:pPr>
        <w:jc w:val="both"/>
        <w:divId w:val="1915815109"/>
        <w:rPr>
          <w:rFonts w:eastAsia="Times New Roman"/>
        </w:rPr>
      </w:pPr>
      <w:r>
        <w:rPr>
          <w:rFonts w:ascii="Arial" w:eastAsia="Times New Roman" w:hAnsi="Arial" w:cs="Arial"/>
          <w:i/>
          <w:iCs/>
          <w:color w:val="000000"/>
          <w:sz w:val="20"/>
          <w:szCs w:val="20"/>
        </w:rPr>
        <w:t>Income Taxes</w:t>
      </w:r>
      <w:r>
        <w:rPr>
          <w:rFonts w:ascii="Arial" w:eastAsia="Times New Roman" w:hAnsi="Arial" w:cs="Arial"/>
          <w:color w:val="000000"/>
          <w:sz w:val="20"/>
          <w:szCs w:val="20"/>
        </w:rPr>
        <w:t>. For the year ended 2020, our effective income tax rate was 32%, and our income tax provision was $52.1 million, compared to an effective income tax rate of 24% and an income tax</w:t>
      </w:r>
      <w:r>
        <w:rPr>
          <w:rFonts w:ascii="Arial" w:eastAsia="Times New Roman" w:hAnsi="Arial" w:cs="Arial"/>
          <w:color w:val="000000"/>
          <w:sz w:val="20"/>
          <w:szCs w:val="20"/>
        </w:rPr>
        <w:t xml:space="preserve"> provision of $56.2 million in 2019. The higher effective income tax rate for 2020, compared to 2019, resulted primarily from the impact of recording valuation allowances against our deferred tax assets in various foreign jurisdictions and the differences </w:t>
      </w:r>
      <w:r>
        <w:rPr>
          <w:rFonts w:ascii="Arial" w:eastAsia="Times New Roman" w:hAnsi="Arial" w:cs="Arial"/>
          <w:color w:val="000000"/>
          <w:sz w:val="20"/>
          <w:szCs w:val="20"/>
        </w:rPr>
        <w:t>in the results of our subsidiaries in tax jurisdictions with different tax rates.</w:t>
      </w:r>
    </w:p>
    <w:p w14:paraId="59AE6567" w14:textId="77777777" w:rsidR="00000000" w:rsidRDefault="00C01C43">
      <w:pPr>
        <w:jc w:val="both"/>
        <w:divId w:val="2118015128"/>
        <w:rPr>
          <w:rFonts w:eastAsia="Times New Roman"/>
        </w:rPr>
      </w:pPr>
    </w:p>
    <w:p w14:paraId="12751529" w14:textId="77777777" w:rsidR="00000000" w:rsidRDefault="00C01C43">
      <w:pPr>
        <w:jc w:val="center"/>
        <w:divId w:val="1571423174"/>
        <w:rPr>
          <w:rFonts w:eastAsia="Times New Roman"/>
        </w:rPr>
      </w:pPr>
      <w:r>
        <w:rPr>
          <w:rFonts w:ascii="Arial" w:eastAsia="Times New Roman" w:hAnsi="Arial" w:cs="Arial"/>
          <w:color w:val="000000"/>
          <w:sz w:val="16"/>
          <w:szCs w:val="16"/>
        </w:rPr>
        <w:t>30</w:t>
      </w:r>
    </w:p>
    <w:p w14:paraId="30B97939" w14:textId="77777777" w:rsidR="00000000" w:rsidRDefault="00C01C43">
      <w:pPr>
        <w:rPr>
          <w:rFonts w:eastAsia="Times New Roman"/>
        </w:rPr>
      </w:pPr>
      <w:r>
        <w:rPr>
          <w:rFonts w:eastAsia="Times New Roman"/>
        </w:rPr>
        <w:pict w14:anchorId="142F64CB">
          <v:rect id="_x0000_i1059" style="width:0;height:1.5pt" o:hralign="center" o:hrstd="t" o:hr="t" fillcolor="#a0a0a0" stroked="f"/>
        </w:pict>
      </w:r>
    </w:p>
    <w:p w14:paraId="566C4371" w14:textId="77777777" w:rsidR="00000000" w:rsidRDefault="00C01C43">
      <w:pPr>
        <w:divId w:val="1323117187"/>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26427AF" w14:textId="77777777" w:rsidR="00000000" w:rsidRDefault="00C01C43">
      <w:pPr>
        <w:jc w:val="both"/>
        <w:rPr>
          <w:rFonts w:eastAsia="Times New Roman"/>
        </w:rPr>
      </w:pPr>
      <w:r>
        <w:rPr>
          <w:rFonts w:ascii="Arial" w:eastAsia="Times New Roman" w:hAnsi="Arial" w:cs="Arial"/>
          <w:i/>
          <w:iCs/>
          <w:color w:val="000000"/>
          <w:sz w:val="20"/>
          <w:szCs w:val="20"/>
        </w:rPr>
        <w:t>Net Income Attributable to World Fuel and Diluted Earnin</w:t>
      </w:r>
      <w:r>
        <w:rPr>
          <w:rFonts w:ascii="Arial" w:eastAsia="Times New Roman" w:hAnsi="Arial" w:cs="Arial"/>
          <w:i/>
          <w:iCs/>
          <w:color w:val="000000"/>
          <w:sz w:val="20"/>
          <w:szCs w:val="20"/>
        </w:rPr>
        <w:t>gs per Common Share</w:t>
      </w:r>
      <w:r>
        <w:rPr>
          <w:rFonts w:ascii="Arial" w:eastAsia="Times New Roman" w:hAnsi="Arial" w:cs="Arial"/>
          <w:color w:val="000000"/>
          <w:sz w:val="20"/>
          <w:szCs w:val="20"/>
        </w:rPr>
        <w:t>. Our net income for the year ended 2020 was $109.6 million compared to net income of $178.9 million in 2019. Diluted earnings per common share for the year ended 2020 was $1.71 per common share as compared to diluted earnings per common</w:t>
      </w:r>
      <w:r>
        <w:rPr>
          <w:rFonts w:ascii="Arial" w:eastAsia="Times New Roman" w:hAnsi="Arial" w:cs="Arial"/>
          <w:color w:val="000000"/>
          <w:sz w:val="20"/>
          <w:szCs w:val="20"/>
        </w:rPr>
        <w:t xml:space="preserve"> share of $2.69 in 2019.</w:t>
      </w:r>
    </w:p>
    <w:p w14:paraId="2753320D" w14:textId="77777777" w:rsidR="00000000" w:rsidRDefault="00C01C43">
      <w:pPr>
        <w:jc w:val="both"/>
        <w:divId w:val="267082736"/>
        <w:rPr>
          <w:rFonts w:eastAsia="Times New Roman"/>
        </w:rPr>
      </w:pPr>
    </w:p>
    <w:p w14:paraId="3DB3EF85" w14:textId="77777777" w:rsidR="00000000" w:rsidRDefault="00C01C43">
      <w:pPr>
        <w:jc w:val="both"/>
        <w:divId w:val="1015421039"/>
        <w:rPr>
          <w:rFonts w:eastAsia="Times New Roman"/>
        </w:rPr>
      </w:pPr>
      <w:r>
        <w:rPr>
          <w:rFonts w:ascii="Arial" w:eastAsia="Times New Roman" w:hAnsi="Arial" w:cs="Arial"/>
          <w:b/>
          <w:bCs/>
          <w:color w:val="000000"/>
          <w:sz w:val="20"/>
          <w:szCs w:val="20"/>
        </w:rPr>
        <w:t>Liquidity and Capital Resources</w:t>
      </w:r>
    </w:p>
    <w:p w14:paraId="3AF89024" w14:textId="77777777" w:rsidR="00000000" w:rsidRDefault="00C01C43">
      <w:pPr>
        <w:jc w:val="both"/>
        <w:rPr>
          <w:rFonts w:eastAsia="Times New Roman"/>
        </w:rPr>
      </w:pPr>
      <w:r>
        <w:rPr>
          <w:rFonts w:ascii="Arial" w:eastAsia="Times New Roman" w:hAnsi="Arial" w:cs="Arial"/>
          <w:color w:val="000000"/>
          <w:sz w:val="20"/>
          <w:szCs w:val="20"/>
        </w:rPr>
        <w:t>Our liquidity, consisting of cash, cash equivalents and availability under the Credit Facility fluctuates based on a number of factors, including the timing of receipts from our customers, payments</w:t>
      </w:r>
      <w:r>
        <w:rPr>
          <w:rFonts w:ascii="Arial" w:eastAsia="Times New Roman" w:hAnsi="Arial" w:cs="Arial"/>
          <w:color w:val="000000"/>
          <w:sz w:val="20"/>
          <w:szCs w:val="20"/>
        </w:rPr>
        <w:t xml:space="preserve"> to our suppliers, changes in fuel prices, as well as our financial performance, which drives availability under our Credit Facility. Our availability under our Credit Facility, for example, is limited by, among other things, our consolidated total leverag</w:t>
      </w:r>
      <w:r>
        <w:rPr>
          <w:rFonts w:ascii="Arial" w:eastAsia="Times New Roman" w:hAnsi="Arial" w:cs="Arial"/>
          <w:color w:val="000000"/>
          <w:sz w:val="20"/>
          <w:szCs w:val="20"/>
        </w:rPr>
        <w:t>e ratio, which is defined in the Credit Facility and is based in part on our adjusted consolidated earnings before interest, taxes, depreciation and amortization (“Adjusted EBITDA”) for the four immediately preceding fiscal quarters. Accordingly, significa</w:t>
      </w:r>
      <w:r>
        <w:rPr>
          <w:rFonts w:ascii="Arial" w:eastAsia="Times New Roman" w:hAnsi="Arial" w:cs="Arial"/>
          <w:color w:val="000000"/>
          <w:sz w:val="20"/>
          <w:szCs w:val="20"/>
        </w:rPr>
        <w:t>nt fluctuations in our Adjusted EBITDA for a particular quarter can impact our availability to the extent it significantly alters our Adjusted EBITDA for the applicable preceding four quarters. See Item 1A. Risk Factors in Part I of this 10-K Report for ad</w:t>
      </w:r>
      <w:r>
        <w:rPr>
          <w:rFonts w:ascii="Arial" w:eastAsia="Times New Roman" w:hAnsi="Arial" w:cs="Arial"/>
          <w:color w:val="000000"/>
          <w:sz w:val="20"/>
          <w:szCs w:val="20"/>
        </w:rPr>
        <w:t>ditional information.</w:t>
      </w:r>
    </w:p>
    <w:p w14:paraId="6CBE9236" w14:textId="77777777" w:rsidR="00000000" w:rsidRDefault="00C01C43">
      <w:pPr>
        <w:jc w:val="both"/>
        <w:rPr>
          <w:rFonts w:eastAsia="Times New Roman"/>
        </w:rPr>
      </w:pPr>
    </w:p>
    <w:p w14:paraId="65FC195A" w14:textId="77777777" w:rsidR="00000000" w:rsidRDefault="00C01C43">
      <w:pPr>
        <w:jc w:val="both"/>
        <w:rPr>
          <w:rFonts w:eastAsia="Times New Roman"/>
        </w:rPr>
      </w:pPr>
      <w:r>
        <w:rPr>
          <w:rFonts w:ascii="Arial" w:eastAsia="Times New Roman" w:hAnsi="Arial" w:cs="Arial"/>
          <w:color w:val="000000"/>
          <w:sz w:val="20"/>
          <w:szCs w:val="20"/>
        </w:rPr>
        <w:t>Cash and liquidity are significant priorities for us and our primary use of cash and liquidity is to fund working capital and strategic investments. Increases in fuel prices can negatively affect liquidity by increasing the amount o</w:t>
      </w:r>
      <w:r>
        <w:rPr>
          <w:rFonts w:ascii="Arial" w:eastAsia="Times New Roman" w:hAnsi="Arial" w:cs="Arial"/>
          <w:color w:val="000000"/>
          <w:sz w:val="20"/>
          <w:szCs w:val="20"/>
        </w:rPr>
        <w:t>f cash required to fund fuel purchases. In addition, while we are usually extended unsecured trade credit from our suppliers for our fuel purchases, higher fuel prices may reduce the amount of fuel which we can purchase on an unsecured basis, and in certai</w:t>
      </w:r>
      <w:r>
        <w:rPr>
          <w:rFonts w:ascii="Arial" w:eastAsia="Times New Roman" w:hAnsi="Arial" w:cs="Arial"/>
          <w:color w:val="000000"/>
          <w:sz w:val="20"/>
          <w:szCs w:val="20"/>
        </w:rPr>
        <w:t>n cases, we may be required to prepay fuel purchases, which would negatively impact our liquidity. Fuel price increases may also negatively impact our customers, in that they may not be able to purchase as much fuel from us because of their credit limits w</w:t>
      </w:r>
      <w:r>
        <w:rPr>
          <w:rFonts w:ascii="Arial" w:eastAsia="Times New Roman" w:hAnsi="Arial" w:cs="Arial"/>
          <w:color w:val="000000"/>
          <w:sz w:val="20"/>
          <w:szCs w:val="20"/>
        </w:rPr>
        <w:t>ith us and the resulting adverse impact on their business could cause them to be unable to make payments owed to us for fuel purchased on credit. They may also choose to reduce the amount of fuel they consume in their operations to reduce costs. In any suc</w:t>
      </w:r>
      <w:r>
        <w:rPr>
          <w:rFonts w:ascii="Arial" w:eastAsia="Times New Roman" w:hAnsi="Arial" w:cs="Arial"/>
          <w:color w:val="000000"/>
          <w:sz w:val="20"/>
          <w:szCs w:val="20"/>
        </w:rPr>
        <w:t>h event, the volume of orders from our customers may thereafter decrease and we may not be able to replace lost volumes with new or existing customers.</w:t>
      </w:r>
    </w:p>
    <w:p w14:paraId="136575BA" w14:textId="77777777" w:rsidR="00000000" w:rsidRDefault="00C01C43">
      <w:pPr>
        <w:jc w:val="both"/>
        <w:rPr>
          <w:rFonts w:eastAsia="Times New Roman"/>
        </w:rPr>
      </w:pPr>
    </w:p>
    <w:p w14:paraId="366226DB" w14:textId="77777777" w:rsidR="00000000" w:rsidRDefault="00C01C43">
      <w:pPr>
        <w:jc w:val="both"/>
        <w:rPr>
          <w:rFonts w:eastAsia="Times New Roman"/>
        </w:rPr>
      </w:pPr>
      <w:r>
        <w:rPr>
          <w:rFonts w:ascii="Arial" w:eastAsia="Times New Roman" w:hAnsi="Arial" w:cs="Arial"/>
          <w:color w:val="000000"/>
          <w:sz w:val="20"/>
          <w:szCs w:val="20"/>
        </w:rPr>
        <w:t>As described in greater detail above, the COVID-19 pandemic is expected to continue to have an adverse impact on our customers, and therefore our own operating results through the first half of 2021, which could have a negative impact on our liquidity in t</w:t>
      </w:r>
      <w:r>
        <w:rPr>
          <w:rFonts w:ascii="Arial" w:eastAsia="Times New Roman" w:hAnsi="Arial" w:cs="Arial"/>
          <w:color w:val="000000"/>
          <w:sz w:val="20"/>
          <w:szCs w:val="20"/>
        </w:rPr>
        <w:t>he future. However, based on the information currently available, we believe that our cash and cash equivalents as of December 31, 2020 and available funds from our Credit Facility, together with cash flows generated by operations, are sufficient to fund o</w:t>
      </w:r>
      <w:r>
        <w:rPr>
          <w:rFonts w:ascii="Arial" w:eastAsia="Times New Roman" w:hAnsi="Arial" w:cs="Arial"/>
          <w:color w:val="000000"/>
          <w:sz w:val="20"/>
          <w:szCs w:val="20"/>
        </w:rPr>
        <w:t>ur working capital and capital expenditure requirements for at least the next twelve months. We may choose to raise additional funds to further enhance our liquidity profile, which may be used for working capital, capital expenditures or other strategic in</w:t>
      </w:r>
      <w:r>
        <w:rPr>
          <w:rFonts w:ascii="Arial" w:eastAsia="Times New Roman" w:hAnsi="Arial" w:cs="Arial"/>
          <w:color w:val="000000"/>
          <w:sz w:val="20"/>
          <w:szCs w:val="20"/>
        </w:rPr>
        <w:t>vestments. Our opinions concerning liquidity are based on currently available information and if circumstances change significantly, whether as a result of the COVID-19 pandemic or otherwise, the future availability of trade credit or other sources of fina</w:t>
      </w:r>
      <w:r>
        <w:rPr>
          <w:rFonts w:ascii="Arial" w:eastAsia="Times New Roman" w:hAnsi="Arial" w:cs="Arial"/>
          <w:color w:val="000000"/>
          <w:sz w:val="20"/>
          <w:szCs w:val="20"/>
        </w:rPr>
        <w:t>ncing may be reduced, and our liquidity would be adversely affected. Factors that may affect the availability of trade credit or other forms of financing include our financial performance (as measured by various factors, including cash provided by operatin</w:t>
      </w:r>
      <w:r>
        <w:rPr>
          <w:rFonts w:ascii="Arial" w:eastAsia="Times New Roman" w:hAnsi="Arial" w:cs="Arial"/>
          <w:color w:val="000000"/>
          <w:sz w:val="20"/>
          <w:szCs w:val="20"/>
        </w:rPr>
        <w:t>g activities), the state of worldwide credit markets, and our levels of outstanding debt. Depending on the severity and direct impact of these factors on us, financing may be limited or unavailable on terms favorable to us.</w:t>
      </w:r>
    </w:p>
    <w:p w14:paraId="6E796191" w14:textId="77777777" w:rsidR="00000000" w:rsidRDefault="00C01C43">
      <w:pPr>
        <w:jc w:val="both"/>
        <w:rPr>
          <w:rFonts w:eastAsia="Times New Roman"/>
        </w:rPr>
      </w:pPr>
    </w:p>
    <w:p w14:paraId="41A0F8DA" w14:textId="77777777" w:rsidR="00000000" w:rsidRDefault="00C01C43">
      <w:pPr>
        <w:jc w:val="both"/>
        <w:rPr>
          <w:rFonts w:eastAsia="Times New Roman"/>
        </w:rPr>
      </w:pPr>
      <w:r>
        <w:rPr>
          <w:rFonts w:ascii="Arial" w:eastAsia="Times New Roman" w:hAnsi="Arial" w:cs="Arial"/>
          <w:i/>
          <w:iCs/>
          <w:color w:val="000000"/>
          <w:sz w:val="20"/>
          <w:szCs w:val="20"/>
        </w:rPr>
        <w:t>Cash Flows</w:t>
      </w:r>
    </w:p>
    <w:p w14:paraId="5777A2BA" w14:textId="77777777" w:rsidR="00000000" w:rsidRDefault="00C01C43">
      <w:pPr>
        <w:jc w:val="both"/>
        <w:divId w:val="1885016964"/>
        <w:rPr>
          <w:rFonts w:eastAsia="Times New Roman"/>
        </w:rPr>
      </w:pPr>
      <w:r>
        <w:rPr>
          <w:rFonts w:ascii="Arial" w:eastAsia="Times New Roman" w:hAnsi="Arial" w:cs="Arial"/>
          <w:color w:val="000000"/>
          <w:sz w:val="20"/>
          <w:szCs w:val="20"/>
        </w:rPr>
        <w:t>The following table</w:t>
      </w:r>
      <w:r>
        <w:rPr>
          <w:rFonts w:ascii="Arial" w:eastAsia="Times New Roman" w:hAnsi="Arial" w:cs="Arial"/>
          <w:color w:val="000000"/>
          <w:sz w:val="20"/>
          <w:szCs w:val="20"/>
        </w:rPr>
        <w:t xml:space="preserve"> reflects the major categories of cash flows for the years ended December 31, 2020, 2019 and 2018 (in millions). For additional details, please see the Consolidated Statements of Cash Flows.</w:t>
      </w:r>
    </w:p>
    <w:tbl>
      <w:tblPr>
        <w:tblW w:w="4985" w:type="pct"/>
        <w:tblCellMar>
          <w:top w:w="15" w:type="dxa"/>
          <w:left w:w="15" w:type="dxa"/>
          <w:bottom w:w="15" w:type="dxa"/>
          <w:right w:w="15" w:type="dxa"/>
        </w:tblCellMar>
        <w:tblLook w:val="04A0" w:firstRow="1" w:lastRow="0" w:firstColumn="1" w:lastColumn="0" w:noHBand="0" w:noVBand="1"/>
      </w:tblPr>
      <w:tblGrid>
        <w:gridCol w:w="37"/>
        <w:gridCol w:w="5498"/>
        <w:gridCol w:w="36"/>
        <w:gridCol w:w="132"/>
        <w:gridCol w:w="669"/>
        <w:gridCol w:w="36"/>
        <w:gridCol w:w="36"/>
        <w:gridCol w:w="36"/>
        <w:gridCol w:w="36"/>
        <w:gridCol w:w="132"/>
        <w:gridCol w:w="648"/>
        <w:gridCol w:w="36"/>
        <w:gridCol w:w="36"/>
        <w:gridCol w:w="36"/>
        <w:gridCol w:w="36"/>
        <w:gridCol w:w="132"/>
        <w:gridCol w:w="673"/>
        <w:gridCol w:w="36"/>
      </w:tblGrid>
      <w:tr w:rsidR="00000000" w14:paraId="114BE528" w14:textId="77777777">
        <w:trPr>
          <w:divId w:val="291057107"/>
        </w:trPr>
        <w:tc>
          <w:tcPr>
            <w:tcW w:w="50" w:type="pct"/>
            <w:vAlign w:val="center"/>
            <w:hideMark/>
          </w:tcPr>
          <w:p w14:paraId="23AAAA1D" w14:textId="77777777" w:rsidR="00000000" w:rsidRDefault="00C01C43">
            <w:pPr>
              <w:jc w:val="both"/>
              <w:rPr>
                <w:rFonts w:eastAsia="Times New Roman"/>
              </w:rPr>
            </w:pPr>
          </w:p>
        </w:tc>
        <w:tc>
          <w:tcPr>
            <w:tcW w:w="3354" w:type="pct"/>
            <w:vAlign w:val="center"/>
            <w:hideMark/>
          </w:tcPr>
          <w:p w14:paraId="654CEDA1" w14:textId="77777777" w:rsidR="00000000" w:rsidRDefault="00C01C43">
            <w:pPr>
              <w:rPr>
                <w:rFonts w:eastAsia="Times New Roman"/>
                <w:sz w:val="20"/>
                <w:szCs w:val="20"/>
              </w:rPr>
            </w:pPr>
          </w:p>
        </w:tc>
        <w:tc>
          <w:tcPr>
            <w:tcW w:w="5" w:type="pct"/>
            <w:vAlign w:val="center"/>
            <w:hideMark/>
          </w:tcPr>
          <w:p w14:paraId="5345242F" w14:textId="77777777" w:rsidR="00000000" w:rsidRDefault="00C01C43">
            <w:pPr>
              <w:rPr>
                <w:rFonts w:eastAsia="Times New Roman"/>
                <w:sz w:val="20"/>
                <w:szCs w:val="20"/>
              </w:rPr>
            </w:pPr>
          </w:p>
        </w:tc>
        <w:tc>
          <w:tcPr>
            <w:tcW w:w="50" w:type="pct"/>
            <w:vAlign w:val="center"/>
            <w:hideMark/>
          </w:tcPr>
          <w:p w14:paraId="1E8A1217" w14:textId="77777777" w:rsidR="00000000" w:rsidRDefault="00C01C43">
            <w:pPr>
              <w:rPr>
                <w:rFonts w:eastAsia="Times New Roman"/>
                <w:sz w:val="20"/>
                <w:szCs w:val="20"/>
              </w:rPr>
            </w:pPr>
          </w:p>
        </w:tc>
        <w:tc>
          <w:tcPr>
            <w:tcW w:w="436" w:type="pct"/>
            <w:vAlign w:val="center"/>
            <w:hideMark/>
          </w:tcPr>
          <w:p w14:paraId="31E4CF3A" w14:textId="77777777" w:rsidR="00000000" w:rsidRDefault="00C01C43">
            <w:pPr>
              <w:rPr>
                <w:rFonts w:eastAsia="Times New Roman"/>
                <w:sz w:val="20"/>
                <w:szCs w:val="20"/>
              </w:rPr>
            </w:pPr>
          </w:p>
        </w:tc>
        <w:tc>
          <w:tcPr>
            <w:tcW w:w="5" w:type="pct"/>
            <w:vAlign w:val="center"/>
            <w:hideMark/>
          </w:tcPr>
          <w:p w14:paraId="31EEB9DD" w14:textId="77777777" w:rsidR="00000000" w:rsidRDefault="00C01C43">
            <w:pPr>
              <w:rPr>
                <w:rFonts w:eastAsia="Times New Roman"/>
                <w:sz w:val="20"/>
                <w:szCs w:val="20"/>
              </w:rPr>
            </w:pPr>
          </w:p>
        </w:tc>
        <w:tc>
          <w:tcPr>
            <w:tcW w:w="5" w:type="pct"/>
            <w:vAlign w:val="center"/>
            <w:hideMark/>
          </w:tcPr>
          <w:p w14:paraId="2E5D2C4D" w14:textId="77777777" w:rsidR="00000000" w:rsidRDefault="00C01C43">
            <w:pPr>
              <w:rPr>
                <w:rFonts w:eastAsia="Times New Roman"/>
                <w:sz w:val="20"/>
                <w:szCs w:val="20"/>
              </w:rPr>
            </w:pPr>
          </w:p>
        </w:tc>
        <w:tc>
          <w:tcPr>
            <w:tcW w:w="26" w:type="pct"/>
            <w:vAlign w:val="center"/>
            <w:hideMark/>
          </w:tcPr>
          <w:p w14:paraId="477957B8" w14:textId="77777777" w:rsidR="00000000" w:rsidRDefault="00C01C43">
            <w:pPr>
              <w:rPr>
                <w:rFonts w:eastAsia="Times New Roman"/>
                <w:sz w:val="20"/>
                <w:szCs w:val="20"/>
              </w:rPr>
            </w:pPr>
          </w:p>
        </w:tc>
        <w:tc>
          <w:tcPr>
            <w:tcW w:w="5" w:type="pct"/>
            <w:vAlign w:val="center"/>
            <w:hideMark/>
          </w:tcPr>
          <w:p w14:paraId="15270E34" w14:textId="77777777" w:rsidR="00000000" w:rsidRDefault="00C01C43">
            <w:pPr>
              <w:rPr>
                <w:rFonts w:eastAsia="Times New Roman"/>
                <w:sz w:val="20"/>
                <w:szCs w:val="20"/>
              </w:rPr>
            </w:pPr>
          </w:p>
        </w:tc>
        <w:tc>
          <w:tcPr>
            <w:tcW w:w="50" w:type="pct"/>
            <w:vAlign w:val="center"/>
            <w:hideMark/>
          </w:tcPr>
          <w:p w14:paraId="1658AAFF" w14:textId="77777777" w:rsidR="00000000" w:rsidRDefault="00C01C43">
            <w:pPr>
              <w:rPr>
                <w:rFonts w:eastAsia="Times New Roman"/>
                <w:sz w:val="20"/>
                <w:szCs w:val="20"/>
              </w:rPr>
            </w:pPr>
          </w:p>
        </w:tc>
        <w:tc>
          <w:tcPr>
            <w:tcW w:w="450" w:type="pct"/>
            <w:vAlign w:val="center"/>
            <w:hideMark/>
          </w:tcPr>
          <w:p w14:paraId="62A4C4C3" w14:textId="77777777" w:rsidR="00000000" w:rsidRDefault="00C01C43">
            <w:pPr>
              <w:rPr>
                <w:rFonts w:eastAsia="Times New Roman"/>
                <w:sz w:val="20"/>
                <w:szCs w:val="20"/>
              </w:rPr>
            </w:pPr>
          </w:p>
        </w:tc>
        <w:tc>
          <w:tcPr>
            <w:tcW w:w="5" w:type="pct"/>
            <w:vAlign w:val="center"/>
            <w:hideMark/>
          </w:tcPr>
          <w:p w14:paraId="661D5BA8" w14:textId="77777777" w:rsidR="00000000" w:rsidRDefault="00C01C43">
            <w:pPr>
              <w:rPr>
                <w:rFonts w:eastAsia="Times New Roman"/>
                <w:sz w:val="20"/>
                <w:szCs w:val="20"/>
              </w:rPr>
            </w:pPr>
          </w:p>
        </w:tc>
        <w:tc>
          <w:tcPr>
            <w:tcW w:w="5" w:type="pct"/>
            <w:vAlign w:val="center"/>
            <w:hideMark/>
          </w:tcPr>
          <w:p w14:paraId="0F522EAD" w14:textId="77777777" w:rsidR="00000000" w:rsidRDefault="00C01C43">
            <w:pPr>
              <w:rPr>
                <w:rFonts w:eastAsia="Times New Roman"/>
                <w:sz w:val="20"/>
                <w:szCs w:val="20"/>
              </w:rPr>
            </w:pPr>
          </w:p>
        </w:tc>
        <w:tc>
          <w:tcPr>
            <w:tcW w:w="26" w:type="pct"/>
            <w:vAlign w:val="center"/>
            <w:hideMark/>
          </w:tcPr>
          <w:p w14:paraId="5ED552E0" w14:textId="77777777" w:rsidR="00000000" w:rsidRDefault="00C01C43">
            <w:pPr>
              <w:rPr>
                <w:rFonts w:eastAsia="Times New Roman"/>
                <w:sz w:val="20"/>
                <w:szCs w:val="20"/>
              </w:rPr>
            </w:pPr>
          </w:p>
        </w:tc>
        <w:tc>
          <w:tcPr>
            <w:tcW w:w="5" w:type="pct"/>
            <w:vAlign w:val="center"/>
            <w:hideMark/>
          </w:tcPr>
          <w:p w14:paraId="38D945C6" w14:textId="77777777" w:rsidR="00000000" w:rsidRDefault="00C01C43">
            <w:pPr>
              <w:rPr>
                <w:rFonts w:eastAsia="Times New Roman"/>
                <w:sz w:val="20"/>
                <w:szCs w:val="20"/>
              </w:rPr>
            </w:pPr>
          </w:p>
        </w:tc>
        <w:tc>
          <w:tcPr>
            <w:tcW w:w="50" w:type="pct"/>
            <w:vAlign w:val="center"/>
            <w:hideMark/>
          </w:tcPr>
          <w:p w14:paraId="02569413" w14:textId="77777777" w:rsidR="00000000" w:rsidRDefault="00C01C43">
            <w:pPr>
              <w:rPr>
                <w:rFonts w:eastAsia="Times New Roman"/>
                <w:sz w:val="20"/>
                <w:szCs w:val="20"/>
              </w:rPr>
            </w:pPr>
          </w:p>
        </w:tc>
        <w:tc>
          <w:tcPr>
            <w:tcW w:w="465" w:type="pct"/>
            <w:vAlign w:val="center"/>
            <w:hideMark/>
          </w:tcPr>
          <w:p w14:paraId="4E7B59E5" w14:textId="77777777" w:rsidR="00000000" w:rsidRDefault="00C01C43">
            <w:pPr>
              <w:rPr>
                <w:rFonts w:eastAsia="Times New Roman"/>
                <w:sz w:val="20"/>
                <w:szCs w:val="20"/>
              </w:rPr>
            </w:pPr>
          </w:p>
        </w:tc>
        <w:tc>
          <w:tcPr>
            <w:tcW w:w="5" w:type="pct"/>
            <w:vAlign w:val="center"/>
            <w:hideMark/>
          </w:tcPr>
          <w:p w14:paraId="6D347A7C" w14:textId="77777777" w:rsidR="00000000" w:rsidRDefault="00C01C43">
            <w:pPr>
              <w:rPr>
                <w:rFonts w:eastAsia="Times New Roman"/>
                <w:sz w:val="20"/>
                <w:szCs w:val="20"/>
              </w:rPr>
            </w:pPr>
          </w:p>
        </w:tc>
      </w:tr>
      <w:tr w:rsidR="00000000" w14:paraId="56E4BBF6" w14:textId="77777777">
        <w:trPr>
          <w:divId w:val="291057107"/>
        </w:trPr>
        <w:tc>
          <w:tcPr>
            <w:tcW w:w="0" w:type="auto"/>
            <w:gridSpan w:val="3"/>
            <w:tcMar>
              <w:top w:w="0" w:type="dxa"/>
              <w:left w:w="20" w:type="dxa"/>
              <w:bottom w:w="0" w:type="dxa"/>
              <w:right w:w="20" w:type="dxa"/>
            </w:tcMar>
            <w:vAlign w:val="center"/>
            <w:hideMark/>
          </w:tcPr>
          <w:p w14:paraId="27A2D79F"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2D36A90F"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25006411"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1B0B9BD2"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2765913F"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7E81DC13"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5F169E61" w14:textId="77777777">
        <w:trPr>
          <w:divId w:val="29105710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00BBE56" w14:textId="77777777" w:rsidR="00000000" w:rsidRDefault="00C01C43">
            <w:pPr>
              <w:rPr>
                <w:rFonts w:eastAsia="Times New Roman"/>
              </w:rPr>
            </w:pPr>
            <w:r>
              <w:rPr>
                <w:rFonts w:ascii="Arial" w:eastAsia="Times New Roman" w:hAnsi="Arial" w:cs="Arial"/>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91A74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CB5E48" w14:textId="77777777" w:rsidR="00000000" w:rsidRDefault="00C01C43">
            <w:pPr>
              <w:jc w:val="right"/>
              <w:rPr>
                <w:rFonts w:eastAsia="Times New Roman"/>
              </w:rPr>
            </w:pPr>
            <w:r>
              <w:rPr>
                <w:rFonts w:ascii="Arial" w:eastAsia="Times New Roman" w:hAnsi="Arial" w:cs="Arial"/>
                <w:color w:val="000000"/>
                <w:sz w:val="20"/>
                <w:szCs w:val="20"/>
              </w:rPr>
              <w:t>604.1 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ECC401"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2817A8"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2051D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F0555C" w14:textId="77777777" w:rsidR="00000000" w:rsidRDefault="00C01C43">
            <w:pPr>
              <w:jc w:val="right"/>
              <w:rPr>
                <w:rFonts w:eastAsia="Times New Roman"/>
              </w:rPr>
            </w:pPr>
            <w:r>
              <w:rPr>
                <w:rFonts w:ascii="Arial" w:eastAsia="Times New Roman" w:hAnsi="Arial" w:cs="Arial"/>
                <w:color w:val="000000"/>
                <w:sz w:val="20"/>
                <w:szCs w:val="20"/>
              </w:rPr>
              <w:t>228.8 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07835E"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476892"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835E1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BD62E8" w14:textId="77777777" w:rsidR="00000000" w:rsidRDefault="00C01C43">
            <w:pPr>
              <w:jc w:val="right"/>
              <w:rPr>
                <w:rFonts w:eastAsia="Times New Roman"/>
              </w:rPr>
            </w:pPr>
            <w:r>
              <w:rPr>
                <w:rFonts w:ascii="Arial" w:eastAsia="Times New Roman" w:hAnsi="Arial" w:cs="Arial"/>
                <w:color w:val="000000"/>
                <w:sz w:val="20"/>
                <w:szCs w:val="20"/>
              </w:rPr>
              <w:t>(182.5)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88544B" w14:textId="77777777" w:rsidR="00000000" w:rsidRDefault="00C01C43">
            <w:pPr>
              <w:jc w:val="right"/>
              <w:rPr>
                <w:rFonts w:eastAsia="Times New Roman"/>
              </w:rPr>
            </w:pPr>
          </w:p>
        </w:tc>
      </w:tr>
      <w:tr w:rsidR="00000000" w14:paraId="01D1AC33" w14:textId="77777777">
        <w:trPr>
          <w:divId w:val="291057107"/>
        </w:trPr>
        <w:tc>
          <w:tcPr>
            <w:tcW w:w="0" w:type="auto"/>
            <w:gridSpan w:val="3"/>
            <w:shd w:val="clear" w:color="auto" w:fill="FFFFFF"/>
            <w:tcMar>
              <w:top w:w="30" w:type="dxa"/>
              <w:left w:w="20" w:type="dxa"/>
              <w:bottom w:w="30" w:type="dxa"/>
              <w:right w:w="20" w:type="dxa"/>
            </w:tcMar>
            <w:vAlign w:val="bottom"/>
            <w:hideMark/>
          </w:tcPr>
          <w:p w14:paraId="01C6E6FA" w14:textId="77777777" w:rsidR="00000000" w:rsidRDefault="00C01C43">
            <w:pPr>
              <w:rPr>
                <w:rFonts w:eastAsia="Times New Roman"/>
              </w:rPr>
            </w:pPr>
            <w:r>
              <w:rPr>
                <w:rFonts w:ascii="Arial" w:eastAsia="Times New Roman" w:hAnsi="Arial" w:cs="Arial"/>
                <w:color w:val="000000"/>
                <w:sz w:val="20"/>
                <w:szCs w:val="20"/>
              </w:rPr>
              <w:t>Net cash provided by (used in) investing activities</w:t>
            </w:r>
          </w:p>
        </w:tc>
        <w:tc>
          <w:tcPr>
            <w:tcW w:w="0" w:type="auto"/>
            <w:gridSpan w:val="2"/>
            <w:shd w:val="clear" w:color="auto" w:fill="FFFFFF"/>
            <w:tcMar>
              <w:top w:w="30" w:type="dxa"/>
              <w:left w:w="20" w:type="dxa"/>
              <w:bottom w:w="30" w:type="dxa"/>
              <w:right w:w="0" w:type="dxa"/>
            </w:tcMar>
            <w:vAlign w:val="bottom"/>
            <w:hideMark/>
          </w:tcPr>
          <w:p w14:paraId="4697C256" w14:textId="77777777" w:rsidR="00000000" w:rsidRDefault="00C01C43">
            <w:pPr>
              <w:jc w:val="right"/>
              <w:rPr>
                <w:rFonts w:eastAsia="Times New Roman"/>
              </w:rPr>
            </w:pPr>
            <w:r>
              <w:rPr>
                <w:rFonts w:ascii="Arial" w:eastAsia="Times New Roman" w:hAnsi="Arial" w:cs="Arial"/>
                <w:color w:val="000000"/>
                <w:sz w:val="20"/>
                <w:szCs w:val="20"/>
              </w:rPr>
              <w:t>72.8 </w:t>
            </w:r>
          </w:p>
        </w:tc>
        <w:tc>
          <w:tcPr>
            <w:tcW w:w="0" w:type="auto"/>
            <w:shd w:val="clear" w:color="auto" w:fill="FFFFFF"/>
            <w:tcMar>
              <w:top w:w="30" w:type="dxa"/>
              <w:left w:w="0" w:type="dxa"/>
              <w:bottom w:w="30" w:type="dxa"/>
              <w:right w:w="20" w:type="dxa"/>
            </w:tcMar>
            <w:vAlign w:val="bottom"/>
            <w:hideMark/>
          </w:tcPr>
          <w:p w14:paraId="47073BF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93E0E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27A88D" w14:textId="77777777" w:rsidR="00000000" w:rsidRDefault="00C01C43">
            <w:pPr>
              <w:jc w:val="right"/>
              <w:rPr>
                <w:rFonts w:eastAsia="Times New Roman"/>
              </w:rPr>
            </w:pPr>
            <w:r>
              <w:rPr>
                <w:rFonts w:ascii="Arial" w:eastAsia="Times New Roman" w:hAnsi="Arial" w:cs="Arial"/>
                <w:color w:val="000000"/>
                <w:sz w:val="20"/>
                <w:szCs w:val="20"/>
              </w:rPr>
              <w:t>(50.5)</w:t>
            </w:r>
          </w:p>
        </w:tc>
        <w:tc>
          <w:tcPr>
            <w:tcW w:w="0" w:type="auto"/>
            <w:shd w:val="clear" w:color="auto" w:fill="FFFFFF"/>
            <w:tcMar>
              <w:top w:w="30" w:type="dxa"/>
              <w:left w:w="0" w:type="dxa"/>
              <w:bottom w:w="30" w:type="dxa"/>
              <w:right w:w="20" w:type="dxa"/>
            </w:tcMar>
            <w:vAlign w:val="bottom"/>
            <w:hideMark/>
          </w:tcPr>
          <w:p w14:paraId="537A10B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DF770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E5EC68" w14:textId="77777777" w:rsidR="00000000" w:rsidRDefault="00C01C43">
            <w:pPr>
              <w:jc w:val="right"/>
              <w:rPr>
                <w:rFonts w:eastAsia="Times New Roman"/>
              </w:rPr>
            </w:pPr>
            <w:r>
              <w:rPr>
                <w:rFonts w:ascii="Arial" w:eastAsia="Times New Roman" w:hAnsi="Arial" w:cs="Arial"/>
                <w:color w:val="000000"/>
                <w:sz w:val="20"/>
                <w:szCs w:val="20"/>
              </w:rPr>
              <w:t>286.0 </w:t>
            </w:r>
          </w:p>
        </w:tc>
        <w:tc>
          <w:tcPr>
            <w:tcW w:w="0" w:type="auto"/>
            <w:shd w:val="clear" w:color="auto" w:fill="FFFFFF"/>
            <w:tcMar>
              <w:top w:w="30" w:type="dxa"/>
              <w:left w:w="0" w:type="dxa"/>
              <w:bottom w:w="30" w:type="dxa"/>
              <w:right w:w="20" w:type="dxa"/>
            </w:tcMar>
            <w:vAlign w:val="bottom"/>
            <w:hideMark/>
          </w:tcPr>
          <w:p w14:paraId="56AB39B5" w14:textId="77777777" w:rsidR="00000000" w:rsidRDefault="00C01C43">
            <w:pPr>
              <w:jc w:val="right"/>
              <w:rPr>
                <w:rFonts w:eastAsia="Times New Roman"/>
              </w:rPr>
            </w:pPr>
          </w:p>
        </w:tc>
      </w:tr>
      <w:tr w:rsidR="00000000" w14:paraId="13FF6E61" w14:textId="77777777">
        <w:trPr>
          <w:divId w:val="291057107"/>
        </w:trPr>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14:paraId="63C7D307" w14:textId="77777777" w:rsidR="00000000" w:rsidRDefault="00C01C43">
            <w:pPr>
              <w:rPr>
                <w:rFonts w:eastAsia="Times New Roman"/>
              </w:rPr>
            </w:pPr>
            <w:r>
              <w:rPr>
                <w:rFonts w:ascii="Arial" w:eastAsia="Times New Roman" w:hAnsi="Arial" w:cs="Arial"/>
                <w:color w:val="000000"/>
                <w:sz w:val="20"/>
                <w:szCs w:val="20"/>
              </w:rPr>
              <w:t>Net cash provided by (used in) financing activities</w:t>
            </w: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14:paraId="03F79DB9" w14:textId="77777777" w:rsidR="00000000" w:rsidRDefault="00C01C43">
            <w:pPr>
              <w:jc w:val="right"/>
              <w:rPr>
                <w:rFonts w:eastAsia="Times New Roman"/>
              </w:rPr>
            </w:pPr>
            <w:r>
              <w:rPr>
                <w:rFonts w:ascii="Arial" w:eastAsia="Times New Roman" w:hAnsi="Arial" w:cs="Arial"/>
                <w:color w:val="000000"/>
                <w:sz w:val="20"/>
                <w:szCs w:val="20"/>
              </w:rPr>
              <w:t>(213.0)</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D6A7515" w14:textId="77777777" w:rsidR="00000000" w:rsidRDefault="00C01C43">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081A8D49" w14:textId="77777777" w:rsidR="00000000" w:rsidRDefault="00C01C43">
            <w:pPr>
              <w:jc w:val="right"/>
              <w:rPr>
                <w:rFonts w:eastAsia="Times New Roman"/>
                <w:sz w:val="20"/>
                <w:szCs w:val="20"/>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14:paraId="7DAAD726" w14:textId="77777777" w:rsidR="00000000" w:rsidRDefault="00C01C43">
            <w:pPr>
              <w:jc w:val="right"/>
              <w:rPr>
                <w:rFonts w:eastAsia="Times New Roman"/>
              </w:rPr>
            </w:pPr>
            <w:r>
              <w:rPr>
                <w:rFonts w:ascii="Arial" w:eastAsia="Times New Roman" w:hAnsi="Arial" w:cs="Arial"/>
                <w:color w:val="000000"/>
                <w:sz w:val="20"/>
                <w:szCs w:val="20"/>
              </w:rPr>
              <w:t>(204.9)</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1E0CBE66" w14:textId="77777777" w:rsidR="00000000" w:rsidRDefault="00C01C43">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69F1109D" w14:textId="77777777" w:rsidR="00000000" w:rsidRDefault="00C01C43">
            <w:pPr>
              <w:jc w:val="right"/>
              <w:rPr>
                <w:rFonts w:eastAsia="Times New Roman"/>
                <w:sz w:val="20"/>
                <w:szCs w:val="20"/>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14:paraId="601754C3" w14:textId="77777777" w:rsidR="00000000" w:rsidRDefault="00C01C43">
            <w:pPr>
              <w:jc w:val="right"/>
              <w:rPr>
                <w:rFonts w:eastAsia="Times New Roman"/>
              </w:rPr>
            </w:pPr>
            <w:r>
              <w:rPr>
                <w:rFonts w:ascii="Arial" w:eastAsia="Times New Roman" w:hAnsi="Arial" w:cs="Arial"/>
                <w:color w:val="000000"/>
                <w:sz w:val="20"/>
                <w:szCs w:val="20"/>
              </w:rPr>
              <w:t>(257.1)</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7A1BB519" w14:textId="77777777" w:rsidR="00000000" w:rsidRDefault="00C01C43">
            <w:pPr>
              <w:jc w:val="right"/>
              <w:rPr>
                <w:rFonts w:eastAsia="Times New Roman"/>
              </w:rPr>
            </w:pPr>
          </w:p>
        </w:tc>
      </w:tr>
    </w:tbl>
    <w:p w14:paraId="493A411A" w14:textId="77777777" w:rsidR="00000000" w:rsidRDefault="00C01C43">
      <w:pPr>
        <w:jc w:val="center"/>
        <w:divId w:val="280499361"/>
        <w:rPr>
          <w:rFonts w:eastAsia="Times New Roman"/>
        </w:rPr>
      </w:pPr>
      <w:r>
        <w:rPr>
          <w:rFonts w:ascii="Arial" w:eastAsia="Times New Roman" w:hAnsi="Arial" w:cs="Arial"/>
          <w:color w:val="000000"/>
          <w:sz w:val="16"/>
          <w:szCs w:val="16"/>
        </w:rPr>
        <w:t>31</w:t>
      </w:r>
    </w:p>
    <w:p w14:paraId="5AE04F52" w14:textId="77777777" w:rsidR="00000000" w:rsidRDefault="00C01C43">
      <w:pPr>
        <w:rPr>
          <w:rFonts w:eastAsia="Times New Roman"/>
        </w:rPr>
      </w:pPr>
      <w:r>
        <w:rPr>
          <w:rFonts w:eastAsia="Times New Roman"/>
        </w:rPr>
        <w:pict w14:anchorId="793A70D2">
          <v:rect id="_x0000_i1060" style="width:0;height:1.5pt" o:hralign="center" o:hrstd="t" o:hr="t" fillcolor="#a0a0a0" stroked="f"/>
        </w:pict>
      </w:r>
    </w:p>
    <w:p w14:paraId="6A4FE490" w14:textId="77777777" w:rsidR="00000000" w:rsidRDefault="00C01C43">
      <w:pPr>
        <w:divId w:val="467665923"/>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600581C" w14:textId="77777777" w:rsidR="00000000" w:rsidRDefault="00C01C43">
      <w:pPr>
        <w:divId w:val="170610793"/>
        <w:rPr>
          <w:rFonts w:eastAsia="Times New Roman"/>
        </w:rPr>
      </w:pPr>
    </w:p>
    <w:p w14:paraId="2640DDF3" w14:textId="77777777" w:rsidR="00000000" w:rsidRDefault="00C01C43">
      <w:pPr>
        <w:jc w:val="both"/>
        <w:rPr>
          <w:rFonts w:eastAsia="Times New Roman"/>
        </w:rPr>
      </w:pPr>
      <w:r>
        <w:rPr>
          <w:rFonts w:ascii="Arial" w:eastAsia="Times New Roman" w:hAnsi="Arial" w:cs="Arial"/>
          <w:b/>
          <w:bCs/>
          <w:i/>
          <w:iCs/>
          <w:color w:val="000000"/>
          <w:sz w:val="20"/>
          <w:szCs w:val="20"/>
        </w:rPr>
        <w:t>2020 compared to 2019</w:t>
      </w:r>
    </w:p>
    <w:p w14:paraId="218F7A76" w14:textId="77777777" w:rsidR="00000000" w:rsidRDefault="00C01C43">
      <w:pPr>
        <w:jc w:val="both"/>
        <w:rPr>
          <w:rFonts w:eastAsia="Times New Roman"/>
        </w:rPr>
      </w:pPr>
      <w:r>
        <w:rPr>
          <w:rFonts w:ascii="Arial" w:eastAsia="Times New Roman" w:hAnsi="Arial" w:cs="Arial"/>
          <w:i/>
          <w:iCs/>
          <w:color w:val="000000"/>
          <w:sz w:val="20"/>
          <w:szCs w:val="20"/>
        </w:rPr>
        <w:t>Operating Activities.</w:t>
      </w:r>
      <w:r>
        <w:rPr>
          <w:rFonts w:ascii="Arial" w:eastAsia="Times New Roman" w:hAnsi="Arial" w:cs="Arial"/>
          <w:color w:val="000000"/>
          <w:sz w:val="20"/>
          <w:szCs w:val="20"/>
        </w:rPr>
        <w:t> For the year ended December </w:t>
      </w:r>
      <w:r>
        <w:rPr>
          <w:rFonts w:ascii="Arial" w:eastAsia="Times New Roman" w:hAnsi="Arial" w:cs="Arial"/>
          <w:color w:val="000000"/>
          <w:sz w:val="20"/>
          <w:szCs w:val="20"/>
        </w:rPr>
        <w:t>31, 2020, net cash provided by operating activities was $604.1 million compared to $228.8 million provided during the year ended December 31, 2019.  The $375.4 million change in operating cash flows was principally due to favorable year-over-year changes i</w:t>
      </w:r>
      <w:r>
        <w:rPr>
          <w:rFonts w:ascii="Arial" w:eastAsia="Times New Roman" w:hAnsi="Arial" w:cs="Arial"/>
          <w:color w:val="000000"/>
          <w:sz w:val="20"/>
          <w:szCs w:val="20"/>
        </w:rPr>
        <w:t>n working capital, excluding cash, of $538.6 million, offset by: i) $90.9 million of noncash adjustments principally associated with a gain on sale of a business, ii) decrease of $71.4 million in Net income including noncontrolling interest, iii) $0.8 mill</w:t>
      </w:r>
      <w:r>
        <w:rPr>
          <w:rFonts w:ascii="Arial" w:eastAsia="Times New Roman" w:hAnsi="Arial" w:cs="Arial"/>
          <w:color w:val="000000"/>
          <w:sz w:val="20"/>
          <w:szCs w:val="20"/>
        </w:rPr>
        <w:t>ion decrease in certain other long term assets and liabilities. The changes in working capital, excluding cash, primarily reflect a $1.9 billion net decrease in accounts receivable, inventories, and prepaid expenses, offset by a $1.3 billion net decrease i</w:t>
      </w:r>
      <w:r>
        <w:rPr>
          <w:rFonts w:ascii="Arial" w:eastAsia="Times New Roman" w:hAnsi="Arial" w:cs="Arial"/>
          <w:color w:val="000000"/>
          <w:sz w:val="20"/>
          <w:szCs w:val="20"/>
        </w:rPr>
        <w:t>n accounts payable, customer deposits, and accrued expenses and other current liabilities.</w:t>
      </w:r>
    </w:p>
    <w:p w14:paraId="1859C9C6" w14:textId="77777777" w:rsidR="00000000" w:rsidRDefault="00C01C43">
      <w:pPr>
        <w:jc w:val="both"/>
        <w:rPr>
          <w:rFonts w:eastAsia="Times New Roman"/>
        </w:rPr>
      </w:pPr>
    </w:p>
    <w:p w14:paraId="479E80A7" w14:textId="77777777" w:rsidR="00000000" w:rsidRDefault="00C01C43">
      <w:pPr>
        <w:jc w:val="both"/>
        <w:rPr>
          <w:rFonts w:eastAsia="Times New Roman"/>
        </w:rPr>
      </w:pPr>
      <w:r>
        <w:rPr>
          <w:rFonts w:ascii="Arial" w:eastAsia="Times New Roman" w:hAnsi="Arial" w:cs="Arial"/>
          <w:i/>
          <w:iCs/>
          <w:color w:val="000000"/>
          <w:sz w:val="20"/>
          <w:szCs w:val="20"/>
        </w:rPr>
        <w:t>Investing Activities.</w:t>
      </w:r>
      <w:r>
        <w:rPr>
          <w:rFonts w:ascii="Arial" w:eastAsia="Times New Roman" w:hAnsi="Arial" w:cs="Arial"/>
          <w:color w:val="000000"/>
          <w:sz w:val="20"/>
          <w:szCs w:val="20"/>
        </w:rPr>
        <w:t xml:space="preserve"> For the year ended December 31, 2020, net cash provided by investing activities was $72.8 million compared to net cash used of $50.5 million </w:t>
      </w:r>
      <w:r>
        <w:rPr>
          <w:rFonts w:ascii="Arial" w:eastAsia="Times New Roman" w:hAnsi="Arial" w:cs="Arial"/>
          <w:color w:val="000000"/>
          <w:sz w:val="20"/>
          <w:szCs w:val="20"/>
        </w:rPr>
        <w:t>for the year ended December 31, 2019. The $123.4 million increase in cash flows was primarily due to an increase in net cash proceeds of $228.9 million received from the sales of businesses and a $29.6 million decrease in capital expenditures, partially of</w:t>
      </w:r>
      <w:r>
        <w:rPr>
          <w:rFonts w:ascii="Arial" w:eastAsia="Times New Roman" w:hAnsi="Arial" w:cs="Arial"/>
          <w:color w:val="000000"/>
          <w:sz w:val="20"/>
          <w:szCs w:val="20"/>
        </w:rPr>
        <w:t>fset by $128.6 million in cash paid to acquire our UVair fuel business.</w:t>
      </w:r>
    </w:p>
    <w:p w14:paraId="26BA6AB3" w14:textId="77777777" w:rsidR="00000000" w:rsidRDefault="00C01C43">
      <w:pPr>
        <w:jc w:val="both"/>
        <w:rPr>
          <w:rFonts w:eastAsia="Times New Roman"/>
        </w:rPr>
      </w:pPr>
    </w:p>
    <w:p w14:paraId="589C1B4F" w14:textId="77777777" w:rsidR="00000000" w:rsidRDefault="00C01C43">
      <w:pPr>
        <w:jc w:val="both"/>
        <w:rPr>
          <w:rFonts w:eastAsia="Times New Roman"/>
        </w:rPr>
      </w:pPr>
      <w:r>
        <w:rPr>
          <w:rFonts w:ascii="Arial" w:eastAsia="Times New Roman" w:hAnsi="Arial" w:cs="Arial"/>
          <w:i/>
          <w:iCs/>
          <w:color w:val="000000"/>
          <w:sz w:val="20"/>
          <w:szCs w:val="20"/>
        </w:rPr>
        <w:t>Financing Activities.</w:t>
      </w:r>
      <w:r>
        <w:rPr>
          <w:rFonts w:ascii="Arial" w:eastAsia="Times New Roman" w:hAnsi="Arial" w:cs="Arial"/>
          <w:color w:val="000000"/>
          <w:sz w:val="20"/>
          <w:szCs w:val="20"/>
        </w:rPr>
        <w:t> For the year ended December 31, 2020, net cash used in financing activities was $213.0 million compared to net cash used of $204.9 million for the year ended De</w:t>
      </w:r>
      <w:r>
        <w:rPr>
          <w:rFonts w:ascii="Arial" w:eastAsia="Times New Roman" w:hAnsi="Arial" w:cs="Arial"/>
          <w:color w:val="000000"/>
          <w:sz w:val="20"/>
          <w:szCs w:val="20"/>
        </w:rPr>
        <w:t>cember 31, 2019. The $8.2 million change was principally due to a $33.5 million increase in net repayments of debt under our credit facility, increases of $4.5 million and $2.9 million in dividends and common stock repurchases, respectively, partially offs</w:t>
      </w:r>
      <w:r>
        <w:rPr>
          <w:rFonts w:ascii="Arial" w:eastAsia="Times New Roman" w:hAnsi="Arial" w:cs="Arial"/>
          <w:color w:val="000000"/>
          <w:sz w:val="20"/>
          <w:szCs w:val="20"/>
        </w:rPr>
        <w:t>et by a $32.8 million decrease related to the 2019 acquisition of a noncontrolling interest in a consolidated subsidiary.</w:t>
      </w:r>
    </w:p>
    <w:p w14:paraId="77D08E12" w14:textId="77777777" w:rsidR="00000000" w:rsidRDefault="00C01C43">
      <w:pPr>
        <w:jc w:val="both"/>
        <w:rPr>
          <w:rFonts w:eastAsia="Times New Roman"/>
        </w:rPr>
      </w:pPr>
    </w:p>
    <w:p w14:paraId="16E749B8" w14:textId="77777777" w:rsidR="00000000" w:rsidRDefault="00C01C43">
      <w:pPr>
        <w:jc w:val="both"/>
        <w:rPr>
          <w:rFonts w:eastAsia="Times New Roman"/>
        </w:rPr>
      </w:pPr>
      <w:r>
        <w:rPr>
          <w:rFonts w:ascii="Arial" w:eastAsia="Times New Roman" w:hAnsi="Arial" w:cs="Arial"/>
          <w:b/>
          <w:bCs/>
          <w:color w:val="000000"/>
          <w:sz w:val="20"/>
          <w:szCs w:val="20"/>
        </w:rPr>
        <w:t>Other Liquidity Measures</w:t>
      </w:r>
    </w:p>
    <w:p w14:paraId="4203D104" w14:textId="77777777" w:rsidR="00000000" w:rsidRDefault="00C01C43">
      <w:pPr>
        <w:jc w:val="both"/>
        <w:divId w:val="1539008480"/>
        <w:rPr>
          <w:rFonts w:eastAsia="Times New Roman"/>
        </w:rPr>
      </w:pPr>
      <w:r>
        <w:rPr>
          <w:rFonts w:ascii="Arial" w:eastAsia="Times New Roman" w:hAnsi="Arial" w:cs="Arial"/>
          <w:i/>
          <w:iCs/>
          <w:color w:val="000000"/>
          <w:sz w:val="20"/>
          <w:szCs w:val="20"/>
        </w:rPr>
        <w:t>Cash and Cash Equivalents.</w:t>
      </w:r>
      <w:r>
        <w:rPr>
          <w:rFonts w:ascii="Arial" w:eastAsia="Times New Roman" w:hAnsi="Arial" w:cs="Arial"/>
          <w:color w:val="000000"/>
          <w:sz w:val="20"/>
          <w:szCs w:val="20"/>
        </w:rPr>
        <w:t xml:space="preserve"> As of December 31, 2020 and 2019, we had cash and cash equivalents of $658.8 mil</w:t>
      </w:r>
      <w:r>
        <w:rPr>
          <w:rFonts w:ascii="Arial" w:eastAsia="Times New Roman" w:hAnsi="Arial" w:cs="Arial"/>
          <w:color w:val="000000"/>
          <w:sz w:val="20"/>
          <w:szCs w:val="20"/>
        </w:rPr>
        <w:t>lion and $186.1 million, respectively. Our primary uses of cash and cash equivalents are to make strategic investments, primarily acquisitions, and to purchase inventory. We are provided unsecured trade credit by nearly all of our suppliers for our fuel pu</w:t>
      </w:r>
      <w:r>
        <w:rPr>
          <w:rFonts w:ascii="Arial" w:eastAsia="Times New Roman" w:hAnsi="Arial" w:cs="Arial"/>
          <w:color w:val="000000"/>
          <w:sz w:val="20"/>
          <w:szCs w:val="20"/>
        </w:rPr>
        <w:t>rchases; however, a small number of suppliers require us to either prepay or provide a letter of credit. Increases in oil prices can negatively affect liquidity by increasing the amount of cash needed to fund fuel purchases as well as reducing the amount o</w:t>
      </w:r>
      <w:r>
        <w:rPr>
          <w:rFonts w:ascii="Arial" w:eastAsia="Times New Roman" w:hAnsi="Arial" w:cs="Arial"/>
          <w:color w:val="000000"/>
          <w:sz w:val="20"/>
          <w:szCs w:val="20"/>
        </w:rPr>
        <w:t>f fuel that we can purchase on an unsecured basis from our suppliers.</w:t>
      </w:r>
    </w:p>
    <w:p w14:paraId="277650A2" w14:textId="77777777" w:rsidR="00000000" w:rsidRDefault="00C01C43">
      <w:pPr>
        <w:jc w:val="both"/>
        <w:divId w:val="566459224"/>
        <w:rPr>
          <w:rFonts w:eastAsia="Times New Roman"/>
        </w:rPr>
      </w:pPr>
      <w:r>
        <w:rPr>
          <w:rFonts w:ascii="Arial" w:eastAsia="Times New Roman" w:hAnsi="Arial" w:cs="Arial"/>
          <w:i/>
          <w:iCs/>
          <w:color w:val="000000"/>
          <w:sz w:val="20"/>
          <w:szCs w:val="20"/>
        </w:rPr>
        <w:t>Credit Facility and Term Loans</w:t>
      </w:r>
      <w:r>
        <w:rPr>
          <w:rFonts w:ascii="Arial" w:eastAsia="Times New Roman" w:hAnsi="Arial" w:cs="Arial"/>
          <w:color w:val="000000"/>
          <w:sz w:val="20"/>
          <w:szCs w:val="20"/>
        </w:rPr>
        <w:t>. Our Credit Agreement, as amended through December 31, 2020, consists of a revolving loan under which up to $1.3 billion aggregate principal amount could b</w:t>
      </w:r>
      <w:r>
        <w:rPr>
          <w:rFonts w:ascii="Arial" w:eastAsia="Times New Roman" w:hAnsi="Arial" w:cs="Arial"/>
          <w:color w:val="000000"/>
          <w:sz w:val="20"/>
          <w:szCs w:val="20"/>
        </w:rPr>
        <w:t>e borrowed, repaid and redrawn, based upon specific financial ratios and subject to the satisfaction of other customary conditions to borrowing. Our Credit Facility includes a sublimit of $400.0 million for the issuance of letters of credit and bankers' ac</w:t>
      </w:r>
      <w:r>
        <w:rPr>
          <w:rFonts w:ascii="Arial" w:eastAsia="Times New Roman" w:hAnsi="Arial" w:cs="Arial"/>
          <w:color w:val="000000"/>
          <w:sz w:val="20"/>
          <w:szCs w:val="20"/>
        </w:rPr>
        <w:t>ceptances. Under the Credit Facility, we have the right to request increases in available borrowings up to an additional $400.0 million, subject to the satisfaction of certain conditions and we have the right to request increases in available borrowings up</w:t>
      </w:r>
      <w:r>
        <w:rPr>
          <w:rFonts w:ascii="Arial" w:eastAsia="Times New Roman" w:hAnsi="Arial" w:cs="Arial"/>
          <w:color w:val="000000"/>
          <w:sz w:val="20"/>
          <w:szCs w:val="20"/>
        </w:rPr>
        <w:t xml:space="preserve"> to an additional $200.0 million. In addition, as of December 31, 2020 and 2019, we had $503.2 million and $515.6 million in Term Loans outstanding, respectively. We had no outstanding borrowings under our Credit Facility as of December 31, 2020. At Decemb</w:t>
      </w:r>
      <w:r>
        <w:rPr>
          <w:rFonts w:ascii="Arial" w:eastAsia="Times New Roman" w:hAnsi="Arial" w:cs="Arial"/>
          <w:color w:val="000000"/>
          <w:sz w:val="20"/>
          <w:szCs w:val="20"/>
        </w:rPr>
        <w:t>er 31, 2019 we had outstanding borrowings of $55.0 million. Our issued letters of credit under the Credit Facility totaled $3.4 million and $4.3 million as of December 31, 2020 and 2019, respectively. As of December 31, 2020 and 2019, the unused portion of</w:t>
      </w:r>
      <w:r>
        <w:rPr>
          <w:rFonts w:ascii="Arial" w:eastAsia="Times New Roman" w:hAnsi="Arial" w:cs="Arial"/>
          <w:color w:val="000000"/>
          <w:sz w:val="20"/>
          <w:szCs w:val="20"/>
        </w:rPr>
        <w:t xml:space="preserve"> our Credit Facility was $1.3 billion and $1.2 billion, respectively. The unused portion of our Credit Facility is limited by, among other things, our financial leverage ratio, which limits the total amount of indebtedness we may incur, and may, therefore,</w:t>
      </w:r>
      <w:r>
        <w:rPr>
          <w:rFonts w:ascii="Arial" w:eastAsia="Times New Roman" w:hAnsi="Arial" w:cs="Arial"/>
          <w:color w:val="000000"/>
          <w:sz w:val="20"/>
          <w:szCs w:val="20"/>
        </w:rPr>
        <w:t xml:space="preserve"> fluctuate from period to period.</w:t>
      </w:r>
    </w:p>
    <w:p w14:paraId="010029F4" w14:textId="77777777" w:rsidR="00000000" w:rsidRDefault="00C01C43">
      <w:pPr>
        <w:jc w:val="both"/>
        <w:divId w:val="442959757"/>
        <w:rPr>
          <w:rFonts w:eastAsia="Times New Roman"/>
        </w:rPr>
      </w:pPr>
      <w:r>
        <w:rPr>
          <w:rFonts w:ascii="Arial" w:eastAsia="Times New Roman" w:hAnsi="Arial" w:cs="Arial"/>
          <w:color w:val="000000"/>
          <w:sz w:val="20"/>
          <w:szCs w:val="20"/>
        </w:rPr>
        <w:t>Borrowings under our Credit Facility and Term Loans related to base rate loans or Eurodollar rate loans bear floating interest rates plus applicable margins. As of December 31, 2020, the applicable margins for base rate lo</w:t>
      </w:r>
      <w:r>
        <w:rPr>
          <w:rFonts w:ascii="Arial" w:eastAsia="Times New Roman" w:hAnsi="Arial" w:cs="Arial"/>
          <w:color w:val="000000"/>
          <w:sz w:val="20"/>
          <w:szCs w:val="20"/>
        </w:rPr>
        <w:t>ans and Eurodollar rate loans were 0.75% and 1.75%, respectively.</w:t>
      </w:r>
    </w:p>
    <w:p w14:paraId="7E56139C" w14:textId="77777777" w:rsidR="00000000" w:rsidRDefault="00C01C43">
      <w:pPr>
        <w:jc w:val="both"/>
        <w:divId w:val="866332615"/>
        <w:rPr>
          <w:rFonts w:eastAsia="Times New Roman"/>
        </w:rPr>
      </w:pPr>
      <w:r>
        <w:rPr>
          <w:rFonts w:ascii="Arial" w:eastAsia="Times New Roman" w:hAnsi="Arial" w:cs="Arial"/>
          <w:color w:val="000000"/>
          <w:sz w:val="20"/>
          <w:szCs w:val="20"/>
        </w:rPr>
        <w:t>Our liquidity, consisting of cash and cash equivalents and availability under the Credit Facility, fluctuates based on a number of factors, including the timing of receipts from our customer</w:t>
      </w:r>
      <w:r>
        <w:rPr>
          <w:rFonts w:ascii="Arial" w:eastAsia="Times New Roman" w:hAnsi="Arial" w:cs="Arial"/>
          <w:color w:val="000000"/>
          <w:sz w:val="20"/>
          <w:szCs w:val="20"/>
        </w:rPr>
        <w:t>s and payments to our suppliers as well as commodity prices. Availability under our Credit Facility is principally limited by the ratio of adjusted total debt to adjusted EBITDA, as defined in the agreement, which limits the total amount of indebtedness we</w:t>
      </w:r>
      <w:r>
        <w:rPr>
          <w:rFonts w:ascii="Arial" w:eastAsia="Times New Roman" w:hAnsi="Arial" w:cs="Arial"/>
          <w:color w:val="000000"/>
          <w:sz w:val="20"/>
          <w:szCs w:val="20"/>
        </w:rPr>
        <w:t xml:space="preserve"> may incur to not more than 3.75 to 1. Accordingly, our availability under the Credit Facility may fluctuate from period to period.</w:t>
      </w:r>
    </w:p>
    <w:p w14:paraId="473B3AB0" w14:textId="77777777" w:rsidR="00000000" w:rsidRDefault="00C01C43">
      <w:pPr>
        <w:jc w:val="both"/>
        <w:divId w:val="233317273"/>
        <w:rPr>
          <w:rFonts w:eastAsia="Times New Roman"/>
        </w:rPr>
      </w:pPr>
    </w:p>
    <w:p w14:paraId="4647506C" w14:textId="77777777" w:rsidR="00000000" w:rsidRDefault="00C01C43">
      <w:pPr>
        <w:jc w:val="center"/>
        <w:divId w:val="955135543"/>
        <w:rPr>
          <w:rFonts w:eastAsia="Times New Roman"/>
        </w:rPr>
      </w:pPr>
      <w:r>
        <w:rPr>
          <w:rFonts w:ascii="Arial" w:eastAsia="Times New Roman" w:hAnsi="Arial" w:cs="Arial"/>
          <w:color w:val="000000"/>
          <w:sz w:val="16"/>
          <w:szCs w:val="16"/>
        </w:rPr>
        <w:t>32</w:t>
      </w:r>
    </w:p>
    <w:p w14:paraId="38E51AF3" w14:textId="77777777" w:rsidR="00000000" w:rsidRDefault="00C01C43">
      <w:pPr>
        <w:rPr>
          <w:rFonts w:eastAsia="Times New Roman"/>
        </w:rPr>
      </w:pPr>
      <w:r>
        <w:rPr>
          <w:rFonts w:eastAsia="Times New Roman"/>
        </w:rPr>
        <w:pict w14:anchorId="52072784">
          <v:rect id="_x0000_i1061" style="width:0;height:1.5pt" o:hralign="center" o:hrstd="t" o:hr="t" fillcolor="#a0a0a0" stroked="f"/>
        </w:pict>
      </w:r>
    </w:p>
    <w:p w14:paraId="48479C57" w14:textId="77777777" w:rsidR="00000000" w:rsidRDefault="00C01C43">
      <w:pPr>
        <w:divId w:val="1304191056"/>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E459B0E" w14:textId="77777777" w:rsidR="00000000" w:rsidRDefault="00C01C43">
      <w:pPr>
        <w:jc w:val="both"/>
        <w:rPr>
          <w:rFonts w:eastAsia="Times New Roman"/>
        </w:rPr>
      </w:pPr>
      <w:r>
        <w:rPr>
          <w:rFonts w:ascii="Arial" w:eastAsia="Times New Roman" w:hAnsi="Arial" w:cs="Arial"/>
          <w:color w:val="000000"/>
          <w:sz w:val="20"/>
          <w:szCs w:val="20"/>
        </w:rPr>
        <w:t>Our Credit Facility and Term Loans contain certain financial and other covenants with which we are required to comply. Our failure to comply with the covenants contained in our Credit Facility and our Term Loans could result in an event of default. An even</w:t>
      </w:r>
      <w:r>
        <w:rPr>
          <w:rFonts w:ascii="Arial" w:eastAsia="Times New Roman" w:hAnsi="Arial" w:cs="Arial"/>
          <w:color w:val="000000"/>
          <w:sz w:val="20"/>
          <w:szCs w:val="20"/>
        </w:rPr>
        <w:t>t of default, if not cured or waived, would permit acceleration of any outstanding indebtedness under the Credit Facility and our Term Loans, trigger cross-defaults under certain other agreements to which we are a party and impair our ability to obtain wor</w:t>
      </w:r>
      <w:r>
        <w:rPr>
          <w:rFonts w:ascii="Arial" w:eastAsia="Times New Roman" w:hAnsi="Arial" w:cs="Arial"/>
          <w:color w:val="000000"/>
          <w:sz w:val="20"/>
          <w:szCs w:val="20"/>
        </w:rPr>
        <w:t xml:space="preserve">king capital advances and issue letters of credit, which would have a material adverse effect on our business, financial condition, results of operations and cash flows. As of December 31, 2020, we were in compliance with all financial covenants contained </w:t>
      </w:r>
      <w:r>
        <w:rPr>
          <w:rFonts w:ascii="Arial" w:eastAsia="Times New Roman" w:hAnsi="Arial" w:cs="Arial"/>
          <w:color w:val="000000"/>
          <w:sz w:val="20"/>
          <w:szCs w:val="20"/>
        </w:rPr>
        <w:t>in our Credit Facility and our Term Loans.</w:t>
      </w:r>
    </w:p>
    <w:p w14:paraId="4F5A660A" w14:textId="77777777" w:rsidR="00000000" w:rsidRDefault="00C01C43">
      <w:pPr>
        <w:divId w:val="1508714667"/>
        <w:rPr>
          <w:rFonts w:eastAsia="Times New Roman"/>
        </w:rPr>
      </w:pPr>
    </w:p>
    <w:p w14:paraId="5A097482" w14:textId="77777777" w:rsidR="00000000" w:rsidRDefault="00C01C43">
      <w:pPr>
        <w:jc w:val="both"/>
        <w:divId w:val="1069426537"/>
        <w:rPr>
          <w:rFonts w:eastAsia="Times New Roman"/>
        </w:rPr>
      </w:pPr>
      <w:r>
        <w:rPr>
          <w:rFonts w:ascii="Arial" w:eastAsia="Times New Roman" w:hAnsi="Arial" w:cs="Arial"/>
          <w:i/>
          <w:iCs/>
          <w:color w:val="000000"/>
          <w:sz w:val="20"/>
          <w:szCs w:val="20"/>
        </w:rPr>
        <w:t xml:space="preserve">Other Credit Lines and Receivables Purchase Agreements. </w:t>
      </w:r>
      <w:r>
        <w:rPr>
          <w:rFonts w:ascii="Arial" w:eastAsia="Times New Roman" w:hAnsi="Arial" w:cs="Arial"/>
          <w:color w:val="000000"/>
          <w:sz w:val="20"/>
          <w:szCs w:val="20"/>
        </w:rPr>
        <w:t>Additionally, we have other uncommitted credit lines primarily for the issuance of letters of credit, bank guarantees and bankers’ acceptances. These credi</w:t>
      </w:r>
      <w:r>
        <w:rPr>
          <w:rFonts w:ascii="Arial" w:eastAsia="Times New Roman" w:hAnsi="Arial" w:cs="Arial"/>
          <w:color w:val="000000"/>
          <w:sz w:val="20"/>
          <w:szCs w:val="20"/>
        </w:rPr>
        <w:t>t lines are renewable on an annual basis and are subject to fees at market rates. As of December 31, 2020 and 2019, our outstanding letters of credit and bank guarantees under these credit lines totaled $328.4 million and $375.2 million, respectively.</w:t>
      </w:r>
    </w:p>
    <w:p w14:paraId="37C78821" w14:textId="77777777" w:rsidR="00000000" w:rsidRDefault="00C01C43">
      <w:pPr>
        <w:jc w:val="both"/>
        <w:divId w:val="28531496"/>
        <w:rPr>
          <w:rFonts w:eastAsia="Times New Roman"/>
        </w:rPr>
      </w:pPr>
      <w:r>
        <w:rPr>
          <w:rFonts w:ascii="Arial" w:eastAsia="Times New Roman" w:hAnsi="Arial" w:cs="Arial"/>
          <w:color w:val="000000"/>
          <w:sz w:val="20"/>
          <w:szCs w:val="20"/>
        </w:rPr>
        <w:t>We a</w:t>
      </w:r>
      <w:r>
        <w:rPr>
          <w:rFonts w:ascii="Arial" w:eastAsia="Times New Roman" w:hAnsi="Arial" w:cs="Arial"/>
          <w:color w:val="000000"/>
          <w:sz w:val="20"/>
          <w:szCs w:val="20"/>
        </w:rPr>
        <w:t xml:space="preserve">lso have accounts receivable financing programs under receivables purchase agreements (“RPAs”) with Wells Fargo Bank, N.A. and Citibank, N.A. that allow for the sale of our accounts receivable in an amount up to 100% of our outstanding qualifying accounts </w:t>
      </w:r>
      <w:r>
        <w:rPr>
          <w:rFonts w:ascii="Arial" w:eastAsia="Times New Roman" w:hAnsi="Arial" w:cs="Arial"/>
          <w:color w:val="000000"/>
          <w:sz w:val="20"/>
          <w:szCs w:val="20"/>
        </w:rPr>
        <w:t>receivable balances and receive cash consideration equal to the total balance, less a discount margin equal to LIBOR plus 1.00% to 3.25%, which varies based on the outstanding accounts receivable at any given time and assumes maximum utilization of the RPA</w:t>
      </w:r>
      <w:r>
        <w:rPr>
          <w:rFonts w:ascii="Arial" w:eastAsia="Times New Roman" w:hAnsi="Arial" w:cs="Arial"/>
          <w:color w:val="000000"/>
          <w:sz w:val="20"/>
          <w:szCs w:val="20"/>
        </w:rPr>
        <w:t xml:space="preserve"> facilities. During the third quarter of 2020, we amended our RPA with Citibank N.A. to, among other things, extend the renewal option term of the RPA through 2024. The RPA agreements provide the banks with the ability to add or remove customers from these</w:t>
      </w:r>
      <w:r>
        <w:rPr>
          <w:rFonts w:ascii="Arial" w:eastAsia="Times New Roman" w:hAnsi="Arial" w:cs="Arial"/>
          <w:color w:val="000000"/>
          <w:sz w:val="20"/>
          <w:szCs w:val="20"/>
        </w:rPr>
        <w:t xml:space="preserve"> programs based on, among other things, the level of risk exposure the bank is willing to accept with respect to any customer. The fees the banks charge us to purchase the receivables from these customers can also be impacted for these reasons. Under the R</w:t>
      </w:r>
      <w:r>
        <w:rPr>
          <w:rFonts w:ascii="Arial" w:eastAsia="Times New Roman" w:hAnsi="Arial" w:cs="Arial"/>
          <w:color w:val="000000"/>
          <w:sz w:val="20"/>
          <w:szCs w:val="20"/>
        </w:rPr>
        <w:t xml:space="preserve">PAs, accounts receivable sold which remained outstanding at December 31, 2020 and 2019, were $306.9 million and $405.9 million, respectively. The reduction in accounts receivable sold and outstanding at December 31, 2020 was driven primarily by lower fuel </w:t>
      </w:r>
      <w:r>
        <w:rPr>
          <w:rFonts w:ascii="Arial" w:eastAsia="Times New Roman" w:hAnsi="Arial" w:cs="Arial"/>
          <w:color w:val="000000"/>
          <w:sz w:val="20"/>
          <w:szCs w:val="20"/>
        </w:rPr>
        <w:t>prices and the decline in activity in our commercial aviation and marine businesses due to the impact of the pandemic on airlines and cruise lines.</w:t>
      </w:r>
    </w:p>
    <w:p w14:paraId="7CBE18DA" w14:textId="77777777" w:rsidR="00000000" w:rsidRDefault="00C01C43">
      <w:pPr>
        <w:jc w:val="both"/>
        <w:divId w:val="658920884"/>
        <w:rPr>
          <w:rFonts w:eastAsia="Times New Roman"/>
        </w:rPr>
      </w:pPr>
      <w:r>
        <w:rPr>
          <w:rFonts w:ascii="Arial" w:eastAsia="Times New Roman" w:hAnsi="Arial" w:cs="Arial"/>
          <w:i/>
          <w:iCs/>
          <w:color w:val="000000"/>
          <w:sz w:val="20"/>
          <w:szCs w:val="20"/>
        </w:rPr>
        <w:t>Short-Term Debt</w:t>
      </w:r>
      <w:r>
        <w:rPr>
          <w:rFonts w:ascii="Arial" w:eastAsia="Times New Roman" w:hAnsi="Arial" w:cs="Arial"/>
          <w:color w:val="000000"/>
          <w:sz w:val="20"/>
          <w:szCs w:val="20"/>
        </w:rPr>
        <w:t>. As of December 31, 2020, our short-term debt of $22.9 million primarily represents the curr</w:t>
      </w:r>
      <w:r>
        <w:rPr>
          <w:rFonts w:ascii="Arial" w:eastAsia="Times New Roman" w:hAnsi="Arial" w:cs="Arial"/>
          <w:color w:val="000000"/>
          <w:sz w:val="20"/>
          <w:szCs w:val="20"/>
        </w:rPr>
        <w:t>ent maturities (within the next twelve months) of Term Loan borrowings and finance lease obligations.</w:t>
      </w:r>
    </w:p>
    <w:p w14:paraId="23CC4C3F" w14:textId="77777777" w:rsidR="00000000" w:rsidRDefault="00C01C43">
      <w:pPr>
        <w:jc w:val="both"/>
        <w:rPr>
          <w:rFonts w:eastAsia="Times New Roman"/>
        </w:rPr>
      </w:pPr>
      <w:r>
        <w:rPr>
          <w:rFonts w:ascii="Arial" w:eastAsia="Times New Roman" w:hAnsi="Arial" w:cs="Arial"/>
          <w:b/>
          <w:bCs/>
          <w:color w:val="000000"/>
          <w:sz w:val="20"/>
          <w:szCs w:val="20"/>
        </w:rPr>
        <w:t>Contractual Obligations and Off-Balance Sheet Arrangements</w:t>
      </w:r>
    </w:p>
    <w:p w14:paraId="6F95D9D6" w14:textId="77777777" w:rsidR="00000000" w:rsidRDefault="00C01C43">
      <w:pPr>
        <w:jc w:val="both"/>
        <w:divId w:val="1787700790"/>
        <w:rPr>
          <w:rFonts w:eastAsia="Times New Roman"/>
        </w:rPr>
      </w:pPr>
      <w:r>
        <w:rPr>
          <w:rFonts w:ascii="Arial" w:eastAsia="Times New Roman" w:hAnsi="Arial" w:cs="Arial"/>
          <w:color w:val="000000"/>
          <w:sz w:val="20"/>
          <w:szCs w:val="20"/>
        </w:rPr>
        <w:t>Our contractual obligations and off-balance sheet arrangements are set forth below. For additio</w:t>
      </w:r>
      <w:r>
        <w:rPr>
          <w:rFonts w:ascii="Arial" w:eastAsia="Times New Roman" w:hAnsi="Arial" w:cs="Arial"/>
          <w:color w:val="000000"/>
          <w:sz w:val="20"/>
          <w:szCs w:val="20"/>
        </w:rPr>
        <w:t>nal information on any of the following and other contractual obligations and off-balance sheet arrangements, see "Note 8. Debt, Interest Income, Expense and Other Finance Costs" and "Note 9. Commitments and Contingencies" within "Part IV. Item 15. Notes t</w:t>
      </w:r>
      <w:r>
        <w:rPr>
          <w:rFonts w:ascii="Arial" w:eastAsia="Times New Roman" w:hAnsi="Arial" w:cs="Arial"/>
          <w:color w:val="000000"/>
          <w:sz w:val="20"/>
          <w:szCs w:val="20"/>
        </w:rPr>
        <w:t>o the Consolidated Financial Statements" included in this 2020 10-K Report.</w:t>
      </w:r>
    </w:p>
    <w:p w14:paraId="62D2D57C" w14:textId="77777777" w:rsidR="00000000" w:rsidRDefault="00C01C43">
      <w:pPr>
        <w:jc w:val="both"/>
        <w:rPr>
          <w:rFonts w:eastAsia="Times New Roman"/>
        </w:rPr>
      </w:pPr>
      <w:r>
        <w:rPr>
          <w:rFonts w:ascii="Arial" w:eastAsia="Times New Roman" w:hAnsi="Arial" w:cs="Arial"/>
          <w:b/>
          <w:bCs/>
          <w:i/>
          <w:iCs/>
          <w:color w:val="000000"/>
          <w:sz w:val="20"/>
          <w:szCs w:val="20"/>
        </w:rPr>
        <w:t>Contractual Obligations</w:t>
      </w:r>
    </w:p>
    <w:p w14:paraId="4D54E1DE" w14:textId="77777777" w:rsidR="00000000" w:rsidRDefault="00C01C43">
      <w:pPr>
        <w:jc w:val="both"/>
        <w:divId w:val="1844318281"/>
        <w:rPr>
          <w:rFonts w:eastAsia="Times New Roman"/>
        </w:rPr>
      </w:pPr>
      <w:r>
        <w:rPr>
          <w:rFonts w:ascii="Arial" w:eastAsia="Times New Roman" w:hAnsi="Arial" w:cs="Arial"/>
          <w:i/>
          <w:iCs/>
          <w:color w:val="000000"/>
          <w:sz w:val="20"/>
          <w:szCs w:val="20"/>
        </w:rPr>
        <w:t xml:space="preserve">Debt and Interest Obligations. </w:t>
      </w:r>
      <w:r>
        <w:rPr>
          <w:rFonts w:ascii="Arial" w:eastAsia="Times New Roman" w:hAnsi="Arial" w:cs="Arial"/>
          <w:color w:val="000000"/>
          <w:sz w:val="20"/>
          <w:szCs w:val="20"/>
        </w:rPr>
        <w:t>These obligations include principal and interest payments on fixed-rate and variable-rate, fixed-term debt based on the expec</w:t>
      </w:r>
      <w:r>
        <w:rPr>
          <w:rFonts w:ascii="Arial" w:eastAsia="Times New Roman" w:hAnsi="Arial" w:cs="Arial"/>
          <w:color w:val="000000"/>
          <w:sz w:val="20"/>
          <w:szCs w:val="20"/>
        </w:rPr>
        <w:t>ted payment dates.</w:t>
      </w:r>
    </w:p>
    <w:p w14:paraId="4C69EA19" w14:textId="77777777" w:rsidR="00000000" w:rsidRDefault="00C01C43">
      <w:pPr>
        <w:jc w:val="both"/>
        <w:divId w:val="1036276006"/>
        <w:rPr>
          <w:rFonts w:eastAsia="Times New Roman"/>
        </w:rPr>
      </w:pPr>
      <w:r>
        <w:rPr>
          <w:rFonts w:ascii="Arial" w:eastAsia="Times New Roman" w:hAnsi="Arial" w:cs="Arial"/>
          <w:i/>
          <w:iCs/>
          <w:color w:val="000000"/>
          <w:sz w:val="20"/>
          <w:szCs w:val="20"/>
        </w:rPr>
        <w:t>Other Obligations.</w:t>
      </w:r>
      <w:r>
        <w:rPr>
          <w:rFonts w:ascii="Arial" w:eastAsia="Times New Roman" w:hAnsi="Arial" w:cs="Arial"/>
          <w:color w:val="000000"/>
          <w:sz w:val="20"/>
          <w:szCs w:val="20"/>
        </w:rPr>
        <w:t xml:space="preserve"> These obligations primarily consist of deferred compensation arrangements.</w:t>
      </w:r>
    </w:p>
    <w:p w14:paraId="1646A2DE" w14:textId="77777777" w:rsidR="00000000" w:rsidRDefault="00C01C43">
      <w:pPr>
        <w:jc w:val="both"/>
        <w:divId w:val="901328971"/>
        <w:rPr>
          <w:rFonts w:eastAsia="Times New Roman"/>
        </w:rPr>
      </w:pPr>
      <w:r>
        <w:rPr>
          <w:rFonts w:ascii="Arial" w:eastAsia="Times New Roman" w:hAnsi="Arial" w:cs="Arial"/>
          <w:i/>
          <w:iCs/>
          <w:color w:val="000000"/>
          <w:sz w:val="20"/>
          <w:szCs w:val="20"/>
        </w:rPr>
        <w:t>Unrecognized Income Tax Liabilities.</w:t>
      </w:r>
      <w:r>
        <w:rPr>
          <w:rFonts w:ascii="Arial" w:eastAsia="Times New Roman" w:hAnsi="Arial" w:cs="Arial"/>
          <w:color w:val="000000"/>
          <w:sz w:val="20"/>
          <w:szCs w:val="20"/>
        </w:rPr>
        <w:t xml:space="preserve"> As of December </w:t>
      </w:r>
      <w:r>
        <w:rPr>
          <w:rFonts w:ascii="Arial" w:eastAsia="Times New Roman" w:hAnsi="Arial" w:cs="Arial"/>
          <w:color w:val="000000"/>
          <w:sz w:val="20"/>
          <w:szCs w:val="20"/>
        </w:rPr>
        <w:t>31, 2020, our gross liabilities for unrecognized income tax benefits (“Unrecognized Tax Liabilities”), including penalties and interest, were $99.0 million. The timing of any settlement of our Unrecognized Tax Liabilities with the respective taxing authori</w:t>
      </w:r>
      <w:r>
        <w:rPr>
          <w:rFonts w:ascii="Arial" w:eastAsia="Times New Roman" w:hAnsi="Arial" w:cs="Arial"/>
          <w:color w:val="000000"/>
          <w:sz w:val="20"/>
          <w:szCs w:val="20"/>
        </w:rPr>
        <w:t>ty cannot be reasonably estimated.</w:t>
      </w:r>
    </w:p>
    <w:p w14:paraId="2EE2D3B3" w14:textId="77777777" w:rsidR="00000000" w:rsidRDefault="00C01C43">
      <w:pPr>
        <w:jc w:val="center"/>
        <w:divId w:val="1373532389"/>
        <w:rPr>
          <w:rFonts w:eastAsia="Times New Roman"/>
        </w:rPr>
      </w:pPr>
      <w:r>
        <w:rPr>
          <w:rFonts w:ascii="Arial" w:eastAsia="Times New Roman" w:hAnsi="Arial" w:cs="Arial"/>
          <w:color w:val="000000"/>
          <w:sz w:val="16"/>
          <w:szCs w:val="16"/>
        </w:rPr>
        <w:t>33</w:t>
      </w:r>
    </w:p>
    <w:p w14:paraId="4EE04495" w14:textId="77777777" w:rsidR="00000000" w:rsidRDefault="00C01C43">
      <w:pPr>
        <w:rPr>
          <w:rFonts w:eastAsia="Times New Roman"/>
        </w:rPr>
      </w:pPr>
      <w:r>
        <w:rPr>
          <w:rFonts w:eastAsia="Times New Roman"/>
        </w:rPr>
        <w:pict w14:anchorId="7783DD46">
          <v:rect id="_x0000_i1062" style="width:0;height:1.5pt" o:hralign="center" o:hrstd="t" o:hr="t" fillcolor="#a0a0a0" stroked="f"/>
        </w:pict>
      </w:r>
    </w:p>
    <w:p w14:paraId="0CB3D7B5" w14:textId="77777777" w:rsidR="00000000" w:rsidRDefault="00C01C43">
      <w:pPr>
        <w:divId w:val="1683390228"/>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6A66EA7B" w14:textId="77777777" w:rsidR="00000000" w:rsidRDefault="00C01C43">
      <w:pPr>
        <w:jc w:val="both"/>
        <w:divId w:val="376970771"/>
        <w:rPr>
          <w:rFonts w:eastAsia="Times New Roman"/>
        </w:rPr>
      </w:pPr>
      <w:r>
        <w:rPr>
          <w:rFonts w:ascii="Arial" w:eastAsia="Times New Roman" w:hAnsi="Arial" w:cs="Arial"/>
          <w:color w:val="000000"/>
          <w:sz w:val="20"/>
          <w:szCs w:val="20"/>
        </w:rPr>
        <w:t>As of December </w:t>
      </w:r>
      <w:r>
        <w:rPr>
          <w:rFonts w:ascii="Arial" w:eastAsia="Times New Roman" w:hAnsi="Arial" w:cs="Arial"/>
          <w:color w:val="000000"/>
          <w:sz w:val="20"/>
          <w:szCs w:val="20"/>
        </w:rPr>
        <w:t>31, 2020, our contractual obligations were as follows (in millions):</w:t>
      </w:r>
    </w:p>
    <w:tbl>
      <w:tblPr>
        <w:tblW w:w="4978" w:type="pct"/>
        <w:tblCellMar>
          <w:top w:w="15" w:type="dxa"/>
          <w:left w:w="15" w:type="dxa"/>
          <w:bottom w:w="15" w:type="dxa"/>
          <w:right w:w="15" w:type="dxa"/>
        </w:tblCellMar>
        <w:tblLook w:val="04A0" w:firstRow="1" w:lastRow="0" w:firstColumn="1" w:lastColumn="0" w:noHBand="0" w:noVBand="1"/>
      </w:tblPr>
      <w:tblGrid>
        <w:gridCol w:w="38"/>
        <w:gridCol w:w="3010"/>
        <w:gridCol w:w="37"/>
        <w:gridCol w:w="132"/>
        <w:gridCol w:w="823"/>
        <w:gridCol w:w="36"/>
        <w:gridCol w:w="36"/>
        <w:gridCol w:w="36"/>
        <w:gridCol w:w="36"/>
        <w:gridCol w:w="132"/>
        <w:gridCol w:w="772"/>
        <w:gridCol w:w="36"/>
        <w:gridCol w:w="36"/>
        <w:gridCol w:w="36"/>
        <w:gridCol w:w="36"/>
        <w:gridCol w:w="132"/>
        <w:gridCol w:w="772"/>
        <w:gridCol w:w="36"/>
        <w:gridCol w:w="36"/>
        <w:gridCol w:w="36"/>
        <w:gridCol w:w="36"/>
        <w:gridCol w:w="132"/>
        <w:gridCol w:w="772"/>
        <w:gridCol w:w="36"/>
        <w:gridCol w:w="36"/>
        <w:gridCol w:w="36"/>
        <w:gridCol w:w="36"/>
        <w:gridCol w:w="133"/>
        <w:gridCol w:w="772"/>
        <w:gridCol w:w="36"/>
      </w:tblGrid>
      <w:tr w:rsidR="00000000" w14:paraId="2DA40B36" w14:textId="77777777">
        <w:trPr>
          <w:divId w:val="1486818552"/>
        </w:trPr>
        <w:tc>
          <w:tcPr>
            <w:tcW w:w="50" w:type="pct"/>
            <w:vAlign w:val="center"/>
            <w:hideMark/>
          </w:tcPr>
          <w:p w14:paraId="093E6593" w14:textId="77777777" w:rsidR="00000000" w:rsidRDefault="00C01C43">
            <w:pPr>
              <w:jc w:val="both"/>
              <w:rPr>
                <w:rFonts w:eastAsia="Times New Roman"/>
              </w:rPr>
            </w:pPr>
          </w:p>
        </w:tc>
        <w:tc>
          <w:tcPr>
            <w:tcW w:w="1861" w:type="pct"/>
            <w:vAlign w:val="center"/>
            <w:hideMark/>
          </w:tcPr>
          <w:p w14:paraId="39CB79AA" w14:textId="77777777" w:rsidR="00000000" w:rsidRDefault="00C01C43">
            <w:pPr>
              <w:rPr>
                <w:rFonts w:eastAsia="Times New Roman"/>
                <w:sz w:val="20"/>
                <w:szCs w:val="20"/>
              </w:rPr>
            </w:pPr>
          </w:p>
        </w:tc>
        <w:tc>
          <w:tcPr>
            <w:tcW w:w="5" w:type="pct"/>
            <w:vAlign w:val="center"/>
            <w:hideMark/>
          </w:tcPr>
          <w:p w14:paraId="4E07509D" w14:textId="77777777" w:rsidR="00000000" w:rsidRDefault="00C01C43">
            <w:pPr>
              <w:rPr>
                <w:rFonts w:eastAsia="Times New Roman"/>
                <w:sz w:val="20"/>
                <w:szCs w:val="20"/>
              </w:rPr>
            </w:pPr>
          </w:p>
        </w:tc>
        <w:tc>
          <w:tcPr>
            <w:tcW w:w="50" w:type="pct"/>
            <w:vAlign w:val="center"/>
            <w:hideMark/>
          </w:tcPr>
          <w:p w14:paraId="09AC796B" w14:textId="77777777" w:rsidR="00000000" w:rsidRDefault="00C01C43">
            <w:pPr>
              <w:rPr>
                <w:rFonts w:eastAsia="Times New Roman"/>
                <w:sz w:val="20"/>
                <w:szCs w:val="20"/>
              </w:rPr>
            </w:pPr>
          </w:p>
        </w:tc>
        <w:tc>
          <w:tcPr>
            <w:tcW w:w="532" w:type="pct"/>
            <w:vAlign w:val="center"/>
            <w:hideMark/>
          </w:tcPr>
          <w:p w14:paraId="38BAC44E" w14:textId="77777777" w:rsidR="00000000" w:rsidRDefault="00C01C43">
            <w:pPr>
              <w:rPr>
                <w:rFonts w:eastAsia="Times New Roman"/>
                <w:sz w:val="20"/>
                <w:szCs w:val="20"/>
              </w:rPr>
            </w:pPr>
          </w:p>
        </w:tc>
        <w:tc>
          <w:tcPr>
            <w:tcW w:w="5" w:type="pct"/>
            <w:vAlign w:val="center"/>
            <w:hideMark/>
          </w:tcPr>
          <w:p w14:paraId="7009B448" w14:textId="77777777" w:rsidR="00000000" w:rsidRDefault="00C01C43">
            <w:pPr>
              <w:rPr>
                <w:rFonts w:eastAsia="Times New Roman"/>
                <w:sz w:val="20"/>
                <w:szCs w:val="20"/>
              </w:rPr>
            </w:pPr>
          </w:p>
        </w:tc>
        <w:tc>
          <w:tcPr>
            <w:tcW w:w="5" w:type="pct"/>
            <w:vAlign w:val="center"/>
            <w:hideMark/>
          </w:tcPr>
          <w:p w14:paraId="3F562717" w14:textId="77777777" w:rsidR="00000000" w:rsidRDefault="00C01C43">
            <w:pPr>
              <w:rPr>
                <w:rFonts w:eastAsia="Times New Roman"/>
                <w:sz w:val="20"/>
                <w:szCs w:val="20"/>
              </w:rPr>
            </w:pPr>
          </w:p>
        </w:tc>
        <w:tc>
          <w:tcPr>
            <w:tcW w:w="26" w:type="pct"/>
            <w:vAlign w:val="center"/>
            <w:hideMark/>
          </w:tcPr>
          <w:p w14:paraId="67267DC9" w14:textId="77777777" w:rsidR="00000000" w:rsidRDefault="00C01C43">
            <w:pPr>
              <w:rPr>
                <w:rFonts w:eastAsia="Times New Roman"/>
                <w:sz w:val="20"/>
                <w:szCs w:val="20"/>
              </w:rPr>
            </w:pPr>
          </w:p>
        </w:tc>
        <w:tc>
          <w:tcPr>
            <w:tcW w:w="5" w:type="pct"/>
            <w:vAlign w:val="center"/>
            <w:hideMark/>
          </w:tcPr>
          <w:p w14:paraId="4AB47F74" w14:textId="77777777" w:rsidR="00000000" w:rsidRDefault="00C01C43">
            <w:pPr>
              <w:rPr>
                <w:rFonts w:eastAsia="Times New Roman"/>
                <w:sz w:val="20"/>
                <w:szCs w:val="20"/>
              </w:rPr>
            </w:pPr>
          </w:p>
        </w:tc>
        <w:tc>
          <w:tcPr>
            <w:tcW w:w="50" w:type="pct"/>
            <w:vAlign w:val="center"/>
            <w:hideMark/>
          </w:tcPr>
          <w:p w14:paraId="098A7383" w14:textId="77777777" w:rsidR="00000000" w:rsidRDefault="00C01C43">
            <w:pPr>
              <w:rPr>
                <w:rFonts w:eastAsia="Times New Roman"/>
                <w:sz w:val="20"/>
                <w:szCs w:val="20"/>
              </w:rPr>
            </w:pPr>
          </w:p>
        </w:tc>
        <w:tc>
          <w:tcPr>
            <w:tcW w:w="532" w:type="pct"/>
            <w:vAlign w:val="center"/>
            <w:hideMark/>
          </w:tcPr>
          <w:p w14:paraId="1F7E316C" w14:textId="77777777" w:rsidR="00000000" w:rsidRDefault="00C01C43">
            <w:pPr>
              <w:rPr>
                <w:rFonts w:eastAsia="Times New Roman"/>
                <w:sz w:val="20"/>
                <w:szCs w:val="20"/>
              </w:rPr>
            </w:pPr>
          </w:p>
        </w:tc>
        <w:tc>
          <w:tcPr>
            <w:tcW w:w="5" w:type="pct"/>
            <w:vAlign w:val="center"/>
            <w:hideMark/>
          </w:tcPr>
          <w:p w14:paraId="473AC4FD" w14:textId="77777777" w:rsidR="00000000" w:rsidRDefault="00C01C43">
            <w:pPr>
              <w:rPr>
                <w:rFonts w:eastAsia="Times New Roman"/>
                <w:sz w:val="20"/>
                <w:szCs w:val="20"/>
              </w:rPr>
            </w:pPr>
          </w:p>
        </w:tc>
        <w:tc>
          <w:tcPr>
            <w:tcW w:w="5" w:type="pct"/>
            <w:vAlign w:val="center"/>
            <w:hideMark/>
          </w:tcPr>
          <w:p w14:paraId="34A40610" w14:textId="77777777" w:rsidR="00000000" w:rsidRDefault="00C01C43">
            <w:pPr>
              <w:rPr>
                <w:rFonts w:eastAsia="Times New Roman"/>
                <w:sz w:val="20"/>
                <w:szCs w:val="20"/>
              </w:rPr>
            </w:pPr>
          </w:p>
        </w:tc>
        <w:tc>
          <w:tcPr>
            <w:tcW w:w="26" w:type="pct"/>
            <w:vAlign w:val="center"/>
            <w:hideMark/>
          </w:tcPr>
          <w:p w14:paraId="138959B9" w14:textId="77777777" w:rsidR="00000000" w:rsidRDefault="00C01C43">
            <w:pPr>
              <w:rPr>
                <w:rFonts w:eastAsia="Times New Roman"/>
                <w:sz w:val="20"/>
                <w:szCs w:val="20"/>
              </w:rPr>
            </w:pPr>
          </w:p>
        </w:tc>
        <w:tc>
          <w:tcPr>
            <w:tcW w:w="5" w:type="pct"/>
            <w:vAlign w:val="center"/>
            <w:hideMark/>
          </w:tcPr>
          <w:p w14:paraId="1743D3BE" w14:textId="77777777" w:rsidR="00000000" w:rsidRDefault="00C01C43">
            <w:pPr>
              <w:rPr>
                <w:rFonts w:eastAsia="Times New Roman"/>
                <w:sz w:val="20"/>
                <w:szCs w:val="20"/>
              </w:rPr>
            </w:pPr>
          </w:p>
        </w:tc>
        <w:tc>
          <w:tcPr>
            <w:tcW w:w="50" w:type="pct"/>
            <w:vAlign w:val="center"/>
            <w:hideMark/>
          </w:tcPr>
          <w:p w14:paraId="201EE915" w14:textId="77777777" w:rsidR="00000000" w:rsidRDefault="00C01C43">
            <w:pPr>
              <w:rPr>
                <w:rFonts w:eastAsia="Times New Roman"/>
                <w:sz w:val="20"/>
                <w:szCs w:val="20"/>
              </w:rPr>
            </w:pPr>
          </w:p>
        </w:tc>
        <w:tc>
          <w:tcPr>
            <w:tcW w:w="532" w:type="pct"/>
            <w:vAlign w:val="center"/>
            <w:hideMark/>
          </w:tcPr>
          <w:p w14:paraId="5CE081ED" w14:textId="77777777" w:rsidR="00000000" w:rsidRDefault="00C01C43">
            <w:pPr>
              <w:rPr>
                <w:rFonts w:eastAsia="Times New Roman"/>
                <w:sz w:val="20"/>
                <w:szCs w:val="20"/>
              </w:rPr>
            </w:pPr>
          </w:p>
        </w:tc>
        <w:tc>
          <w:tcPr>
            <w:tcW w:w="5" w:type="pct"/>
            <w:vAlign w:val="center"/>
            <w:hideMark/>
          </w:tcPr>
          <w:p w14:paraId="2BE53CE3" w14:textId="77777777" w:rsidR="00000000" w:rsidRDefault="00C01C43">
            <w:pPr>
              <w:rPr>
                <w:rFonts w:eastAsia="Times New Roman"/>
                <w:sz w:val="20"/>
                <w:szCs w:val="20"/>
              </w:rPr>
            </w:pPr>
          </w:p>
        </w:tc>
        <w:tc>
          <w:tcPr>
            <w:tcW w:w="5" w:type="pct"/>
            <w:vAlign w:val="center"/>
            <w:hideMark/>
          </w:tcPr>
          <w:p w14:paraId="145D9780" w14:textId="77777777" w:rsidR="00000000" w:rsidRDefault="00C01C43">
            <w:pPr>
              <w:rPr>
                <w:rFonts w:eastAsia="Times New Roman"/>
                <w:sz w:val="20"/>
                <w:szCs w:val="20"/>
              </w:rPr>
            </w:pPr>
          </w:p>
        </w:tc>
        <w:tc>
          <w:tcPr>
            <w:tcW w:w="26" w:type="pct"/>
            <w:vAlign w:val="center"/>
            <w:hideMark/>
          </w:tcPr>
          <w:p w14:paraId="6589C477" w14:textId="77777777" w:rsidR="00000000" w:rsidRDefault="00C01C43">
            <w:pPr>
              <w:rPr>
                <w:rFonts w:eastAsia="Times New Roman"/>
                <w:sz w:val="20"/>
                <w:szCs w:val="20"/>
              </w:rPr>
            </w:pPr>
          </w:p>
        </w:tc>
        <w:tc>
          <w:tcPr>
            <w:tcW w:w="5" w:type="pct"/>
            <w:vAlign w:val="center"/>
            <w:hideMark/>
          </w:tcPr>
          <w:p w14:paraId="7143078F" w14:textId="77777777" w:rsidR="00000000" w:rsidRDefault="00C01C43">
            <w:pPr>
              <w:rPr>
                <w:rFonts w:eastAsia="Times New Roman"/>
                <w:sz w:val="20"/>
                <w:szCs w:val="20"/>
              </w:rPr>
            </w:pPr>
          </w:p>
        </w:tc>
        <w:tc>
          <w:tcPr>
            <w:tcW w:w="50" w:type="pct"/>
            <w:vAlign w:val="center"/>
            <w:hideMark/>
          </w:tcPr>
          <w:p w14:paraId="3385DC3B" w14:textId="77777777" w:rsidR="00000000" w:rsidRDefault="00C01C43">
            <w:pPr>
              <w:rPr>
                <w:rFonts w:eastAsia="Times New Roman"/>
                <w:sz w:val="20"/>
                <w:szCs w:val="20"/>
              </w:rPr>
            </w:pPr>
          </w:p>
        </w:tc>
        <w:tc>
          <w:tcPr>
            <w:tcW w:w="532" w:type="pct"/>
            <w:vAlign w:val="center"/>
            <w:hideMark/>
          </w:tcPr>
          <w:p w14:paraId="315E90D6" w14:textId="77777777" w:rsidR="00000000" w:rsidRDefault="00C01C43">
            <w:pPr>
              <w:rPr>
                <w:rFonts w:eastAsia="Times New Roman"/>
                <w:sz w:val="20"/>
                <w:szCs w:val="20"/>
              </w:rPr>
            </w:pPr>
          </w:p>
        </w:tc>
        <w:tc>
          <w:tcPr>
            <w:tcW w:w="5" w:type="pct"/>
            <w:vAlign w:val="center"/>
            <w:hideMark/>
          </w:tcPr>
          <w:p w14:paraId="13E72D93" w14:textId="77777777" w:rsidR="00000000" w:rsidRDefault="00C01C43">
            <w:pPr>
              <w:rPr>
                <w:rFonts w:eastAsia="Times New Roman"/>
                <w:sz w:val="20"/>
                <w:szCs w:val="20"/>
              </w:rPr>
            </w:pPr>
          </w:p>
        </w:tc>
        <w:tc>
          <w:tcPr>
            <w:tcW w:w="5" w:type="pct"/>
            <w:vAlign w:val="center"/>
            <w:hideMark/>
          </w:tcPr>
          <w:p w14:paraId="26CC0CFD" w14:textId="77777777" w:rsidR="00000000" w:rsidRDefault="00C01C43">
            <w:pPr>
              <w:rPr>
                <w:rFonts w:eastAsia="Times New Roman"/>
                <w:sz w:val="20"/>
                <w:szCs w:val="20"/>
              </w:rPr>
            </w:pPr>
          </w:p>
        </w:tc>
        <w:tc>
          <w:tcPr>
            <w:tcW w:w="26" w:type="pct"/>
            <w:vAlign w:val="center"/>
            <w:hideMark/>
          </w:tcPr>
          <w:p w14:paraId="7D1AFC4E" w14:textId="77777777" w:rsidR="00000000" w:rsidRDefault="00C01C43">
            <w:pPr>
              <w:rPr>
                <w:rFonts w:eastAsia="Times New Roman"/>
                <w:sz w:val="20"/>
                <w:szCs w:val="20"/>
              </w:rPr>
            </w:pPr>
          </w:p>
        </w:tc>
        <w:tc>
          <w:tcPr>
            <w:tcW w:w="5" w:type="pct"/>
            <w:vAlign w:val="center"/>
            <w:hideMark/>
          </w:tcPr>
          <w:p w14:paraId="0F4E3799" w14:textId="77777777" w:rsidR="00000000" w:rsidRDefault="00C01C43">
            <w:pPr>
              <w:rPr>
                <w:rFonts w:eastAsia="Times New Roman"/>
                <w:sz w:val="20"/>
                <w:szCs w:val="20"/>
              </w:rPr>
            </w:pPr>
          </w:p>
        </w:tc>
        <w:tc>
          <w:tcPr>
            <w:tcW w:w="50" w:type="pct"/>
            <w:vAlign w:val="center"/>
            <w:hideMark/>
          </w:tcPr>
          <w:p w14:paraId="46B7946A" w14:textId="77777777" w:rsidR="00000000" w:rsidRDefault="00C01C43">
            <w:pPr>
              <w:rPr>
                <w:rFonts w:eastAsia="Times New Roman"/>
                <w:sz w:val="20"/>
                <w:szCs w:val="20"/>
              </w:rPr>
            </w:pPr>
          </w:p>
        </w:tc>
        <w:tc>
          <w:tcPr>
            <w:tcW w:w="532" w:type="pct"/>
            <w:vAlign w:val="center"/>
            <w:hideMark/>
          </w:tcPr>
          <w:p w14:paraId="0BC58A51" w14:textId="77777777" w:rsidR="00000000" w:rsidRDefault="00C01C43">
            <w:pPr>
              <w:rPr>
                <w:rFonts w:eastAsia="Times New Roman"/>
                <w:sz w:val="20"/>
                <w:szCs w:val="20"/>
              </w:rPr>
            </w:pPr>
          </w:p>
        </w:tc>
        <w:tc>
          <w:tcPr>
            <w:tcW w:w="5" w:type="pct"/>
            <w:vAlign w:val="center"/>
            <w:hideMark/>
          </w:tcPr>
          <w:p w14:paraId="3457F6CE" w14:textId="77777777" w:rsidR="00000000" w:rsidRDefault="00C01C43">
            <w:pPr>
              <w:rPr>
                <w:rFonts w:eastAsia="Times New Roman"/>
                <w:sz w:val="20"/>
                <w:szCs w:val="20"/>
              </w:rPr>
            </w:pPr>
          </w:p>
        </w:tc>
      </w:tr>
      <w:tr w:rsidR="00000000" w14:paraId="365447D0" w14:textId="77777777">
        <w:trPr>
          <w:divId w:val="1486818552"/>
        </w:trPr>
        <w:tc>
          <w:tcPr>
            <w:tcW w:w="0" w:type="auto"/>
            <w:gridSpan w:val="3"/>
            <w:tcMar>
              <w:top w:w="0" w:type="dxa"/>
              <w:left w:w="20" w:type="dxa"/>
              <w:bottom w:w="0" w:type="dxa"/>
              <w:right w:w="20" w:type="dxa"/>
            </w:tcMar>
            <w:vAlign w:val="center"/>
            <w:hideMark/>
          </w:tcPr>
          <w:p w14:paraId="094EF04F"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3465CA6F" w14:textId="77777777" w:rsidR="00000000" w:rsidRDefault="00C01C43">
            <w:pPr>
              <w:jc w:val="center"/>
              <w:rPr>
                <w:rFonts w:eastAsia="Times New Roman"/>
              </w:rPr>
            </w:pPr>
            <w:r>
              <w:rPr>
                <w:rFonts w:ascii="Arial" w:eastAsia="Times New Roman" w:hAnsi="Arial" w:cs="Arial"/>
                <w:b/>
                <w:bCs/>
                <w:color w:val="000000"/>
                <w:sz w:val="16"/>
                <w:szCs w:val="16"/>
              </w:rPr>
              <w:t>Total</w:t>
            </w:r>
          </w:p>
        </w:tc>
        <w:tc>
          <w:tcPr>
            <w:tcW w:w="0" w:type="auto"/>
            <w:gridSpan w:val="3"/>
            <w:tcMar>
              <w:top w:w="0" w:type="dxa"/>
              <w:left w:w="20" w:type="dxa"/>
              <w:bottom w:w="0" w:type="dxa"/>
              <w:right w:w="20" w:type="dxa"/>
            </w:tcMar>
            <w:vAlign w:val="center"/>
            <w:hideMark/>
          </w:tcPr>
          <w:p w14:paraId="4013E5F5"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5669B57B" w14:textId="77777777" w:rsidR="00000000" w:rsidRDefault="00C01C43">
            <w:pPr>
              <w:jc w:val="center"/>
              <w:rPr>
                <w:rFonts w:eastAsia="Times New Roman"/>
              </w:rPr>
            </w:pPr>
            <w:r>
              <w:rPr>
                <w:rFonts w:ascii="Arial" w:eastAsia="Times New Roman" w:hAnsi="Arial" w:cs="Arial"/>
                <w:b/>
                <w:bCs/>
                <w:color w:val="000000"/>
                <w:sz w:val="16"/>
                <w:szCs w:val="16"/>
              </w:rPr>
              <w:t>Year 1</w:t>
            </w:r>
          </w:p>
        </w:tc>
        <w:tc>
          <w:tcPr>
            <w:tcW w:w="0" w:type="auto"/>
            <w:gridSpan w:val="3"/>
            <w:tcMar>
              <w:top w:w="0" w:type="dxa"/>
              <w:left w:w="20" w:type="dxa"/>
              <w:bottom w:w="0" w:type="dxa"/>
              <w:right w:w="20" w:type="dxa"/>
            </w:tcMar>
            <w:vAlign w:val="center"/>
            <w:hideMark/>
          </w:tcPr>
          <w:p w14:paraId="3064027B"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07BFF783" w14:textId="77777777" w:rsidR="00000000" w:rsidRDefault="00C01C43">
            <w:pPr>
              <w:jc w:val="center"/>
              <w:rPr>
                <w:rFonts w:eastAsia="Times New Roman"/>
              </w:rPr>
            </w:pPr>
            <w:r>
              <w:rPr>
                <w:rFonts w:ascii="Arial" w:eastAsia="Times New Roman" w:hAnsi="Arial" w:cs="Arial"/>
                <w:b/>
                <w:bCs/>
                <w:color w:val="000000"/>
                <w:sz w:val="16"/>
                <w:szCs w:val="16"/>
              </w:rPr>
              <w:t>Years 2-3</w:t>
            </w:r>
          </w:p>
        </w:tc>
        <w:tc>
          <w:tcPr>
            <w:tcW w:w="0" w:type="auto"/>
            <w:gridSpan w:val="3"/>
            <w:tcMar>
              <w:top w:w="0" w:type="dxa"/>
              <w:left w:w="20" w:type="dxa"/>
              <w:bottom w:w="0" w:type="dxa"/>
              <w:right w:w="20" w:type="dxa"/>
            </w:tcMar>
            <w:vAlign w:val="center"/>
            <w:hideMark/>
          </w:tcPr>
          <w:p w14:paraId="6A87135C"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5AFEA828" w14:textId="77777777" w:rsidR="00000000" w:rsidRDefault="00C01C43">
            <w:pPr>
              <w:jc w:val="center"/>
              <w:rPr>
                <w:rFonts w:eastAsia="Times New Roman"/>
              </w:rPr>
            </w:pPr>
            <w:r>
              <w:rPr>
                <w:rFonts w:ascii="Arial" w:eastAsia="Times New Roman" w:hAnsi="Arial" w:cs="Arial"/>
                <w:b/>
                <w:bCs/>
                <w:color w:val="000000"/>
                <w:sz w:val="16"/>
                <w:szCs w:val="16"/>
              </w:rPr>
              <w:t>Years 4-5</w:t>
            </w:r>
          </w:p>
        </w:tc>
        <w:tc>
          <w:tcPr>
            <w:tcW w:w="0" w:type="auto"/>
            <w:gridSpan w:val="3"/>
            <w:tcMar>
              <w:top w:w="0" w:type="dxa"/>
              <w:left w:w="20" w:type="dxa"/>
              <w:bottom w:w="0" w:type="dxa"/>
              <w:right w:w="20" w:type="dxa"/>
            </w:tcMar>
            <w:vAlign w:val="center"/>
            <w:hideMark/>
          </w:tcPr>
          <w:p w14:paraId="7685EA68"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0A7E9CDC" w14:textId="77777777" w:rsidR="00000000" w:rsidRDefault="00C01C43">
            <w:pPr>
              <w:jc w:val="center"/>
              <w:rPr>
                <w:rFonts w:eastAsia="Times New Roman"/>
              </w:rPr>
            </w:pPr>
            <w:r>
              <w:rPr>
                <w:rFonts w:ascii="Arial" w:eastAsia="Times New Roman" w:hAnsi="Arial" w:cs="Arial"/>
                <w:b/>
                <w:bCs/>
                <w:color w:val="000000"/>
                <w:sz w:val="16"/>
                <w:szCs w:val="16"/>
              </w:rPr>
              <w:t>&gt; 5 years</w:t>
            </w:r>
          </w:p>
        </w:tc>
      </w:tr>
      <w:tr w:rsidR="00000000" w14:paraId="2DCF814F" w14:textId="77777777">
        <w:trPr>
          <w:divId w:val="14868185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53D0A0" w14:textId="77777777" w:rsidR="00000000" w:rsidRDefault="00C01C43">
            <w:pPr>
              <w:rPr>
                <w:rFonts w:eastAsia="Times New Roman"/>
              </w:rPr>
            </w:pPr>
            <w:r>
              <w:rPr>
                <w:rFonts w:ascii="Arial" w:eastAsia="Times New Roman" w:hAnsi="Arial" w:cs="Arial"/>
                <w:color w:val="000000"/>
                <w:sz w:val="20"/>
                <w:szCs w:val="20"/>
              </w:rPr>
              <w:t>Debt and interest obligations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7770B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2B766A" w14:textId="77777777" w:rsidR="00000000" w:rsidRDefault="00C01C43">
            <w:pPr>
              <w:jc w:val="right"/>
              <w:rPr>
                <w:rFonts w:eastAsia="Times New Roman"/>
              </w:rPr>
            </w:pPr>
            <w:r>
              <w:rPr>
                <w:rFonts w:ascii="Arial" w:eastAsia="Times New Roman" w:hAnsi="Arial" w:cs="Arial"/>
                <w:color w:val="000000"/>
                <w:sz w:val="20"/>
                <w:szCs w:val="20"/>
              </w:rPr>
              <w:t>570.7 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6AB639"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DD69F9"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3730F4"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5DBCA8" w14:textId="77777777" w:rsidR="00000000" w:rsidRDefault="00C01C43">
            <w:pPr>
              <w:jc w:val="right"/>
              <w:rPr>
                <w:rFonts w:eastAsia="Times New Roman"/>
              </w:rPr>
            </w:pPr>
            <w:r>
              <w:rPr>
                <w:rFonts w:ascii="Arial" w:eastAsia="Times New Roman" w:hAnsi="Arial" w:cs="Arial"/>
                <w:color w:val="000000"/>
                <w:sz w:val="20"/>
                <w:szCs w:val="20"/>
              </w:rPr>
              <w:t>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1B65D4"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1E45F7"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6EE74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AC5541" w14:textId="77777777" w:rsidR="00000000" w:rsidRDefault="00C01C43">
            <w:pPr>
              <w:jc w:val="right"/>
              <w:rPr>
                <w:rFonts w:eastAsia="Times New Roman"/>
              </w:rPr>
            </w:pPr>
            <w:r>
              <w:rPr>
                <w:rFonts w:ascii="Arial" w:eastAsia="Times New Roman" w:hAnsi="Arial" w:cs="Arial"/>
                <w:color w:val="000000"/>
                <w:sz w:val="20"/>
                <w:szCs w:val="20"/>
              </w:rPr>
              <w:t>102.0 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4F8830"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2870A7"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76A0F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0B0086" w14:textId="77777777" w:rsidR="00000000" w:rsidRDefault="00C01C43">
            <w:pPr>
              <w:jc w:val="right"/>
              <w:rPr>
                <w:rFonts w:eastAsia="Times New Roman"/>
              </w:rPr>
            </w:pPr>
            <w:r>
              <w:rPr>
                <w:rFonts w:ascii="Arial" w:eastAsia="Times New Roman" w:hAnsi="Arial" w:cs="Arial"/>
                <w:color w:val="000000"/>
                <w:sz w:val="20"/>
                <w:szCs w:val="20"/>
              </w:rPr>
              <w:t>433.8 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1FDCC4"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64F4A3"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09FC3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1D8C24" w14:textId="77777777" w:rsidR="00000000" w:rsidRDefault="00C01C43">
            <w:pPr>
              <w:jc w:val="right"/>
              <w:rPr>
                <w:rFonts w:eastAsia="Times New Roman"/>
              </w:rPr>
            </w:pPr>
            <w:r>
              <w:rPr>
                <w:rFonts w:ascii="Arial" w:eastAsia="Times New Roman" w:hAnsi="Arial" w:cs="Arial"/>
                <w:color w:val="000000"/>
                <w:sz w:val="20"/>
                <w:szCs w:val="20"/>
              </w:rPr>
              <w:t>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9629D4" w14:textId="77777777" w:rsidR="00000000" w:rsidRDefault="00C01C43">
            <w:pPr>
              <w:jc w:val="right"/>
              <w:rPr>
                <w:rFonts w:eastAsia="Times New Roman"/>
              </w:rPr>
            </w:pPr>
          </w:p>
        </w:tc>
      </w:tr>
      <w:tr w:rsidR="00000000" w14:paraId="299DD1F9" w14:textId="77777777">
        <w:trPr>
          <w:divId w:val="1486818552"/>
        </w:trPr>
        <w:tc>
          <w:tcPr>
            <w:tcW w:w="0" w:type="auto"/>
            <w:gridSpan w:val="3"/>
            <w:shd w:val="clear" w:color="auto" w:fill="FFFFFF"/>
            <w:tcMar>
              <w:top w:w="30" w:type="dxa"/>
              <w:left w:w="20" w:type="dxa"/>
              <w:bottom w:w="30" w:type="dxa"/>
              <w:right w:w="20" w:type="dxa"/>
            </w:tcMar>
            <w:vAlign w:val="bottom"/>
            <w:hideMark/>
          </w:tcPr>
          <w:p w14:paraId="0CA07EA2" w14:textId="77777777" w:rsidR="00000000" w:rsidRDefault="00C01C43">
            <w:pPr>
              <w:rPr>
                <w:rFonts w:eastAsia="Times New Roman"/>
              </w:rPr>
            </w:pPr>
            <w:r>
              <w:rPr>
                <w:rFonts w:ascii="Arial" w:eastAsia="Times New Roman" w:hAnsi="Arial" w:cs="Arial"/>
                <w:color w:val="000000"/>
                <w:sz w:val="20"/>
                <w:szCs w:val="20"/>
              </w:rPr>
              <w:t>Operating lease obligations</w:t>
            </w:r>
          </w:p>
        </w:tc>
        <w:tc>
          <w:tcPr>
            <w:tcW w:w="0" w:type="auto"/>
            <w:gridSpan w:val="2"/>
            <w:shd w:val="clear" w:color="auto" w:fill="FFFFFF"/>
            <w:tcMar>
              <w:top w:w="30" w:type="dxa"/>
              <w:left w:w="20" w:type="dxa"/>
              <w:bottom w:w="30" w:type="dxa"/>
              <w:right w:w="0" w:type="dxa"/>
            </w:tcMar>
            <w:vAlign w:val="bottom"/>
            <w:hideMark/>
          </w:tcPr>
          <w:p w14:paraId="0426B28B" w14:textId="77777777" w:rsidR="00000000" w:rsidRDefault="00C01C43">
            <w:pPr>
              <w:jc w:val="right"/>
              <w:rPr>
                <w:rFonts w:eastAsia="Times New Roman"/>
              </w:rPr>
            </w:pPr>
            <w:r>
              <w:rPr>
                <w:rFonts w:ascii="Arial" w:eastAsia="Times New Roman" w:hAnsi="Arial" w:cs="Arial"/>
                <w:color w:val="000000"/>
                <w:sz w:val="20"/>
                <w:szCs w:val="20"/>
              </w:rPr>
              <w:t>192.5 </w:t>
            </w:r>
          </w:p>
        </w:tc>
        <w:tc>
          <w:tcPr>
            <w:tcW w:w="0" w:type="auto"/>
            <w:shd w:val="clear" w:color="auto" w:fill="FFFFFF"/>
            <w:tcMar>
              <w:top w:w="30" w:type="dxa"/>
              <w:left w:w="0" w:type="dxa"/>
              <w:bottom w:w="30" w:type="dxa"/>
              <w:right w:w="20" w:type="dxa"/>
            </w:tcMar>
            <w:vAlign w:val="bottom"/>
            <w:hideMark/>
          </w:tcPr>
          <w:p w14:paraId="5B9C3FF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4F76F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92F7EE" w14:textId="77777777" w:rsidR="00000000" w:rsidRDefault="00C01C43">
            <w:pPr>
              <w:jc w:val="right"/>
              <w:rPr>
                <w:rFonts w:eastAsia="Times New Roman"/>
              </w:rPr>
            </w:pPr>
            <w:r>
              <w:rPr>
                <w:rFonts w:ascii="Arial" w:eastAsia="Times New Roman" w:hAnsi="Arial" w:cs="Arial"/>
                <w:color w:val="000000"/>
                <w:sz w:val="20"/>
                <w:szCs w:val="20"/>
              </w:rPr>
              <w:t>39.8 </w:t>
            </w:r>
          </w:p>
        </w:tc>
        <w:tc>
          <w:tcPr>
            <w:tcW w:w="0" w:type="auto"/>
            <w:shd w:val="clear" w:color="auto" w:fill="FFFFFF"/>
            <w:tcMar>
              <w:top w:w="30" w:type="dxa"/>
              <w:left w:w="0" w:type="dxa"/>
              <w:bottom w:w="30" w:type="dxa"/>
              <w:right w:w="20" w:type="dxa"/>
            </w:tcMar>
            <w:vAlign w:val="bottom"/>
            <w:hideMark/>
          </w:tcPr>
          <w:p w14:paraId="6C3E536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119BF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99F42D" w14:textId="77777777" w:rsidR="00000000" w:rsidRDefault="00C01C43">
            <w:pPr>
              <w:jc w:val="right"/>
              <w:rPr>
                <w:rFonts w:eastAsia="Times New Roman"/>
              </w:rPr>
            </w:pPr>
            <w:r>
              <w:rPr>
                <w:rFonts w:ascii="Arial" w:eastAsia="Times New Roman" w:hAnsi="Arial" w:cs="Arial"/>
                <w:color w:val="000000"/>
                <w:sz w:val="20"/>
                <w:szCs w:val="20"/>
              </w:rPr>
              <w:t>59.1 </w:t>
            </w:r>
          </w:p>
        </w:tc>
        <w:tc>
          <w:tcPr>
            <w:tcW w:w="0" w:type="auto"/>
            <w:shd w:val="clear" w:color="auto" w:fill="FFFFFF"/>
            <w:tcMar>
              <w:top w:w="30" w:type="dxa"/>
              <w:left w:w="0" w:type="dxa"/>
              <w:bottom w:w="30" w:type="dxa"/>
              <w:right w:w="20" w:type="dxa"/>
            </w:tcMar>
            <w:vAlign w:val="bottom"/>
            <w:hideMark/>
          </w:tcPr>
          <w:p w14:paraId="5139563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AC426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7B865D" w14:textId="77777777" w:rsidR="00000000" w:rsidRDefault="00C01C43">
            <w:pPr>
              <w:jc w:val="right"/>
              <w:rPr>
                <w:rFonts w:eastAsia="Times New Roman"/>
              </w:rPr>
            </w:pPr>
            <w:r>
              <w:rPr>
                <w:rFonts w:ascii="Arial" w:eastAsia="Times New Roman" w:hAnsi="Arial" w:cs="Arial"/>
                <w:color w:val="000000"/>
                <w:sz w:val="20"/>
                <w:szCs w:val="20"/>
              </w:rPr>
              <w:t>39.4 </w:t>
            </w:r>
          </w:p>
        </w:tc>
        <w:tc>
          <w:tcPr>
            <w:tcW w:w="0" w:type="auto"/>
            <w:shd w:val="clear" w:color="auto" w:fill="FFFFFF"/>
            <w:tcMar>
              <w:top w:w="30" w:type="dxa"/>
              <w:left w:w="0" w:type="dxa"/>
              <w:bottom w:w="30" w:type="dxa"/>
              <w:right w:w="20" w:type="dxa"/>
            </w:tcMar>
            <w:vAlign w:val="bottom"/>
            <w:hideMark/>
          </w:tcPr>
          <w:p w14:paraId="53DE72A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24F5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0A4CB7" w14:textId="77777777" w:rsidR="00000000" w:rsidRDefault="00C01C43">
            <w:pPr>
              <w:jc w:val="right"/>
              <w:rPr>
                <w:rFonts w:eastAsia="Times New Roman"/>
              </w:rPr>
            </w:pPr>
            <w:r>
              <w:rPr>
                <w:rFonts w:ascii="Arial" w:eastAsia="Times New Roman" w:hAnsi="Arial" w:cs="Arial"/>
                <w:color w:val="000000"/>
                <w:sz w:val="20"/>
                <w:szCs w:val="20"/>
              </w:rPr>
              <w:t>54.2 </w:t>
            </w:r>
          </w:p>
        </w:tc>
        <w:tc>
          <w:tcPr>
            <w:tcW w:w="0" w:type="auto"/>
            <w:shd w:val="clear" w:color="auto" w:fill="FFFFFF"/>
            <w:tcMar>
              <w:top w:w="30" w:type="dxa"/>
              <w:left w:w="0" w:type="dxa"/>
              <w:bottom w:w="30" w:type="dxa"/>
              <w:right w:w="20" w:type="dxa"/>
            </w:tcMar>
            <w:vAlign w:val="bottom"/>
            <w:hideMark/>
          </w:tcPr>
          <w:p w14:paraId="062DE459" w14:textId="77777777" w:rsidR="00000000" w:rsidRDefault="00C01C43">
            <w:pPr>
              <w:jc w:val="right"/>
              <w:rPr>
                <w:rFonts w:eastAsia="Times New Roman"/>
              </w:rPr>
            </w:pPr>
          </w:p>
        </w:tc>
      </w:tr>
      <w:tr w:rsidR="00000000" w14:paraId="45E0AD93" w14:textId="77777777">
        <w:trPr>
          <w:divId w:val="1486818552"/>
        </w:trPr>
        <w:tc>
          <w:tcPr>
            <w:tcW w:w="0" w:type="auto"/>
            <w:gridSpan w:val="3"/>
            <w:shd w:val="clear" w:color="auto" w:fill="CCEEFF"/>
            <w:tcMar>
              <w:top w:w="30" w:type="dxa"/>
              <w:left w:w="20" w:type="dxa"/>
              <w:bottom w:w="30" w:type="dxa"/>
              <w:right w:w="20" w:type="dxa"/>
            </w:tcMar>
            <w:vAlign w:val="bottom"/>
            <w:hideMark/>
          </w:tcPr>
          <w:p w14:paraId="268CF44E" w14:textId="77777777" w:rsidR="00000000" w:rsidRDefault="00C01C43">
            <w:pPr>
              <w:rPr>
                <w:rFonts w:eastAsia="Times New Roman"/>
              </w:rPr>
            </w:pPr>
            <w:r>
              <w:rPr>
                <w:rFonts w:ascii="Arial" w:eastAsia="Times New Roman" w:hAnsi="Arial" w:cs="Arial"/>
                <w:color w:val="000000"/>
                <w:sz w:val="20"/>
                <w:szCs w:val="20"/>
              </w:rPr>
              <w:t>Finance lease obligations</w:t>
            </w:r>
          </w:p>
        </w:tc>
        <w:tc>
          <w:tcPr>
            <w:tcW w:w="0" w:type="auto"/>
            <w:gridSpan w:val="2"/>
            <w:shd w:val="clear" w:color="auto" w:fill="CCEEFF"/>
            <w:tcMar>
              <w:top w:w="30" w:type="dxa"/>
              <w:left w:w="20" w:type="dxa"/>
              <w:bottom w:w="30" w:type="dxa"/>
              <w:right w:w="0" w:type="dxa"/>
            </w:tcMar>
            <w:vAlign w:val="bottom"/>
            <w:hideMark/>
          </w:tcPr>
          <w:p w14:paraId="08852CAE" w14:textId="77777777" w:rsidR="00000000" w:rsidRDefault="00C01C43">
            <w:pPr>
              <w:jc w:val="right"/>
              <w:rPr>
                <w:rFonts w:eastAsia="Times New Roman"/>
              </w:rPr>
            </w:pPr>
            <w:r>
              <w:rPr>
                <w:rFonts w:ascii="Arial" w:eastAsia="Times New Roman" w:hAnsi="Arial" w:cs="Arial"/>
                <w:color w:val="000000"/>
                <w:sz w:val="20"/>
                <w:szCs w:val="20"/>
              </w:rPr>
              <w:t>20.2 </w:t>
            </w:r>
          </w:p>
        </w:tc>
        <w:tc>
          <w:tcPr>
            <w:tcW w:w="0" w:type="auto"/>
            <w:shd w:val="clear" w:color="auto" w:fill="CCEEFF"/>
            <w:tcMar>
              <w:top w:w="30" w:type="dxa"/>
              <w:left w:w="0" w:type="dxa"/>
              <w:bottom w:w="30" w:type="dxa"/>
              <w:right w:w="20" w:type="dxa"/>
            </w:tcMar>
            <w:vAlign w:val="bottom"/>
            <w:hideMark/>
          </w:tcPr>
          <w:p w14:paraId="780FC89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8FC16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FB067F" w14:textId="77777777" w:rsidR="00000000" w:rsidRDefault="00C01C43">
            <w:pPr>
              <w:jc w:val="right"/>
              <w:rPr>
                <w:rFonts w:eastAsia="Times New Roman"/>
              </w:rPr>
            </w:pPr>
            <w:r>
              <w:rPr>
                <w:rFonts w:ascii="Arial" w:eastAsia="Times New Roman" w:hAnsi="Arial" w:cs="Arial"/>
                <w:color w:val="000000"/>
                <w:sz w:val="20"/>
                <w:szCs w:val="20"/>
              </w:rPr>
              <w:t>4.4 </w:t>
            </w:r>
          </w:p>
        </w:tc>
        <w:tc>
          <w:tcPr>
            <w:tcW w:w="0" w:type="auto"/>
            <w:shd w:val="clear" w:color="auto" w:fill="CCEEFF"/>
            <w:tcMar>
              <w:top w:w="30" w:type="dxa"/>
              <w:left w:w="0" w:type="dxa"/>
              <w:bottom w:w="30" w:type="dxa"/>
              <w:right w:w="20" w:type="dxa"/>
            </w:tcMar>
            <w:vAlign w:val="bottom"/>
            <w:hideMark/>
          </w:tcPr>
          <w:p w14:paraId="3A3528E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6FF06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6767C0" w14:textId="77777777" w:rsidR="00000000" w:rsidRDefault="00C01C43">
            <w:pPr>
              <w:jc w:val="right"/>
              <w:rPr>
                <w:rFonts w:eastAsia="Times New Roman"/>
              </w:rPr>
            </w:pPr>
            <w:r>
              <w:rPr>
                <w:rFonts w:ascii="Arial" w:eastAsia="Times New Roman" w:hAnsi="Arial" w:cs="Arial"/>
                <w:color w:val="000000"/>
                <w:sz w:val="20"/>
                <w:szCs w:val="20"/>
              </w:rPr>
              <w:t>7.4 </w:t>
            </w:r>
          </w:p>
        </w:tc>
        <w:tc>
          <w:tcPr>
            <w:tcW w:w="0" w:type="auto"/>
            <w:shd w:val="clear" w:color="auto" w:fill="CCEEFF"/>
            <w:tcMar>
              <w:top w:w="30" w:type="dxa"/>
              <w:left w:w="0" w:type="dxa"/>
              <w:bottom w:w="30" w:type="dxa"/>
              <w:right w:w="20" w:type="dxa"/>
            </w:tcMar>
            <w:vAlign w:val="bottom"/>
            <w:hideMark/>
          </w:tcPr>
          <w:p w14:paraId="1B042F0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C15C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2B3F2A" w14:textId="77777777" w:rsidR="00000000" w:rsidRDefault="00C01C43">
            <w:pPr>
              <w:jc w:val="right"/>
              <w:rPr>
                <w:rFonts w:eastAsia="Times New Roman"/>
              </w:rPr>
            </w:pPr>
            <w:r>
              <w:rPr>
                <w:rFonts w:ascii="Arial" w:eastAsia="Times New Roman" w:hAnsi="Arial" w:cs="Arial"/>
                <w:color w:val="000000"/>
                <w:sz w:val="20"/>
                <w:szCs w:val="20"/>
              </w:rPr>
              <w:t>4.8 </w:t>
            </w:r>
          </w:p>
        </w:tc>
        <w:tc>
          <w:tcPr>
            <w:tcW w:w="0" w:type="auto"/>
            <w:shd w:val="clear" w:color="auto" w:fill="CCEEFF"/>
            <w:tcMar>
              <w:top w:w="30" w:type="dxa"/>
              <w:left w:w="0" w:type="dxa"/>
              <w:bottom w:w="30" w:type="dxa"/>
              <w:right w:w="20" w:type="dxa"/>
            </w:tcMar>
            <w:vAlign w:val="bottom"/>
            <w:hideMark/>
          </w:tcPr>
          <w:p w14:paraId="052314F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8E28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4682B2" w14:textId="77777777" w:rsidR="00000000" w:rsidRDefault="00C01C43">
            <w:pPr>
              <w:jc w:val="right"/>
              <w:rPr>
                <w:rFonts w:eastAsia="Times New Roman"/>
              </w:rPr>
            </w:pPr>
            <w:r>
              <w:rPr>
                <w:rFonts w:ascii="Arial" w:eastAsia="Times New Roman" w:hAnsi="Arial" w:cs="Arial"/>
                <w:color w:val="000000"/>
                <w:sz w:val="20"/>
                <w:szCs w:val="20"/>
              </w:rPr>
              <w:t>3.6 </w:t>
            </w:r>
          </w:p>
        </w:tc>
        <w:tc>
          <w:tcPr>
            <w:tcW w:w="0" w:type="auto"/>
            <w:shd w:val="clear" w:color="auto" w:fill="CCEEFF"/>
            <w:tcMar>
              <w:top w:w="30" w:type="dxa"/>
              <w:left w:w="0" w:type="dxa"/>
              <w:bottom w:w="30" w:type="dxa"/>
              <w:right w:w="20" w:type="dxa"/>
            </w:tcMar>
            <w:vAlign w:val="bottom"/>
            <w:hideMark/>
          </w:tcPr>
          <w:p w14:paraId="5E10CEF6" w14:textId="77777777" w:rsidR="00000000" w:rsidRDefault="00C01C43">
            <w:pPr>
              <w:jc w:val="right"/>
              <w:rPr>
                <w:rFonts w:eastAsia="Times New Roman"/>
              </w:rPr>
            </w:pPr>
          </w:p>
        </w:tc>
      </w:tr>
      <w:tr w:rsidR="00000000" w14:paraId="0A00E3F4" w14:textId="77777777">
        <w:trPr>
          <w:divId w:val="1486818552"/>
        </w:trPr>
        <w:tc>
          <w:tcPr>
            <w:tcW w:w="0" w:type="auto"/>
            <w:gridSpan w:val="3"/>
            <w:shd w:val="clear" w:color="auto" w:fill="FFFFFF"/>
            <w:tcMar>
              <w:top w:w="30" w:type="dxa"/>
              <w:left w:w="20" w:type="dxa"/>
              <w:bottom w:w="30" w:type="dxa"/>
              <w:right w:w="20" w:type="dxa"/>
            </w:tcMar>
            <w:vAlign w:val="bottom"/>
            <w:hideMark/>
          </w:tcPr>
          <w:p w14:paraId="576FC40E" w14:textId="77777777" w:rsidR="00000000" w:rsidRDefault="00C01C43">
            <w:pPr>
              <w:rPr>
                <w:rFonts w:eastAsia="Times New Roman"/>
              </w:rPr>
            </w:pPr>
            <w:r>
              <w:rPr>
                <w:rFonts w:ascii="Arial" w:eastAsia="Times New Roman" w:hAnsi="Arial" w:cs="Arial"/>
                <w:color w:val="000000"/>
                <w:sz w:val="20"/>
                <w:szCs w:val="20"/>
              </w:rPr>
              <w:t>Employment agreement obligations</w:t>
            </w:r>
          </w:p>
        </w:tc>
        <w:tc>
          <w:tcPr>
            <w:tcW w:w="0" w:type="auto"/>
            <w:gridSpan w:val="2"/>
            <w:shd w:val="clear" w:color="auto" w:fill="FFFFFF"/>
            <w:tcMar>
              <w:top w:w="30" w:type="dxa"/>
              <w:left w:w="20" w:type="dxa"/>
              <w:bottom w:w="30" w:type="dxa"/>
              <w:right w:w="0" w:type="dxa"/>
            </w:tcMar>
            <w:vAlign w:val="bottom"/>
            <w:hideMark/>
          </w:tcPr>
          <w:p w14:paraId="75C13D40" w14:textId="77777777" w:rsidR="00000000" w:rsidRDefault="00C01C43">
            <w:pPr>
              <w:jc w:val="right"/>
              <w:rPr>
                <w:rFonts w:eastAsia="Times New Roman"/>
              </w:rPr>
            </w:pPr>
            <w:r>
              <w:rPr>
                <w:rFonts w:ascii="Arial" w:eastAsia="Times New Roman" w:hAnsi="Arial" w:cs="Arial"/>
                <w:color w:val="000000"/>
                <w:sz w:val="20"/>
                <w:szCs w:val="20"/>
              </w:rPr>
              <w:t>0.9 </w:t>
            </w:r>
          </w:p>
        </w:tc>
        <w:tc>
          <w:tcPr>
            <w:tcW w:w="0" w:type="auto"/>
            <w:shd w:val="clear" w:color="auto" w:fill="FFFFFF"/>
            <w:tcMar>
              <w:top w:w="30" w:type="dxa"/>
              <w:left w:w="0" w:type="dxa"/>
              <w:bottom w:w="30" w:type="dxa"/>
              <w:right w:w="20" w:type="dxa"/>
            </w:tcMar>
            <w:vAlign w:val="bottom"/>
            <w:hideMark/>
          </w:tcPr>
          <w:p w14:paraId="1157BD3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3595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8882A8" w14:textId="77777777" w:rsidR="00000000" w:rsidRDefault="00C01C43">
            <w:pPr>
              <w:jc w:val="right"/>
              <w:rPr>
                <w:rFonts w:eastAsia="Times New Roman"/>
              </w:rPr>
            </w:pPr>
            <w:r>
              <w:rPr>
                <w:rFonts w:ascii="Arial" w:eastAsia="Times New Roman" w:hAnsi="Arial" w:cs="Arial"/>
                <w:color w:val="000000"/>
                <w:sz w:val="20"/>
                <w:szCs w:val="20"/>
              </w:rPr>
              <w:t>0.9 </w:t>
            </w:r>
          </w:p>
        </w:tc>
        <w:tc>
          <w:tcPr>
            <w:tcW w:w="0" w:type="auto"/>
            <w:shd w:val="clear" w:color="auto" w:fill="FFFFFF"/>
            <w:tcMar>
              <w:top w:w="30" w:type="dxa"/>
              <w:left w:w="0" w:type="dxa"/>
              <w:bottom w:w="30" w:type="dxa"/>
              <w:right w:w="20" w:type="dxa"/>
            </w:tcMar>
            <w:vAlign w:val="bottom"/>
            <w:hideMark/>
          </w:tcPr>
          <w:p w14:paraId="3D09254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8AC4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25E733"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70236D5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2665F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2299F5"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079350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526E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E1B346"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CA751FC" w14:textId="77777777" w:rsidR="00000000" w:rsidRDefault="00C01C43">
            <w:pPr>
              <w:jc w:val="right"/>
              <w:rPr>
                <w:rFonts w:eastAsia="Times New Roman"/>
              </w:rPr>
            </w:pPr>
          </w:p>
        </w:tc>
      </w:tr>
      <w:tr w:rsidR="00000000" w14:paraId="02E14F8A" w14:textId="77777777">
        <w:trPr>
          <w:divId w:val="1486818552"/>
        </w:trPr>
        <w:tc>
          <w:tcPr>
            <w:tcW w:w="0" w:type="auto"/>
            <w:gridSpan w:val="3"/>
            <w:shd w:val="clear" w:color="auto" w:fill="CCEEFF"/>
            <w:tcMar>
              <w:top w:w="30" w:type="dxa"/>
              <w:left w:w="20" w:type="dxa"/>
              <w:bottom w:w="30" w:type="dxa"/>
              <w:right w:w="20" w:type="dxa"/>
            </w:tcMar>
            <w:vAlign w:val="bottom"/>
            <w:hideMark/>
          </w:tcPr>
          <w:p w14:paraId="5F35ABFB" w14:textId="77777777" w:rsidR="00000000" w:rsidRDefault="00C01C43">
            <w:pPr>
              <w:rPr>
                <w:rFonts w:eastAsia="Times New Roman"/>
              </w:rPr>
            </w:pPr>
            <w:r>
              <w:rPr>
                <w:rFonts w:ascii="Arial" w:eastAsia="Times New Roman" w:hAnsi="Arial" w:cs="Arial"/>
                <w:color w:val="000000"/>
                <w:sz w:val="20"/>
                <w:szCs w:val="20"/>
              </w:rPr>
              <w:t>Derivatives obligations</w:t>
            </w:r>
          </w:p>
        </w:tc>
        <w:tc>
          <w:tcPr>
            <w:tcW w:w="0" w:type="auto"/>
            <w:gridSpan w:val="2"/>
            <w:shd w:val="clear" w:color="auto" w:fill="CCEEFF"/>
            <w:tcMar>
              <w:top w:w="30" w:type="dxa"/>
              <w:left w:w="20" w:type="dxa"/>
              <w:bottom w:w="30" w:type="dxa"/>
              <w:right w:w="0" w:type="dxa"/>
            </w:tcMar>
            <w:vAlign w:val="bottom"/>
            <w:hideMark/>
          </w:tcPr>
          <w:p w14:paraId="291399B2" w14:textId="77777777" w:rsidR="00000000" w:rsidRDefault="00C01C43">
            <w:pPr>
              <w:jc w:val="right"/>
              <w:rPr>
                <w:rFonts w:eastAsia="Times New Roman"/>
              </w:rPr>
            </w:pPr>
            <w:r>
              <w:rPr>
                <w:rFonts w:ascii="Arial" w:eastAsia="Times New Roman" w:hAnsi="Arial" w:cs="Arial"/>
                <w:color w:val="000000"/>
                <w:sz w:val="20"/>
                <w:szCs w:val="20"/>
              </w:rPr>
              <w:t>59.0 </w:t>
            </w:r>
          </w:p>
        </w:tc>
        <w:tc>
          <w:tcPr>
            <w:tcW w:w="0" w:type="auto"/>
            <w:shd w:val="clear" w:color="auto" w:fill="CCEEFF"/>
            <w:tcMar>
              <w:top w:w="30" w:type="dxa"/>
              <w:left w:w="0" w:type="dxa"/>
              <w:bottom w:w="30" w:type="dxa"/>
              <w:right w:w="20" w:type="dxa"/>
            </w:tcMar>
            <w:vAlign w:val="bottom"/>
            <w:hideMark/>
          </w:tcPr>
          <w:p w14:paraId="6FFC0F8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EC0A3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5133CF" w14:textId="77777777" w:rsidR="00000000" w:rsidRDefault="00C01C43">
            <w:pPr>
              <w:jc w:val="right"/>
              <w:rPr>
                <w:rFonts w:eastAsia="Times New Roman"/>
              </w:rPr>
            </w:pPr>
            <w:r>
              <w:rPr>
                <w:rFonts w:ascii="Arial" w:eastAsia="Times New Roman" w:hAnsi="Arial" w:cs="Arial"/>
                <w:color w:val="000000"/>
                <w:sz w:val="20"/>
                <w:szCs w:val="20"/>
              </w:rPr>
              <w:t>50.9 </w:t>
            </w:r>
          </w:p>
        </w:tc>
        <w:tc>
          <w:tcPr>
            <w:tcW w:w="0" w:type="auto"/>
            <w:shd w:val="clear" w:color="auto" w:fill="CCEEFF"/>
            <w:tcMar>
              <w:top w:w="30" w:type="dxa"/>
              <w:left w:w="0" w:type="dxa"/>
              <w:bottom w:w="30" w:type="dxa"/>
              <w:right w:w="20" w:type="dxa"/>
            </w:tcMar>
            <w:vAlign w:val="bottom"/>
            <w:hideMark/>
          </w:tcPr>
          <w:p w14:paraId="233D2C6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DE2C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51024E" w14:textId="77777777" w:rsidR="00000000" w:rsidRDefault="00C01C43">
            <w:pPr>
              <w:jc w:val="right"/>
              <w:rPr>
                <w:rFonts w:eastAsia="Times New Roman"/>
              </w:rPr>
            </w:pPr>
            <w:r>
              <w:rPr>
                <w:rFonts w:ascii="Arial" w:eastAsia="Times New Roman" w:hAnsi="Arial" w:cs="Arial"/>
                <w:color w:val="000000"/>
                <w:sz w:val="20"/>
                <w:szCs w:val="20"/>
              </w:rPr>
              <w:t>8.2 </w:t>
            </w:r>
          </w:p>
        </w:tc>
        <w:tc>
          <w:tcPr>
            <w:tcW w:w="0" w:type="auto"/>
            <w:shd w:val="clear" w:color="auto" w:fill="CCEEFF"/>
            <w:tcMar>
              <w:top w:w="30" w:type="dxa"/>
              <w:left w:w="0" w:type="dxa"/>
              <w:bottom w:w="30" w:type="dxa"/>
              <w:right w:w="20" w:type="dxa"/>
            </w:tcMar>
            <w:vAlign w:val="bottom"/>
            <w:hideMark/>
          </w:tcPr>
          <w:p w14:paraId="29D25A0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59E4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251547"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CAE33A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1BA2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506F6B"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43CF4D9D" w14:textId="77777777" w:rsidR="00000000" w:rsidRDefault="00C01C43">
            <w:pPr>
              <w:jc w:val="right"/>
              <w:rPr>
                <w:rFonts w:eastAsia="Times New Roman"/>
              </w:rPr>
            </w:pPr>
          </w:p>
        </w:tc>
      </w:tr>
      <w:tr w:rsidR="00000000" w14:paraId="13EA9520" w14:textId="77777777">
        <w:trPr>
          <w:divId w:val="1486818552"/>
        </w:trPr>
        <w:tc>
          <w:tcPr>
            <w:tcW w:w="0" w:type="auto"/>
            <w:gridSpan w:val="3"/>
            <w:shd w:val="clear" w:color="auto" w:fill="FFFFFF"/>
            <w:tcMar>
              <w:top w:w="30" w:type="dxa"/>
              <w:left w:w="20" w:type="dxa"/>
              <w:bottom w:w="30" w:type="dxa"/>
              <w:right w:w="20" w:type="dxa"/>
            </w:tcMar>
            <w:vAlign w:val="bottom"/>
            <w:hideMark/>
          </w:tcPr>
          <w:p w14:paraId="18B509E6" w14:textId="77777777" w:rsidR="00000000" w:rsidRDefault="00C01C43">
            <w:pPr>
              <w:rPr>
                <w:rFonts w:eastAsia="Times New Roman"/>
              </w:rPr>
            </w:pPr>
            <w:r>
              <w:rPr>
                <w:rFonts w:ascii="Arial" w:eastAsia="Times New Roman" w:hAnsi="Arial" w:cs="Arial"/>
                <w:color w:val="000000"/>
                <w:sz w:val="20"/>
                <w:szCs w:val="20"/>
              </w:rPr>
              <w:t>Purchase commitment obligations</w:t>
            </w:r>
          </w:p>
        </w:tc>
        <w:tc>
          <w:tcPr>
            <w:tcW w:w="0" w:type="auto"/>
            <w:gridSpan w:val="2"/>
            <w:shd w:val="clear" w:color="auto" w:fill="FFFFFF"/>
            <w:tcMar>
              <w:top w:w="30" w:type="dxa"/>
              <w:left w:w="20" w:type="dxa"/>
              <w:bottom w:w="30" w:type="dxa"/>
              <w:right w:w="0" w:type="dxa"/>
            </w:tcMar>
            <w:vAlign w:val="bottom"/>
            <w:hideMark/>
          </w:tcPr>
          <w:p w14:paraId="744968D6" w14:textId="77777777" w:rsidR="00000000" w:rsidRDefault="00C01C43">
            <w:pPr>
              <w:jc w:val="right"/>
              <w:rPr>
                <w:rFonts w:eastAsia="Times New Roman"/>
              </w:rPr>
            </w:pPr>
            <w:r>
              <w:rPr>
                <w:rFonts w:ascii="Arial" w:eastAsia="Times New Roman" w:hAnsi="Arial" w:cs="Arial"/>
                <w:color w:val="000000"/>
                <w:sz w:val="20"/>
                <w:szCs w:val="20"/>
              </w:rPr>
              <w:t>88.4 </w:t>
            </w:r>
          </w:p>
        </w:tc>
        <w:tc>
          <w:tcPr>
            <w:tcW w:w="0" w:type="auto"/>
            <w:shd w:val="clear" w:color="auto" w:fill="FFFFFF"/>
            <w:tcMar>
              <w:top w:w="30" w:type="dxa"/>
              <w:left w:w="0" w:type="dxa"/>
              <w:bottom w:w="30" w:type="dxa"/>
              <w:right w:w="20" w:type="dxa"/>
            </w:tcMar>
            <w:vAlign w:val="bottom"/>
            <w:hideMark/>
          </w:tcPr>
          <w:p w14:paraId="3F47D7F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62E0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907499" w14:textId="77777777" w:rsidR="00000000" w:rsidRDefault="00C01C43">
            <w:pPr>
              <w:jc w:val="right"/>
              <w:rPr>
                <w:rFonts w:eastAsia="Times New Roman"/>
              </w:rPr>
            </w:pPr>
            <w:r>
              <w:rPr>
                <w:rFonts w:ascii="Arial" w:eastAsia="Times New Roman" w:hAnsi="Arial" w:cs="Arial"/>
                <w:color w:val="000000"/>
                <w:sz w:val="20"/>
                <w:szCs w:val="20"/>
              </w:rPr>
              <w:t>58.1 </w:t>
            </w:r>
          </w:p>
        </w:tc>
        <w:tc>
          <w:tcPr>
            <w:tcW w:w="0" w:type="auto"/>
            <w:shd w:val="clear" w:color="auto" w:fill="FFFFFF"/>
            <w:tcMar>
              <w:top w:w="30" w:type="dxa"/>
              <w:left w:w="0" w:type="dxa"/>
              <w:bottom w:w="30" w:type="dxa"/>
              <w:right w:w="20" w:type="dxa"/>
            </w:tcMar>
            <w:vAlign w:val="bottom"/>
            <w:hideMark/>
          </w:tcPr>
          <w:p w14:paraId="47D5D1F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40BE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A87DD8" w14:textId="77777777" w:rsidR="00000000" w:rsidRDefault="00C01C43">
            <w:pPr>
              <w:jc w:val="right"/>
              <w:rPr>
                <w:rFonts w:eastAsia="Times New Roman"/>
              </w:rPr>
            </w:pPr>
            <w:r>
              <w:rPr>
                <w:rFonts w:ascii="Arial" w:eastAsia="Times New Roman" w:hAnsi="Arial" w:cs="Arial"/>
                <w:color w:val="000000"/>
                <w:sz w:val="20"/>
                <w:szCs w:val="20"/>
              </w:rPr>
              <w:t>30.4 </w:t>
            </w:r>
          </w:p>
        </w:tc>
        <w:tc>
          <w:tcPr>
            <w:tcW w:w="0" w:type="auto"/>
            <w:shd w:val="clear" w:color="auto" w:fill="FFFFFF"/>
            <w:tcMar>
              <w:top w:w="30" w:type="dxa"/>
              <w:left w:w="0" w:type="dxa"/>
              <w:bottom w:w="30" w:type="dxa"/>
              <w:right w:w="20" w:type="dxa"/>
            </w:tcMar>
            <w:vAlign w:val="bottom"/>
            <w:hideMark/>
          </w:tcPr>
          <w:p w14:paraId="15F0AFD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96CC5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2AA590"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581E4B5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E4EF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68DA5B"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38DD9D5" w14:textId="77777777" w:rsidR="00000000" w:rsidRDefault="00C01C43">
            <w:pPr>
              <w:jc w:val="right"/>
              <w:rPr>
                <w:rFonts w:eastAsia="Times New Roman"/>
              </w:rPr>
            </w:pPr>
          </w:p>
        </w:tc>
      </w:tr>
      <w:tr w:rsidR="00000000" w14:paraId="0855C350" w14:textId="77777777">
        <w:trPr>
          <w:divId w:val="1486818552"/>
        </w:trPr>
        <w:tc>
          <w:tcPr>
            <w:tcW w:w="0" w:type="auto"/>
            <w:gridSpan w:val="3"/>
            <w:shd w:val="clear" w:color="auto" w:fill="CCEEFF"/>
            <w:tcMar>
              <w:top w:w="30" w:type="dxa"/>
              <w:left w:w="20" w:type="dxa"/>
              <w:bottom w:w="30" w:type="dxa"/>
              <w:right w:w="20" w:type="dxa"/>
            </w:tcMar>
            <w:vAlign w:val="bottom"/>
            <w:hideMark/>
          </w:tcPr>
          <w:p w14:paraId="2967B0D0" w14:textId="77777777" w:rsidR="00000000" w:rsidRDefault="00C01C43">
            <w:pPr>
              <w:rPr>
                <w:rFonts w:eastAsia="Times New Roman"/>
              </w:rPr>
            </w:pPr>
            <w:r>
              <w:rPr>
                <w:rFonts w:ascii="Arial" w:eastAsia="Times New Roman" w:hAnsi="Arial" w:cs="Arial"/>
                <w:color w:val="000000"/>
                <w:sz w:val="20"/>
                <w:szCs w:val="20"/>
              </w:rPr>
              <w:t>Other obligations</w:t>
            </w:r>
          </w:p>
        </w:tc>
        <w:tc>
          <w:tcPr>
            <w:tcW w:w="0" w:type="auto"/>
            <w:gridSpan w:val="2"/>
            <w:shd w:val="clear" w:color="auto" w:fill="CCEEFF"/>
            <w:tcMar>
              <w:top w:w="30" w:type="dxa"/>
              <w:left w:w="20" w:type="dxa"/>
              <w:bottom w:w="30" w:type="dxa"/>
              <w:right w:w="0" w:type="dxa"/>
            </w:tcMar>
            <w:vAlign w:val="bottom"/>
            <w:hideMark/>
          </w:tcPr>
          <w:p w14:paraId="09F6DA48" w14:textId="77777777" w:rsidR="00000000" w:rsidRDefault="00C01C43">
            <w:pPr>
              <w:jc w:val="right"/>
              <w:rPr>
                <w:rFonts w:eastAsia="Times New Roman"/>
              </w:rPr>
            </w:pPr>
            <w:r>
              <w:rPr>
                <w:rFonts w:ascii="Arial" w:eastAsia="Times New Roman" w:hAnsi="Arial" w:cs="Arial"/>
                <w:color w:val="000000"/>
                <w:sz w:val="20"/>
                <w:szCs w:val="20"/>
              </w:rPr>
              <w:t>8.5 </w:t>
            </w:r>
          </w:p>
        </w:tc>
        <w:tc>
          <w:tcPr>
            <w:tcW w:w="0" w:type="auto"/>
            <w:shd w:val="clear" w:color="auto" w:fill="CCEEFF"/>
            <w:tcMar>
              <w:top w:w="30" w:type="dxa"/>
              <w:left w:w="0" w:type="dxa"/>
              <w:bottom w:w="30" w:type="dxa"/>
              <w:right w:w="20" w:type="dxa"/>
            </w:tcMar>
            <w:vAlign w:val="bottom"/>
            <w:hideMark/>
          </w:tcPr>
          <w:p w14:paraId="5E20B0E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2F895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B41535" w14:textId="77777777" w:rsidR="00000000" w:rsidRDefault="00C01C43">
            <w:pPr>
              <w:jc w:val="right"/>
              <w:rPr>
                <w:rFonts w:eastAsia="Times New Roman"/>
              </w:rPr>
            </w:pPr>
            <w:r>
              <w:rPr>
                <w:rFonts w:ascii="Arial" w:eastAsia="Times New Roman" w:hAnsi="Arial" w:cs="Arial"/>
                <w:color w:val="000000"/>
                <w:sz w:val="20"/>
                <w:szCs w:val="20"/>
              </w:rPr>
              <w:t>1.3 </w:t>
            </w:r>
          </w:p>
        </w:tc>
        <w:tc>
          <w:tcPr>
            <w:tcW w:w="0" w:type="auto"/>
            <w:shd w:val="clear" w:color="auto" w:fill="CCEEFF"/>
            <w:tcMar>
              <w:top w:w="30" w:type="dxa"/>
              <w:left w:w="0" w:type="dxa"/>
              <w:bottom w:w="30" w:type="dxa"/>
              <w:right w:w="20" w:type="dxa"/>
            </w:tcMar>
            <w:vAlign w:val="bottom"/>
            <w:hideMark/>
          </w:tcPr>
          <w:p w14:paraId="489E8D3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C2D3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7FF764" w14:textId="77777777" w:rsidR="00000000" w:rsidRDefault="00C01C43">
            <w:pPr>
              <w:jc w:val="right"/>
              <w:rPr>
                <w:rFonts w:eastAsia="Times New Roman"/>
              </w:rPr>
            </w:pPr>
            <w:r>
              <w:rPr>
                <w:rFonts w:ascii="Arial" w:eastAsia="Times New Roman" w:hAnsi="Arial" w:cs="Arial"/>
                <w:color w:val="000000"/>
                <w:sz w:val="20"/>
                <w:szCs w:val="20"/>
              </w:rPr>
              <w:t>2.9 </w:t>
            </w:r>
          </w:p>
        </w:tc>
        <w:tc>
          <w:tcPr>
            <w:tcW w:w="0" w:type="auto"/>
            <w:shd w:val="clear" w:color="auto" w:fill="CCEEFF"/>
            <w:tcMar>
              <w:top w:w="30" w:type="dxa"/>
              <w:left w:w="0" w:type="dxa"/>
              <w:bottom w:w="30" w:type="dxa"/>
              <w:right w:w="20" w:type="dxa"/>
            </w:tcMar>
            <w:vAlign w:val="bottom"/>
            <w:hideMark/>
          </w:tcPr>
          <w:p w14:paraId="6F4291B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DC0F6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472BF3" w14:textId="77777777" w:rsidR="00000000" w:rsidRDefault="00C01C43">
            <w:pPr>
              <w:jc w:val="right"/>
              <w:rPr>
                <w:rFonts w:eastAsia="Times New Roman"/>
              </w:rPr>
            </w:pPr>
            <w:r>
              <w:rPr>
                <w:rFonts w:ascii="Arial" w:eastAsia="Times New Roman" w:hAnsi="Arial" w:cs="Arial"/>
                <w:color w:val="000000"/>
                <w:sz w:val="20"/>
                <w:szCs w:val="20"/>
              </w:rPr>
              <w:t>2.1 </w:t>
            </w:r>
          </w:p>
        </w:tc>
        <w:tc>
          <w:tcPr>
            <w:tcW w:w="0" w:type="auto"/>
            <w:shd w:val="clear" w:color="auto" w:fill="CCEEFF"/>
            <w:tcMar>
              <w:top w:w="30" w:type="dxa"/>
              <w:left w:w="0" w:type="dxa"/>
              <w:bottom w:w="30" w:type="dxa"/>
              <w:right w:w="20" w:type="dxa"/>
            </w:tcMar>
            <w:vAlign w:val="bottom"/>
            <w:hideMark/>
          </w:tcPr>
          <w:p w14:paraId="456DBAB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16D4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EA20BF" w14:textId="77777777" w:rsidR="00000000" w:rsidRDefault="00C01C43">
            <w:pPr>
              <w:jc w:val="right"/>
              <w:rPr>
                <w:rFonts w:eastAsia="Times New Roman"/>
              </w:rPr>
            </w:pPr>
            <w:r>
              <w:rPr>
                <w:rFonts w:ascii="Arial" w:eastAsia="Times New Roman" w:hAnsi="Arial" w:cs="Arial"/>
                <w:color w:val="000000"/>
                <w:sz w:val="20"/>
                <w:szCs w:val="20"/>
              </w:rPr>
              <w:t>2.2 </w:t>
            </w:r>
          </w:p>
        </w:tc>
        <w:tc>
          <w:tcPr>
            <w:tcW w:w="0" w:type="auto"/>
            <w:shd w:val="clear" w:color="auto" w:fill="CCEEFF"/>
            <w:tcMar>
              <w:top w:w="30" w:type="dxa"/>
              <w:left w:w="0" w:type="dxa"/>
              <w:bottom w:w="30" w:type="dxa"/>
              <w:right w:w="20" w:type="dxa"/>
            </w:tcMar>
            <w:vAlign w:val="bottom"/>
            <w:hideMark/>
          </w:tcPr>
          <w:p w14:paraId="34F72511" w14:textId="77777777" w:rsidR="00000000" w:rsidRDefault="00C01C43">
            <w:pPr>
              <w:jc w:val="right"/>
              <w:rPr>
                <w:rFonts w:eastAsia="Times New Roman"/>
              </w:rPr>
            </w:pPr>
          </w:p>
        </w:tc>
      </w:tr>
      <w:tr w:rsidR="00000000" w14:paraId="6231D99C" w14:textId="77777777">
        <w:trPr>
          <w:divId w:val="1486818552"/>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5D328823" w14:textId="77777777" w:rsidR="00000000" w:rsidRDefault="00C01C43">
            <w:pPr>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9D89C4"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BB295B" w14:textId="77777777" w:rsidR="00000000" w:rsidRDefault="00C01C43">
            <w:pPr>
              <w:jc w:val="right"/>
              <w:rPr>
                <w:rFonts w:eastAsia="Times New Roman"/>
              </w:rPr>
            </w:pPr>
            <w:r>
              <w:rPr>
                <w:rFonts w:ascii="Arial" w:eastAsia="Times New Roman" w:hAnsi="Arial" w:cs="Arial"/>
                <w:color w:val="000000"/>
                <w:sz w:val="20"/>
                <w:szCs w:val="20"/>
              </w:rPr>
              <w:t>940.2 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2E32FD"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667172F"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F148E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86B62A" w14:textId="77777777" w:rsidR="00000000" w:rsidRDefault="00C01C43">
            <w:pPr>
              <w:jc w:val="right"/>
              <w:rPr>
                <w:rFonts w:eastAsia="Times New Roman"/>
              </w:rPr>
            </w:pPr>
            <w:r>
              <w:rPr>
                <w:rFonts w:ascii="Arial" w:eastAsia="Times New Roman" w:hAnsi="Arial" w:cs="Arial"/>
                <w:color w:val="000000"/>
                <w:sz w:val="20"/>
                <w:szCs w:val="20"/>
              </w:rPr>
              <w:t>189.8 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07207B"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D75E381"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A5970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9F5569" w14:textId="77777777" w:rsidR="00000000" w:rsidRDefault="00C01C43">
            <w:pPr>
              <w:jc w:val="right"/>
              <w:rPr>
                <w:rFonts w:eastAsia="Times New Roman"/>
              </w:rPr>
            </w:pPr>
            <w:r>
              <w:rPr>
                <w:rFonts w:ascii="Arial" w:eastAsia="Times New Roman" w:hAnsi="Arial" w:cs="Arial"/>
                <w:color w:val="000000"/>
                <w:sz w:val="20"/>
                <w:szCs w:val="20"/>
              </w:rPr>
              <w:t>210.0 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9C78C8"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5D2701E"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23F21B"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0BF364" w14:textId="77777777" w:rsidR="00000000" w:rsidRDefault="00C01C43">
            <w:pPr>
              <w:jc w:val="right"/>
              <w:rPr>
                <w:rFonts w:eastAsia="Times New Roman"/>
              </w:rPr>
            </w:pPr>
            <w:r>
              <w:rPr>
                <w:rFonts w:ascii="Arial" w:eastAsia="Times New Roman" w:hAnsi="Arial" w:cs="Arial"/>
                <w:color w:val="000000"/>
                <w:sz w:val="20"/>
                <w:szCs w:val="20"/>
              </w:rPr>
              <w:t>480.1 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8850749"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275720F"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A56AB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AFBA9F8" w14:textId="77777777" w:rsidR="00000000" w:rsidRDefault="00C01C43">
            <w:pPr>
              <w:jc w:val="right"/>
              <w:rPr>
                <w:rFonts w:eastAsia="Times New Roman"/>
              </w:rPr>
            </w:pPr>
            <w:r>
              <w:rPr>
                <w:rFonts w:ascii="Arial" w:eastAsia="Times New Roman" w:hAnsi="Arial" w:cs="Arial"/>
                <w:color w:val="000000"/>
                <w:sz w:val="20"/>
                <w:szCs w:val="20"/>
              </w:rPr>
              <w:t>60.3 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B497D7" w14:textId="77777777" w:rsidR="00000000" w:rsidRDefault="00C01C43">
            <w:pPr>
              <w:jc w:val="right"/>
              <w:rPr>
                <w:rFonts w:eastAsia="Times New Roman"/>
              </w:rPr>
            </w:pPr>
          </w:p>
        </w:tc>
      </w:tr>
    </w:tbl>
    <w:p w14:paraId="2D7632F4" w14:textId="77777777" w:rsidR="00000000" w:rsidRDefault="00C01C43">
      <w:pPr>
        <w:jc w:val="both"/>
        <w:divId w:val="335154759"/>
        <w:rPr>
          <w:rFonts w:eastAsia="Times New Roman"/>
        </w:rPr>
      </w:pPr>
      <w:r>
        <w:rPr>
          <w:rFonts w:ascii="Arial" w:eastAsia="Times New Roman" w:hAnsi="Arial" w:cs="Arial"/>
          <w:color w:val="000000"/>
          <w:sz w:val="20"/>
          <w:szCs w:val="20"/>
        </w:rPr>
        <w:t>Additionally, we have certain purchase contracts, that run through 2026, under wh</w:t>
      </w:r>
      <w:r>
        <w:rPr>
          <w:rFonts w:ascii="Arial" w:eastAsia="Times New Roman" w:hAnsi="Arial" w:cs="Arial"/>
          <w:color w:val="000000"/>
          <w:sz w:val="20"/>
          <w:szCs w:val="20"/>
        </w:rPr>
        <w:t>ich we agreed to purchase annually between 1.83 million barrels and 2.02 million barrels of aviation fuel at future market prices.</w:t>
      </w:r>
    </w:p>
    <w:p w14:paraId="2A8D8918" w14:textId="77777777" w:rsidR="00000000" w:rsidRDefault="00C01C43">
      <w:pPr>
        <w:jc w:val="both"/>
        <w:rPr>
          <w:rFonts w:eastAsia="Times New Roman"/>
        </w:rPr>
      </w:pPr>
      <w:r>
        <w:rPr>
          <w:rFonts w:ascii="Arial" w:eastAsia="Times New Roman" w:hAnsi="Arial" w:cs="Arial"/>
          <w:b/>
          <w:bCs/>
          <w:i/>
          <w:iCs/>
          <w:color w:val="000000"/>
          <w:sz w:val="20"/>
          <w:szCs w:val="20"/>
        </w:rPr>
        <w:t>Off-Balance Sheet Arrangements</w:t>
      </w:r>
    </w:p>
    <w:p w14:paraId="12D11804" w14:textId="77777777" w:rsidR="00000000" w:rsidRDefault="00C01C43">
      <w:pPr>
        <w:jc w:val="both"/>
        <w:divId w:val="1410537302"/>
        <w:rPr>
          <w:rFonts w:eastAsia="Times New Roman"/>
        </w:rPr>
      </w:pPr>
      <w:r>
        <w:rPr>
          <w:rFonts w:ascii="Arial" w:eastAsia="Times New Roman" w:hAnsi="Arial" w:cs="Arial"/>
          <w:i/>
          <w:iCs/>
          <w:color w:val="000000"/>
          <w:sz w:val="20"/>
          <w:szCs w:val="20"/>
        </w:rPr>
        <w:t>Letters of Credit and Bank Guarantees.</w:t>
      </w:r>
      <w:r>
        <w:rPr>
          <w:rFonts w:ascii="Arial" w:eastAsia="Times New Roman" w:hAnsi="Arial" w:cs="Arial"/>
          <w:color w:val="000000"/>
          <w:sz w:val="20"/>
          <w:szCs w:val="20"/>
        </w:rPr>
        <w:t xml:space="preserve"> In the normal course of business, we are required to pr</w:t>
      </w:r>
      <w:r>
        <w:rPr>
          <w:rFonts w:ascii="Arial" w:eastAsia="Times New Roman" w:hAnsi="Arial" w:cs="Arial"/>
          <w:color w:val="000000"/>
          <w:sz w:val="20"/>
          <w:szCs w:val="20"/>
        </w:rPr>
        <w:t>ovide letters of credit to certain suppliers. A majority of these letters of credit expire within one year from their issuance, and expired letters of credit are renewed as needed. As of December 31, 2020, we had issued letters of credit and bank guarantee</w:t>
      </w:r>
      <w:r>
        <w:rPr>
          <w:rFonts w:ascii="Arial" w:eastAsia="Times New Roman" w:hAnsi="Arial" w:cs="Arial"/>
          <w:color w:val="000000"/>
          <w:sz w:val="20"/>
          <w:szCs w:val="20"/>
        </w:rPr>
        <w:t>s totaling $331.9 million under our Credit Facility and other uncommitted credit lines. For additional information on our Credit Facility and other credit lines, see the discussion in “Liquidity and Capital Resources” above.</w:t>
      </w:r>
    </w:p>
    <w:p w14:paraId="7A931110" w14:textId="77777777" w:rsidR="00000000" w:rsidRDefault="00C01C43">
      <w:pPr>
        <w:jc w:val="both"/>
        <w:rPr>
          <w:rFonts w:eastAsia="Times New Roman"/>
        </w:rPr>
      </w:pPr>
      <w:r>
        <w:rPr>
          <w:rFonts w:ascii="Arial" w:eastAsia="Times New Roman" w:hAnsi="Arial" w:cs="Arial"/>
          <w:i/>
          <w:iCs/>
          <w:color w:val="000000"/>
          <w:sz w:val="20"/>
          <w:szCs w:val="20"/>
        </w:rPr>
        <w:t>Surety Bonds.</w:t>
      </w:r>
      <w:r>
        <w:rPr>
          <w:rFonts w:ascii="Arial" w:eastAsia="Times New Roman" w:hAnsi="Arial" w:cs="Arial"/>
          <w:color w:val="000000"/>
          <w:sz w:val="20"/>
          <w:szCs w:val="20"/>
        </w:rPr>
        <w:t xml:space="preserve"> In the normal cou</w:t>
      </w:r>
      <w:r>
        <w:rPr>
          <w:rFonts w:ascii="Arial" w:eastAsia="Times New Roman" w:hAnsi="Arial" w:cs="Arial"/>
          <w:color w:val="000000"/>
          <w:sz w:val="20"/>
          <w:szCs w:val="20"/>
        </w:rPr>
        <w:t>rse of business, we are required to post bid, performance and other surety-related bonds. The majority of the surety bonds posted relate to our aviation and land segments. We had outstanding bonds that were executed in order to satisfy various security req</w:t>
      </w:r>
      <w:r>
        <w:rPr>
          <w:rFonts w:ascii="Arial" w:eastAsia="Times New Roman" w:hAnsi="Arial" w:cs="Arial"/>
          <w:color w:val="000000"/>
          <w:sz w:val="20"/>
          <w:szCs w:val="20"/>
        </w:rPr>
        <w:t>uirements of $50.6 million as of December 31, 2020.</w:t>
      </w:r>
    </w:p>
    <w:p w14:paraId="77029B2E" w14:textId="77777777" w:rsidR="00000000" w:rsidRDefault="00C01C43">
      <w:pPr>
        <w:jc w:val="both"/>
        <w:divId w:val="1480001114"/>
        <w:rPr>
          <w:rFonts w:eastAsia="Times New Roman"/>
        </w:rPr>
      </w:pPr>
    </w:p>
    <w:p w14:paraId="3A082407" w14:textId="77777777" w:rsidR="00000000" w:rsidRDefault="00C01C43">
      <w:pPr>
        <w:jc w:val="both"/>
        <w:rPr>
          <w:rFonts w:eastAsia="Times New Roman"/>
        </w:rPr>
      </w:pPr>
      <w:r>
        <w:rPr>
          <w:rFonts w:ascii="Arial" w:eastAsia="Times New Roman" w:hAnsi="Arial" w:cs="Arial"/>
          <w:b/>
          <w:bCs/>
          <w:color w:val="000000"/>
          <w:sz w:val="20"/>
          <w:szCs w:val="20"/>
        </w:rPr>
        <w:t>Critical Accounting Policies and Estimates</w:t>
      </w:r>
    </w:p>
    <w:p w14:paraId="655B052B" w14:textId="77777777" w:rsidR="00000000" w:rsidRDefault="00C01C43">
      <w:pPr>
        <w:jc w:val="both"/>
        <w:rPr>
          <w:rFonts w:eastAsia="Times New Roman"/>
        </w:rPr>
      </w:pPr>
    </w:p>
    <w:p w14:paraId="6FE240A6" w14:textId="77777777" w:rsidR="00000000" w:rsidRDefault="00C01C43">
      <w:pPr>
        <w:jc w:val="both"/>
        <w:divId w:val="583683235"/>
        <w:rPr>
          <w:rFonts w:eastAsia="Times New Roman"/>
        </w:rPr>
      </w:pPr>
      <w:r>
        <w:rPr>
          <w:rFonts w:ascii="Arial" w:eastAsia="Times New Roman" w:hAnsi="Arial" w:cs="Arial"/>
          <w:color w:val="000000"/>
          <w:sz w:val="20"/>
          <w:szCs w:val="20"/>
        </w:rPr>
        <w:t>Management's discussion and analysis of our financial condition and results of operations are based upon our Consolidated Financial Statements included elsew</w:t>
      </w:r>
      <w:r>
        <w:rPr>
          <w:rFonts w:ascii="Arial" w:eastAsia="Times New Roman" w:hAnsi="Arial" w:cs="Arial"/>
          <w:color w:val="000000"/>
          <w:sz w:val="20"/>
          <w:szCs w:val="20"/>
        </w:rPr>
        <w:t>here in this 2020 10</w:t>
      </w:r>
      <w:r>
        <w:rPr>
          <w:rFonts w:ascii="Arial" w:eastAsia="Times New Roman" w:hAnsi="Arial" w:cs="Arial"/>
          <w:color w:val="000000"/>
          <w:sz w:val="20"/>
          <w:szCs w:val="20"/>
        </w:rPr>
        <w:noBreakHyphen/>
        <w:t>K Report, which has been prepared in accordance with U.S. GAAP. The preparation of these financial statements requires management to make estimates and judgments that affect the reported amounts of assets, liabilities, revenues and exp</w:t>
      </w:r>
      <w:r>
        <w:rPr>
          <w:rFonts w:ascii="Arial" w:eastAsia="Times New Roman" w:hAnsi="Arial" w:cs="Arial"/>
          <w:color w:val="000000"/>
          <w:sz w:val="20"/>
          <w:szCs w:val="20"/>
        </w:rPr>
        <w:t xml:space="preserve">enses and related disclosure of contingent assets and liabilities. On an ongoing basis, we evaluate our estimates, including those related to unbilled revenue and associated costs of sales, allowance for credit losses, goodwill and identifiable intangible </w:t>
      </w:r>
      <w:r>
        <w:rPr>
          <w:rFonts w:ascii="Arial" w:eastAsia="Times New Roman" w:hAnsi="Arial" w:cs="Arial"/>
          <w:color w:val="000000"/>
          <w:sz w:val="20"/>
          <w:szCs w:val="20"/>
        </w:rPr>
        <w:t>assets, certain accrued liabilities, and income taxes. We base our estimates on historical experience and on other assumptions that are believed to be reasonable under the circumstances, the results of which form the basis for making judgments about the ca</w:t>
      </w:r>
      <w:r>
        <w:rPr>
          <w:rFonts w:ascii="Arial" w:eastAsia="Times New Roman" w:hAnsi="Arial" w:cs="Arial"/>
          <w:color w:val="000000"/>
          <w:sz w:val="20"/>
          <w:szCs w:val="20"/>
        </w:rPr>
        <w:t>rrying values of assets and liabilities that are not readily apparent from other sources. Actual results may differ from these estimates under different assumptions or conditions.</w:t>
      </w:r>
    </w:p>
    <w:p w14:paraId="55D70E13" w14:textId="77777777" w:rsidR="00000000" w:rsidRDefault="00C01C43">
      <w:pPr>
        <w:jc w:val="both"/>
        <w:divId w:val="592974087"/>
        <w:rPr>
          <w:rFonts w:eastAsia="Times New Roman"/>
        </w:rPr>
      </w:pPr>
      <w:r>
        <w:rPr>
          <w:rFonts w:ascii="Arial" w:eastAsia="Times New Roman" w:hAnsi="Arial" w:cs="Arial"/>
          <w:color w:val="000000"/>
          <w:sz w:val="20"/>
          <w:szCs w:val="20"/>
        </w:rPr>
        <w:t>We have identified the areas described below as critical to our business ope</w:t>
      </w:r>
      <w:r>
        <w:rPr>
          <w:rFonts w:ascii="Arial" w:eastAsia="Times New Roman" w:hAnsi="Arial" w:cs="Arial"/>
          <w:color w:val="000000"/>
          <w:sz w:val="20"/>
          <w:szCs w:val="20"/>
        </w:rPr>
        <w:t>rations and the understanding of our results of operations given the uncertainties associated with the assumptions underlying each estimate. For a detailed discussion on the application of these and other significant accounting policies, see "Note 1. Basis</w:t>
      </w:r>
      <w:r>
        <w:rPr>
          <w:rFonts w:ascii="Arial" w:eastAsia="Times New Roman" w:hAnsi="Arial" w:cs="Arial"/>
          <w:color w:val="000000"/>
          <w:sz w:val="20"/>
          <w:szCs w:val="20"/>
        </w:rPr>
        <w:t xml:space="preserve"> of Presentation, New Accounting Standards and Significant Accounting Policies" within "Part IV. Item 15. Notes to the Consolidated Financial Statements" included in this 2020 10-K Report.</w:t>
      </w:r>
    </w:p>
    <w:p w14:paraId="3643CCCA" w14:textId="77777777" w:rsidR="00000000" w:rsidRDefault="00C01C43">
      <w:pPr>
        <w:jc w:val="both"/>
        <w:rPr>
          <w:rFonts w:eastAsia="Times New Roman"/>
        </w:rPr>
      </w:pPr>
      <w:r>
        <w:rPr>
          <w:rFonts w:ascii="Arial" w:eastAsia="Times New Roman" w:hAnsi="Arial" w:cs="Arial"/>
          <w:b/>
          <w:bCs/>
          <w:color w:val="000000"/>
          <w:sz w:val="20"/>
          <w:szCs w:val="20"/>
        </w:rPr>
        <w:t>Impairment Assessments of Goodwill, Long-Lived Assets and Equity In</w:t>
      </w:r>
      <w:r>
        <w:rPr>
          <w:rFonts w:ascii="Arial" w:eastAsia="Times New Roman" w:hAnsi="Arial" w:cs="Arial"/>
          <w:b/>
          <w:bCs/>
          <w:color w:val="000000"/>
          <w:sz w:val="20"/>
          <w:szCs w:val="20"/>
        </w:rPr>
        <w:t>vestments</w:t>
      </w:r>
    </w:p>
    <w:p w14:paraId="62142BB6" w14:textId="77777777" w:rsidR="00000000" w:rsidRDefault="00C01C43">
      <w:pPr>
        <w:jc w:val="both"/>
        <w:divId w:val="951058883"/>
        <w:rPr>
          <w:rFonts w:eastAsia="Times New Roman"/>
        </w:rPr>
      </w:pPr>
      <w:r>
        <w:rPr>
          <w:rFonts w:ascii="Arial" w:eastAsia="Times New Roman" w:hAnsi="Arial" w:cs="Arial"/>
          <w:color w:val="000000"/>
          <w:sz w:val="20"/>
          <w:szCs w:val="20"/>
        </w:rPr>
        <w:t>We assess accounting estimates that require consideration of forecasted financial information, including, but not limited to, the recoverability of the carrying value of our goodwill, long-lived assets (property and equipment, identifiable intang</w:t>
      </w:r>
      <w:r>
        <w:rPr>
          <w:rFonts w:ascii="Arial" w:eastAsia="Times New Roman" w:hAnsi="Arial" w:cs="Arial"/>
          <w:color w:val="000000"/>
          <w:sz w:val="20"/>
          <w:szCs w:val="20"/>
        </w:rPr>
        <w:t>ible assets and leases) and equity investments. Significant judgment is involved in performing these estimates as they are developed based on forecasted assumptions. As of December 31, 2020, the assumptions used, particularly the expected growth rates, the</w:t>
      </w:r>
      <w:r>
        <w:rPr>
          <w:rFonts w:ascii="Arial" w:eastAsia="Times New Roman" w:hAnsi="Arial" w:cs="Arial"/>
          <w:color w:val="000000"/>
          <w:sz w:val="20"/>
          <w:szCs w:val="20"/>
        </w:rPr>
        <w:t xml:space="preserve"> profitability embedded in our projected cash flow, the discount rate and the market-based multiples, were defined in the context of current and future potential impacts of COVID-19 on our business and other business factors such as the reduction in our go</w:t>
      </w:r>
      <w:r>
        <w:rPr>
          <w:rFonts w:ascii="Arial" w:eastAsia="Times New Roman" w:hAnsi="Arial" w:cs="Arial"/>
          <w:color w:val="000000"/>
          <w:sz w:val="20"/>
          <w:szCs w:val="20"/>
        </w:rPr>
        <w:t xml:space="preserve">vernment-related activity in Afghanistan. Management also considered the volatility in the company's market capitalization since the beginning of the pandemic and evaluated the potential impact that this volatility may have had on the estimated fair value </w:t>
      </w:r>
      <w:r>
        <w:rPr>
          <w:rFonts w:ascii="Arial" w:eastAsia="Times New Roman" w:hAnsi="Arial" w:cs="Arial"/>
          <w:color w:val="000000"/>
          <w:sz w:val="20"/>
          <w:szCs w:val="20"/>
        </w:rPr>
        <w:t>of our reporting units.</w:t>
      </w:r>
    </w:p>
    <w:p w14:paraId="3ADDC626" w14:textId="77777777" w:rsidR="00000000" w:rsidRDefault="00C01C43">
      <w:pPr>
        <w:jc w:val="center"/>
        <w:divId w:val="671638061"/>
        <w:rPr>
          <w:rFonts w:eastAsia="Times New Roman"/>
        </w:rPr>
      </w:pPr>
      <w:r>
        <w:rPr>
          <w:rFonts w:ascii="Arial" w:eastAsia="Times New Roman" w:hAnsi="Arial" w:cs="Arial"/>
          <w:color w:val="000000"/>
          <w:sz w:val="16"/>
          <w:szCs w:val="16"/>
        </w:rPr>
        <w:t>34</w:t>
      </w:r>
    </w:p>
    <w:p w14:paraId="69078242" w14:textId="77777777" w:rsidR="00000000" w:rsidRDefault="00C01C43">
      <w:pPr>
        <w:rPr>
          <w:rFonts w:eastAsia="Times New Roman"/>
        </w:rPr>
      </w:pPr>
      <w:r>
        <w:rPr>
          <w:rFonts w:eastAsia="Times New Roman"/>
        </w:rPr>
        <w:pict w14:anchorId="18CCBCF8">
          <v:rect id="_x0000_i1063" style="width:0;height:1.5pt" o:hralign="center" o:hrstd="t" o:hr="t" fillcolor="#a0a0a0" stroked="f"/>
        </w:pict>
      </w:r>
    </w:p>
    <w:p w14:paraId="601D11BD" w14:textId="77777777" w:rsidR="00000000" w:rsidRDefault="00C01C43">
      <w:pPr>
        <w:divId w:val="1740521206"/>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563E71DA" w14:textId="77777777" w:rsidR="00000000" w:rsidRDefault="00C01C43">
      <w:pPr>
        <w:jc w:val="both"/>
        <w:rPr>
          <w:rFonts w:eastAsia="Times New Roman"/>
        </w:rPr>
      </w:pPr>
    </w:p>
    <w:p w14:paraId="34A28B24" w14:textId="77777777" w:rsidR="00000000" w:rsidRDefault="00C01C43">
      <w:pPr>
        <w:jc w:val="both"/>
        <w:divId w:val="745958304"/>
        <w:rPr>
          <w:rFonts w:eastAsia="Times New Roman"/>
        </w:rPr>
      </w:pPr>
      <w:r>
        <w:rPr>
          <w:rFonts w:ascii="Arial" w:eastAsia="Times New Roman" w:hAnsi="Arial" w:cs="Arial"/>
          <w:color w:val="000000"/>
          <w:sz w:val="20"/>
          <w:szCs w:val="20"/>
        </w:rPr>
        <w:t>Based on the assessments performed, and supported by the available information as of December 31, 2020, we concluded that the fair value of our land and aviation reporting units were not less than their respective carrying values. However, at this time, we</w:t>
      </w:r>
      <w:r>
        <w:rPr>
          <w:rFonts w:ascii="Arial" w:eastAsia="Times New Roman" w:hAnsi="Arial" w:cs="Arial"/>
          <w:color w:val="000000"/>
          <w:sz w:val="20"/>
          <w:szCs w:val="20"/>
        </w:rPr>
        <w:t xml:space="preserve"> are unable to predict with specificity the ultimate impact of the pandemic, as it will depend on the magnitude, severity and duration, as well as how quickly, and to what extent, normal economic and operating conditions resume on a sustainable basis globa</w:t>
      </w:r>
      <w:r>
        <w:rPr>
          <w:rFonts w:ascii="Arial" w:eastAsia="Times New Roman" w:hAnsi="Arial" w:cs="Arial"/>
          <w:color w:val="000000"/>
          <w:sz w:val="20"/>
          <w:szCs w:val="20"/>
        </w:rPr>
        <w:t>lly. Accordingly, if the impact of the pandemic, and it’s associated reduction in business are more severe or longer in duration than we have assumed, such impact could potentially result in impairments.</w:t>
      </w:r>
    </w:p>
    <w:p w14:paraId="5AC0C0D7" w14:textId="77777777" w:rsidR="00000000" w:rsidRDefault="00C01C43">
      <w:pPr>
        <w:jc w:val="both"/>
        <w:divId w:val="23602490"/>
        <w:rPr>
          <w:rFonts w:eastAsia="Times New Roman"/>
        </w:rPr>
      </w:pPr>
      <w:r>
        <w:rPr>
          <w:rFonts w:ascii="Arial" w:eastAsia="Times New Roman" w:hAnsi="Arial" w:cs="Arial"/>
          <w:color w:val="000000"/>
          <w:sz w:val="20"/>
          <w:szCs w:val="20"/>
        </w:rPr>
        <w:t>For further information pertaining to our 2020 impai</w:t>
      </w:r>
      <w:r>
        <w:rPr>
          <w:rFonts w:ascii="Arial" w:eastAsia="Times New Roman" w:hAnsi="Arial" w:cs="Arial"/>
          <w:color w:val="000000"/>
          <w:sz w:val="20"/>
          <w:szCs w:val="20"/>
        </w:rPr>
        <w:t>rment assessments, see "Note 5. Restructuring" and “Note 7. Goodwill and Identifiable Intangible Assets” within "Part IV. Item 15. Notes to the Consolidated Financial Statements" included in this 2020 10-K Report.</w:t>
      </w:r>
    </w:p>
    <w:p w14:paraId="2FB2CD00" w14:textId="77777777" w:rsidR="00000000" w:rsidRDefault="00C01C43">
      <w:pPr>
        <w:jc w:val="both"/>
        <w:rPr>
          <w:rFonts w:eastAsia="Times New Roman"/>
        </w:rPr>
      </w:pPr>
      <w:r>
        <w:rPr>
          <w:rFonts w:ascii="Arial" w:eastAsia="Times New Roman" w:hAnsi="Arial" w:cs="Arial"/>
          <w:b/>
          <w:bCs/>
          <w:color w:val="000000"/>
          <w:sz w:val="20"/>
          <w:szCs w:val="20"/>
        </w:rPr>
        <w:t>Accounts Receivable and Allowance for Cred</w:t>
      </w:r>
      <w:r>
        <w:rPr>
          <w:rFonts w:ascii="Arial" w:eastAsia="Times New Roman" w:hAnsi="Arial" w:cs="Arial"/>
          <w:b/>
          <w:bCs/>
          <w:color w:val="000000"/>
          <w:sz w:val="20"/>
          <w:szCs w:val="20"/>
        </w:rPr>
        <w:t>it Losses</w:t>
      </w:r>
    </w:p>
    <w:p w14:paraId="796F4B1E" w14:textId="77777777" w:rsidR="00000000" w:rsidRDefault="00C01C43">
      <w:pPr>
        <w:jc w:val="both"/>
        <w:divId w:val="616451437"/>
        <w:rPr>
          <w:rFonts w:eastAsia="Times New Roman"/>
        </w:rPr>
      </w:pPr>
      <w:r>
        <w:rPr>
          <w:rFonts w:ascii="Arial" w:eastAsia="Times New Roman" w:hAnsi="Arial" w:cs="Arial"/>
          <w:color w:val="000000"/>
          <w:sz w:val="20"/>
          <w:szCs w:val="20"/>
        </w:rPr>
        <w:t>We maintain a provision for estimated credit losses based upon our historical experience with our customers, any specific customer collection issues that we have identified from current financial information and business prospects, as well as for</w:t>
      </w:r>
      <w:r>
        <w:rPr>
          <w:rFonts w:ascii="Arial" w:eastAsia="Times New Roman" w:hAnsi="Arial" w:cs="Arial"/>
          <w:color w:val="000000"/>
          <w:sz w:val="20"/>
          <w:szCs w:val="20"/>
        </w:rPr>
        <w:t>ward-looking information from market sources. Historical payment trends of our customers together with internal and external information about the economic outlook, geopolitical risks and macroeconomic events may not fully capture the current or future cre</w:t>
      </w:r>
      <w:r>
        <w:rPr>
          <w:rFonts w:ascii="Arial" w:eastAsia="Times New Roman" w:hAnsi="Arial" w:cs="Arial"/>
          <w:color w:val="000000"/>
          <w:sz w:val="20"/>
          <w:szCs w:val="20"/>
        </w:rPr>
        <w:t>ditworthiness of our customers, particularly in difficult economic periods. As a result of the challenges inherent in estimating which customers are less likely to remit amounts owed to us, our provision for estimated credit losses may not always be suffic</w:t>
      </w:r>
      <w:r>
        <w:rPr>
          <w:rFonts w:ascii="Arial" w:eastAsia="Times New Roman" w:hAnsi="Arial" w:cs="Arial"/>
          <w:color w:val="000000"/>
          <w:sz w:val="20"/>
          <w:szCs w:val="20"/>
        </w:rPr>
        <w:t>ient. Any write-off of accounts receivable in excess of our provision for credit losses could adversely affect our results of operations and cash flow. For additional information on the credit risks inherent in our business, see “Item 1A – Risk Factors” in</w:t>
      </w:r>
      <w:r>
        <w:rPr>
          <w:rFonts w:ascii="Arial" w:eastAsia="Times New Roman" w:hAnsi="Arial" w:cs="Arial"/>
          <w:color w:val="000000"/>
          <w:sz w:val="20"/>
          <w:szCs w:val="20"/>
        </w:rPr>
        <w:t xml:space="preserve"> this 2020 10</w:t>
      </w:r>
      <w:r>
        <w:rPr>
          <w:rFonts w:ascii="Arial" w:eastAsia="Times New Roman" w:hAnsi="Arial" w:cs="Arial"/>
          <w:color w:val="000000"/>
          <w:sz w:val="20"/>
          <w:szCs w:val="20"/>
        </w:rPr>
        <w:noBreakHyphen/>
        <w:t>K Report.</w:t>
      </w:r>
    </w:p>
    <w:p w14:paraId="3DA1C119" w14:textId="77777777" w:rsidR="00000000" w:rsidRDefault="00C01C43">
      <w:pPr>
        <w:jc w:val="both"/>
        <w:rPr>
          <w:rFonts w:eastAsia="Times New Roman"/>
        </w:rPr>
      </w:pPr>
      <w:r>
        <w:rPr>
          <w:rFonts w:ascii="Arial" w:eastAsia="Times New Roman" w:hAnsi="Arial" w:cs="Arial"/>
          <w:b/>
          <w:bCs/>
          <w:color w:val="000000"/>
          <w:sz w:val="20"/>
          <w:szCs w:val="20"/>
        </w:rPr>
        <w:t>Inventories</w:t>
      </w:r>
    </w:p>
    <w:p w14:paraId="0179B806" w14:textId="77777777" w:rsidR="00000000" w:rsidRDefault="00C01C43">
      <w:pPr>
        <w:jc w:val="both"/>
        <w:divId w:val="1636717147"/>
        <w:rPr>
          <w:rFonts w:eastAsia="Times New Roman"/>
        </w:rPr>
      </w:pPr>
      <w:r>
        <w:rPr>
          <w:rFonts w:ascii="Arial" w:eastAsia="Times New Roman" w:hAnsi="Arial" w:cs="Arial"/>
          <w:color w:val="000000"/>
          <w:sz w:val="20"/>
          <w:szCs w:val="20"/>
        </w:rPr>
        <w:t>When estimating the net realizable value of inventory, we utilize a variety of observable fuel indices and other indicators. Sharp negative changes in these indices can result in a reduction of our inventory valuation, w</w:t>
      </w:r>
      <w:r>
        <w:rPr>
          <w:rFonts w:ascii="Arial" w:eastAsia="Times New Roman" w:hAnsi="Arial" w:cs="Arial"/>
          <w:color w:val="000000"/>
          <w:sz w:val="20"/>
          <w:szCs w:val="20"/>
        </w:rPr>
        <w:t>hich could have an adverse material impact on our results of operations in the period in which we take the adjustment.</w:t>
      </w:r>
    </w:p>
    <w:p w14:paraId="35956CC9" w14:textId="77777777" w:rsidR="00000000" w:rsidRDefault="00C01C43">
      <w:pPr>
        <w:jc w:val="both"/>
        <w:rPr>
          <w:rFonts w:eastAsia="Times New Roman"/>
        </w:rPr>
      </w:pPr>
      <w:r>
        <w:rPr>
          <w:rFonts w:ascii="Arial" w:eastAsia="Times New Roman" w:hAnsi="Arial" w:cs="Arial"/>
          <w:b/>
          <w:bCs/>
          <w:color w:val="000000"/>
          <w:sz w:val="20"/>
          <w:szCs w:val="20"/>
        </w:rPr>
        <w:t>Business Combinations</w:t>
      </w:r>
    </w:p>
    <w:p w14:paraId="407B341C" w14:textId="77777777" w:rsidR="00000000" w:rsidRDefault="00C01C43">
      <w:pPr>
        <w:jc w:val="both"/>
        <w:divId w:val="316617665"/>
        <w:rPr>
          <w:rFonts w:eastAsia="Times New Roman"/>
        </w:rPr>
      </w:pPr>
      <w:r>
        <w:rPr>
          <w:rFonts w:ascii="Arial" w:eastAsia="Times New Roman" w:hAnsi="Arial" w:cs="Arial"/>
          <w:color w:val="000000"/>
          <w:sz w:val="20"/>
          <w:szCs w:val="20"/>
        </w:rPr>
        <w:t>Business combinations are accounted for using a fair value model. This model is required when the definition of a b</w:t>
      </w:r>
      <w:r>
        <w:rPr>
          <w:rFonts w:ascii="Arial" w:eastAsia="Times New Roman" w:hAnsi="Arial" w:cs="Arial"/>
          <w:color w:val="000000"/>
          <w:sz w:val="20"/>
          <w:szCs w:val="20"/>
        </w:rPr>
        <w:t>usiness is met. In contrast, asset acquisitions are accounted for using a cost accumulation and allocation model. The initial and subsequent measurement of certain assets acquired and, consequently, our results of operations are impacted differently depend</w:t>
      </w:r>
      <w:r>
        <w:rPr>
          <w:rFonts w:ascii="Arial" w:eastAsia="Times New Roman" w:hAnsi="Arial" w:cs="Arial"/>
          <w:color w:val="000000"/>
          <w:sz w:val="20"/>
          <w:szCs w:val="20"/>
        </w:rPr>
        <w:t xml:space="preserve">ing on the model. In a business combination, the residual fair value generated in the acquisition is recognized as goodwill which is tested for impairment but not amortized, while in an asset acquisition, any residual fair value is allocated on a relative </w:t>
      </w:r>
      <w:r>
        <w:rPr>
          <w:rFonts w:ascii="Arial" w:eastAsia="Times New Roman" w:hAnsi="Arial" w:cs="Arial"/>
          <w:color w:val="000000"/>
          <w:sz w:val="20"/>
          <w:szCs w:val="20"/>
        </w:rPr>
        <w:t>fair value basis to all qualifying identifiable net assets acquired and subsequently amortized. To conclude if the definition of a business is met, we need to conclude whether substantially all of the fair value of the gross assets acquired is concentrated</w:t>
      </w:r>
      <w:r>
        <w:rPr>
          <w:rFonts w:ascii="Arial" w:eastAsia="Times New Roman" w:hAnsi="Arial" w:cs="Arial"/>
          <w:color w:val="000000"/>
          <w:sz w:val="20"/>
          <w:szCs w:val="20"/>
        </w:rPr>
        <w:t xml:space="preserve"> in a single identifiable asset or a group of similar identifiable assets which requires significant judgment to determine the fair value and if and how assets should be grouped.</w:t>
      </w:r>
    </w:p>
    <w:p w14:paraId="518AFA5A" w14:textId="77777777" w:rsidR="00000000" w:rsidRDefault="00C01C43">
      <w:pPr>
        <w:jc w:val="both"/>
        <w:rPr>
          <w:rFonts w:eastAsia="Times New Roman"/>
        </w:rPr>
      </w:pPr>
      <w:r>
        <w:rPr>
          <w:rFonts w:ascii="Arial" w:eastAsia="Times New Roman" w:hAnsi="Arial" w:cs="Arial"/>
          <w:b/>
          <w:bCs/>
          <w:color w:val="000000"/>
          <w:sz w:val="20"/>
          <w:szCs w:val="20"/>
        </w:rPr>
        <w:t>Revenue Recognition</w:t>
      </w:r>
    </w:p>
    <w:p w14:paraId="5BB322EA" w14:textId="77777777" w:rsidR="00000000" w:rsidRDefault="00C01C43">
      <w:pPr>
        <w:jc w:val="both"/>
        <w:divId w:val="327680816"/>
        <w:rPr>
          <w:rFonts w:eastAsia="Times New Roman"/>
        </w:rPr>
      </w:pPr>
      <w:r>
        <w:rPr>
          <w:rFonts w:ascii="Arial" w:eastAsia="Times New Roman" w:hAnsi="Arial" w:cs="Arial"/>
          <w:color w:val="000000"/>
          <w:sz w:val="20"/>
          <w:szCs w:val="20"/>
        </w:rPr>
        <w:t xml:space="preserve">The majority of our consolidated revenues are generated through the sale of fuel and fuel-related products. We generally recognize fuel sales and services revenue on a gross basis as we have control of the products or services before they are delivered to </w:t>
      </w:r>
      <w:r>
        <w:rPr>
          <w:rFonts w:ascii="Arial" w:eastAsia="Times New Roman" w:hAnsi="Arial" w:cs="Arial"/>
          <w:color w:val="000000"/>
          <w:sz w:val="20"/>
          <w:szCs w:val="20"/>
        </w:rPr>
        <w:t>our customers. In drawing this conclusion, we consider various factors, including inventory risk management, latitude in establishing the sales price, discretion in the supplier selection and that we are normally the primary obligor in our sales arrangemen</w:t>
      </w:r>
      <w:r>
        <w:rPr>
          <w:rFonts w:ascii="Arial" w:eastAsia="Times New Roman" w:hAnsi="Arial" w:cs="Arial"/>
          <w:color w:val="000000"/>
          <w:sz w:val="20"/>
          <w:szCs w:val="20"/>
        </w:rPr>
        <w:t>ts.</w:t>
      </w:r>
    </w:p>
    <w:p w14:paraId="024F4B25" w14:textId="77777777" w:rsidR="00000000" w:rsidRDefault="00C01C43">
      <w:pPr>
        <w:jc w:val="both"/>
        <w:rPr>
          <w:rFonts w:eastAsia="Times New Roman"/>
        </w:rPr>
      </w:pPr>
      <w:r>
        <w:rPr>
          <w:rFonts w:ascii="Arial" w:eastAsia="Times New Roman" w:hAnsi="Arial" w:cs="Arial"/>
          <w:b/>
          <w:bCs/>
          <w:color w:val="000000"/>
          <w:sz w:val="20"/>
          <w:szCs w:val="20"/>
        </w:rPr>
        <w:t>Income Taxes</w:t>
      </w:r>
    </w:p>
    <w:p w14:paraId="37027FA4" w14:textId="77777777" w:rsidR="00000000" w:rsidRDefault="00C01C43">
      <w:pPr>
        <w:jc w:val="both"/>
        <w:rPr>
          <w:rFonts w:eastAsia="Times New Roman"/>
        </w:rPr>
      </w:pPr>
      <w:r>
        <w:rPr>
          <w:rFonts w:ascii="Arial" w:eastAsia="Times New Roman" w:hAnsi="Arial" w:cs="Arial"/>
          <w:color w:val="000000"/>
          <w:sz w:val="20"/>
          <w:szCs w:val="20"/>
        </w:rPr>
        <w:t>The Tax Cuts and Jobs Act (the “Tax Act”), enacted on December 22, 2017, significantly changed the U.S. Internal Revenue Code, by, among other things, reducing the U.S. corporate income tax rate, modifying or repealing many business deduct</w:t>
      </w:r>
      <w:r>
        <w:rPr>
          <w:rFonts w:ascii="Arial" w:eastAsia="Times New Roman" w:hAnsi="Arial" w:cs="Arial"/>
          <w:color w:val="000000"/>
          <w:sz w:val="20"/>
          <w:szCs w:val="20"/>
        </w:rPr>
        <w:t>ions and credits, adopting elements of a territorial tax system, taxing global intangible low-taxed income (“GILTI”), assessing a repatriation tax or “toll-charge” on undistributed earnings and profits of U.S.-owned foreign corporations, and introducing ce</w:t>
      </w:r>
      <w:r>
        <w:rPr>
          <w:rFonts w:ascii="Arial" w:eastAsia="Times New Roman" w:hAnsi="Arial" w:cs="Arial"/>
          <w:color w:val="000000"/>
          <w:sz w:val="20"/>
          <w:szCs w:val="20"/>
        </w:rPr>
        <w:t>rtain base erosion and anti-abuse minimum tax (“BEAT”) provisions. Several final and proposed regulations were issued during 2020 regarding foreign tax credits, and GILTI, among other areas.</w:t>
      </w:r>
    </w:p>
    <w:p w14:paraId="75E78F11" w14:textId="77777777" w:rsidR="00000000" w:rsidRDefault="00C01C43">
      <w:pPr>
        <w:jc w:val="both"/>
        <w:rPr>
          <w:rFonts w:eastAsia="Times New Roman"/>
        </w:rPr>
      </w:pPr>
    </w:p>
    <w:p w14:paraId="4F6883E0" w14:textId="77777777" w:rsidR="00000000" w:rsidRDefault="00C01C43">
      <w:pPr>
        <w:jc w:val="center"/>
        <w:divId w:val="1455253305"/>
        <w:rPr>
          <w:rFonts w:eastAsia="Times New Roman"/>
        </w:rPr>
      </w:pPr>
      <w:r>
        <w:rPr>
          <w:rFonts w:ascii="Arial" w:eastAsia="Times New Roman" w:hAnsi="Arial" w:cs="Arial"/>
          <w:color w:val="000000"/>
          <w:sz w:val="16"/>
          <w:szCs w:val="16"/>
        </w:rPr>
        <w:t>35</w:t>
      </w:r>
    </w:p>
    <w:p w14:paraId="7797F639" w14:textId="77777777" w:rsidR="00000000" w:rsidRDefault="00C01C43">
      <w:pPr>
        <w:rPr>
          <w:rFonts w:eastAsia="Times New Roman"/>
        </w:rPr>
      </w:pPr>
      <w:r>
        <w:rPr>
          <w:rFonts w:eastAsia="Times New Roman"/>
        </w:rPr>
        <w:pict w14:anchorId="017A375C">
          <v:rect id="_x0000_i1064" style="width:0;height:1.5pt" o:hralign="center" o:hrstd="t" o:hr="t" fillcolor="#a0a0a0" stroked="f"/>
        </w:pict>
      </w:r>
    </w:p>
    <w:p w14:paraId="1BCDDE59" w14:textId="77777777" w:rsidR="00000000" w:rsidRDefault="00C01C43">
      <w:pPr>
        <w:divId w:val="1867059841"/>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43D7B6B4" w14:textId="77777777" w:rsidR="00000000" w:rsidRDefault="00C01C43">
      <w:pPr>
        <w:jc w:val="both"/>
        <w:divId w:val="422991007"/>
        <w:rPr>
          <w:rFonts w:eastAsia="Times New Roman"/>
        </w:rPr>
      </w:pPr>
      <w:r>
        <w:rPr>
          <w:rFonts w:ascii="Arial" w:eastAsia="Times New Roman" w:hAnsi="Arial" w:cs="Arial"/>
          <w:color w:val="000000"/>
          <w:sz w:val="20"/>
          <w:szCs w:val="20"/>
        </w:rPr>
        <w:t>Because of the complexity of the GILTI tax rules effective in 2018, we previously evaluated this provision of the Tax Act and the application of ASC 740, Income Taxes. Under US GAAP, we made an accounting</w:t>
      </w:r>
      <w:r>
        <w:rPr>
          <w:rFonts w:ascii="Arial" w:eastAsia="Times New Roman" w:hAnsi="Arial" w:cs="Arial"/>
          <w:color w:val="000000"/>
          <w:sz w:val="20"/>
          <w:szCs w:val="20"/>
        </w:rPr>
        <w:t xml:space="preserve"> policy choice to treat taxes due on future US GILTI inclusions as a current period expense when incurred (the "period cost method"). The Tax Act legislation will continue to require further interpretations and implementing regulations by the IRS, as well </w:t>
      </w:r>
      <w:r>
        <w:rPr>
          <w:rFonts w:ascii="Arial" w:eastAsia="Times New Roman" w:hAnsi="Arial" w:cs="Arial"/>
          <w:color w:val="000000"/>
          <w:sz w:val="20"/>
          <w:szCs w:val="20"/>
        </w:rPr>
        <w:t>as state tax authorities, and the legislation could be subject to potential amendments and changes, any of which could increase certain adverse impacts or other effects of the legislation. The changes included in the Tax Act are broad and complex. The fina</w:t>
      </w:r>
      <w:r>
        <w:rPr>
          <w:rFonts w:ascii="Arial" w:eastAsia="Times New Roman" w:hAnsi="Arial" w:cs="Arial"/>
          <w:color w:val="000000"/>
          <w:sz w:val="20"/>
          <w:szCs w:val="20"/>
        </w:rPr>
        <w:t>l transition impacts of the Tax Act may differ from our estimates, possibly materially, due to, among other items, changes in interpretations of the Tax Act, any legislative action to address questions that arise because of the Tax Act, any changes in acco</w:t>
      </w:r>
      <w:r>
        <w:rPr>
          <w:rFonts w:ascii="Arial" w:eastAsia="Times New Roman" w:hAnsi="Arial" w:cs="Arial"/>
          <w:color w:val="000000"/>
          <w:sz w:val="20"/>
          <w:szCs w:val="20"/>
        </w:rPr>
        <w:t>unting standards for income taxes or related interpretations in response to the Tax Act, or any updates or changes to current year earnings and tax estimates.</w:t>
      </w:r>
    </w:p>
    <w:p w14:paraId="4588DDF9" w14:textId="77777777" w:rsidR="00000000" w:rsidRDefault="00C01C43">
      <w:pPr>
        <w:jc w:val="both"/>
        <w:rPr>
          <w:rFonts w:eastAsia="Times New Roman"/>
        </w:rPr>
      </w:pPr>
      <w:r>
        <w:rPr>
          <w:rFonts w:ascii="Arial" w:eastAsia="Times New Roman" w:hAnsi="Arial" w:cs="Arial"/>
          <w:b/>
          <w:bCs/>
          <w:color w:val="000000"/>
          <w:sz w:val="20"/>
          <w:szCs w:val="20"/>
        </w:rPr>
        <w:t>Leases</w:t>
      </w:r>
    </w:p>
    <w:p w14:paraId="2EB87758" w14:textId="77777777" w:rsidR="00000000" w:rsidRDefault="00C01C43">
      <w:pPr>
        <w:jc w:val="both"/>
        <w:divId w:val="1849128726"/>
        <w:rPr>
          <w:rFonts w:eastAsia="Times New Roman"/>
        </w:rPr>
      </w:pPr>
      <w:r>
        <w:rPr>
          <w:rFonts w:ascii="Arial" w:eastAsia="Times New Roman" w:hAnsi="Arial" w:cs="Arial"/>
          <w:color w:val="000000"/>
          <w:sz w:val="20"/>
          <w:szCs w:val="20"/>
        </w:rPr>
        <w:t>Determining whether a contract contains a lease requires judgment regarding whether the co</w:t>
      </w:r>
      <w:r>
        <w:rPr>
          <w:rFonts w:ascii="Arial" w:eastAsia="Times New Roman" w:hAnsi="Arial" w:cs="Arial"/>
          <w:color w:val="000000"/>
          <w:sz w:val="20"/>
          <w:szCs w:val="20"/>
        </w:rPr>
        <w:t>ntract conveys the right to control the use of identified property or equipment for a period of time in exchange for consideration. Assessing whether we have obtained the right to substantially all of the economic benefits and the ability to direct how, an</w:t>
      </w:r>
      <w:r>
        <w:rPr>
          <w:rFonts w:ascii="Arial" w:eastAsia="Times New Roman" w:hAnsi="Arial" w:cs="Arial"/>
          <w:color w:val="000000"/>
          <w:sz w:val="20"/>
          <w:szCs w:val="20"/>
        </w:rPr>
        <w:t>d for what purpose, the asset is used requires more judgment in storage arrangements where we must determine whether our rights to capacity may represent substantially all of the available capacity at a location. We also make estimates about the lease term</w:t>
      </w:r>
      <w:r>
        <w:rPr>
          <w:rFonts w:ascii="Arial" w:eastAsia="Times New Roman" w:hAnsi="Arial" w:cs="Arial"/>
          <w:color w:val="000000"/>
          <w:sz w:val="20"/>
          <w:szCs w:val="20"/>
        </w:rPr>
        <w:t>, as some of these arrangements may include optional renewals, terminations or purchase options, which are considered in our assessments when they are reasonably certain to occur. Determining the incremental borrowing rate at lease commencement (or modific</w:t>
      </w:r>
      <w:r>
        <w:rPr>
          <w:rFonts w:ascii="Arial" w:eastAsia="Times New Roman" w:hAnsi="Arial" w:cs="Arial"/>
          <w:color w:val="000000"/>
          <w:sz w:val="20"/>
          <w:szCs w:val="20"/>
        </w:rPr>
        <w:t>ation) requires judgment as it is based on our estimated credit rating, the lease term at commencement, and the contract currency of the lease arrangement. All these estimates could lead to higher or lower lease related assets and liabilities.</w:t>
      </w:r>
    </w:p>
    <w:p w14:paraId="75C7354B" w14:textId="77777777" w:rsidR="00000000" w:rsidRDefault="00C01C43">
      <w:pPr>
        <w:jc w:val="both"/>
        <w:rPr>
          <w:rFonts w:eastAsia="Times New Roman"/>
        </w:rPr>
      </w:pPr>
      <w:r>
        <w:rPr>
          <w:rFonts w:ascii="Arial" w:eastAsia="Times New Roman" w:hAnsi="Arial" w:cs="Arial"/>
          <w:b/>
          <w:bCs/>
          <w:color w:val="000000"/>
          <w:sz w:val="20"/>
          <w:szCs w:val="20"/>
        </w:rPr>
        <w:t>Derivatives</w:t>
      </w:r>
    </w:p>
    <w:p w14:paraId="765485A3" w14:textId="77777777" w:rsidR="00000000" w:rsidRDefault="00C01C43">
      <w:pPr>
        <w:jc w:val="both"/>
        <w:divId w:val="608004009"/>
        <w:rPr>
          <w:rFonts w:eastAsia="Times New Roman"/>
        </w:rPr>
      </w:pPr>
      <w:r>
        <w:rPr>
          <w:rFonts w:ascii="Arial" w:eastAsia="Times New Roman" w:hAnsi="Arial" w:cs="Arial"/>
          <w:color w:val="000000"/>
          <w:sz w:val="20"/>
          <w:szCs w:val="20"/>
        </w:rPr>
        <w:t>We enter into financial derivative contracts to mitigate our risk of fuel market price fluctuations in aviation, land and marine fuel as well as changes in interest and foreign currency exchange rates. Also, to offer our customers fuel pricing alternatives</w:t>
      </w:r>
      <w:r>
        <w:rPr>
          <w:rFonts w:ascii="Arial" w:eastAsia="Times New Roman" w:hAnsi="Arial" w:cs="Arial"/>
          <w:color w:val="000000"/>
          <w:sz w:val="20"/>
          <w:szCs w:val="20"/>
        </w:rPr>
        <w:t xml:space="preserve"> to meet their needs. While we currently believe that our derivative contracts will be effective in mitigating the associated price risks, it is possible that our derivative instruments will be ineffective at mitigating material changes in prices, which co</w:t>
      </w:r>
      <w:r>
        <w:rPr>
          <w:rFonts w:ascii="Arial" w:eastAsia="Times New Roman" w:hAnsi="Arial" w:cs="Arial"/>
          <w:color w:val="000000"/>
          <w:sz w:val="20"/>
          <w:szCs w:val="20"/>
        </w:rPr>
        <w:t>uld have an adverse impact on our financial position and results of operations.</w:t>
      </w:r>
    </w:p>
    <w:p w14:paraId="2397C71C" w14:textId="77777777" w:rsidR="00000000" w:rsidRDefault="00C01C43">
      <w:pPr>
        <w:jc w:val="both"/>
        <w:divId w:val="1618835474"/>
        <w:rPr>
          <w:rFonts w:eastAsia="Times New Roman"/>
        </w:rPr>
      </w:pPr>
      <w:r>
        <w:rPr>
          <w:rFonts w:ascii="Arial" w:eastAsia="Times New Roman" w:hAnsi="Arial" w:cs="Arial"/>
          <w:color w:val="000000"/>
          <w:sz w:val="20"/>
          <w:szCs w:val="20"/>
        </w:rPr>
        <w:t>Measurement of the fair value of our derivatives also requires the assessment of certain risks related to non-performance, which requires a significant amount of judgment.</w:t>
      </w:r>
    </w:p>
    <w:p w14:paraId="10BE519F" w14:textId="77777777" w:rsidR="00000000" w:rsidRDefault="00C01C43">
      <w:pPr>
        <w:jc w:val="both"/>
        <w:rPr>
          <w:rFonts w:eastAsia="Times New Roman"/>
        </w:rPr>
      </w:pPr>
      <w:r>
        <w:rPr>
          <w:rFonts w:ascii="Arial" w:eastAsia="Times New Roman" w:hAnsi="Arial" w:cs="Arial"/>
          <w:b/>
          <w:bCs/>
          <w:color w:val="000000"/>
          <w:sz w:val="20"/>
          <w:szCs w:val="20"/>
        </w:rPr>
        <w:t>Loss</w:t>
      </w:r>
      <w:r>
        <w:rPr>
          <w:rFonts w:ascii="Arial" w:eastAsia="Times New Roman" w:hAnsi="Arial" w:cs="Arial"/>
          <w:b/>
          <w:bCs/>
          <w:color w:val="000000"/>
          <w:sz w:val="20"/>
          <w:szCs w:val="20"/>
        </w:rPr>
        <w:t xml:space="preserve"> Contingencies</w:t>
      </w:r>
    </w:p>
    <w:p w14:paraId="704DE912" w14:textId="77777777" w:rsidR="00000000" w:rsidRDefault="00C01C43">
      <w:pPr>
        <w:jc w:val="both"/>
        <w:divId w:val="1908026870"/>
        <w:rPr>
          <w:rFonts w:eastAsia="Times New Roman"/>
        </w:rPr>
      </w:pPr>
      <w:r>
        <w:rPr>
          <w:rFonts w:ascii="Arial" w:eastAsia="Times New Roman" w:hAnsi="Arial" w:cs="Arial"/>
          <w:color w:val="000000"/>
          <w:sz w:val="20"/>
          <w:szCs w:val="20"/>
        </w:rPr>
        <w:t xml:space="preserve">A number of claims, complaints or proceedings may arise in the ordinary course of business and may be outstanding against the company. </w:t>
      </w:r>
      <w:r>
        <w:rPr>
          <w:rFonts w:ascii="Arial" w:eastAsia="Times New Roman" w:hAnsi="Arial" w:cs="Arial"/>
          <w:color w:val="000000"/>
          <w:sz w:val="20"/>
          <w:szCs w:val="20"/>
        </w:rPr>
        <w:t xml:space="preserve">Our estimates regarding potential losses are based on our judgment and assessment of currently available information. Any adverse resolution could have a material adverse effect on our Consolidated Financial Statements or disclosures. Although we continue </w:t>
      </w:r>
      <w:r>
        <w:rPr>
          <w:rFonts w:ascii="Arial" w:eastAsia="Times New Roman" w:hAnsi="Arial" w:cs="Arial"/>
          <w:color w:val="000000"/>
          <w:sz w:val="20"/>
          <w:szCs w:val="20"/>
        </w:rPr>
        <w:t xml:space="preserve">to reassess our reserves and estimates based on new developments, our objective assessment of the legal merits of such claims may not always be predictive of the outcome and actual results may vary from our current estimates. For additional information on </w:t>
      </w:r>
      <w:r>
        <w:rPr>
          <w:rFonts w:ascii="Arial" w:eastAsia="Times New Roman" w:hAnsi="Arial" w:cs="Arial"/>
          <w:color w:val="000000"/>
          <w:sz w:val="20"/>
          <w:szCs w:val="20"/>
        </w:rPr>
        <w:t>contingencies, see “Item 1A – Risk Factors” and "Note 9. Commitments and Contingencies " in this 2020 10</w:t>
      </w:r>
      <w:r>
        <w:rPr>
          <w:rFonts w:ascii="Arial" w:eastAsia="Times New Roman" w:hAnsi="Arial" w:cs="Arial"/>
          <w:color w:val="000000"/>
          <w:sz w:val="20"/>
          <w:szCs w:val="20"/>
        </w:rPr>
        <w:noBreakHyphen/>
        <w:t>K Report.</w:t>
      </w:r>
    </w:p>
    <w:p w14:paraId="77F34D19" w14:textId="77777777" w:rsidR="00000000" w:rsidRDefault="00C01C43">
      <w:pPr>
        <w:jc w:val="both"/>
        <w:rPr>
          <w:rFonts w:eastAsia="Times New Roman"/>
        </w:rPr>
      </w:pPr>
      <w:r>
        <w:rPr>
          <w:rFonts w:ascii="Arial" w:eastAsia="Times New Roman" w:hAnsi="Arial" w:cs="Arial"/>
          <w:b/>
          <w:bCs/>
          <w:color w:val="000000"/>
          <w:sz w:val="20"/>
          <w:szCs w:val="20"/>
        </w:rPr>
        <w:t>Recent Accounting Pronouncements</w:t>
      </w:r>
    </w:p>
    <w:p w14:paraId="4BE1B822" w14:textId="77777777" w:rsidR="00000000" w:rsidRDefault="00C01C43">
      <w:pPr>
        <w:jc w:val="both"/>
        <w:divId w:val="1105615970"/>
        <w:rPr>
          <w:rFonts w:eastAsia="Times New Roman"/>
        </w:rPr>
      </w:pPr>
      <w:r>
        <w:rPr>
          <w:rFonts w:ascii="Arial" w:eastAsia="Times New Roman" w:hAnsi="Arial" w:cs="Arial"/>
          <w:color w:val="000000"/>
          <w:sz w:val="20"/>
          <w:szCs w:val="20"/>
        </w:rPr>
        <w:t>Information regarding accounting standards adopted during 2020 is included in "Note 1. Basis of Presentation</w:t>
      </w:r>
      <w:r>
        <w:rPr>
          <w:rFonts w:ascii="Arial" w:eastAsia="Times New Roman" w:hAnsi="Arial" w:cs="Arial"/>
          <w:color w:val="000000"/>
          <w:sz w:val="20"/>
          <w:szCs w:val="20"/>
        </w:rPr>
        <w:t>, New Accounting Standards and Significant Accounting Policies" within "Part IV. Item 15. Notes to the Consolidated Financial Statements" included in this 2020 10-K Report.</w:t>
      </w:r>
    </w:p>
    <w:p w14:paraId="2D61DA87" w14:textId="77777777" w:rsidR="00000000" w:rsidRDefault="00C01C43">
      <w:pPr>
        <w:jc w:val="center"/>
        <w:divId w:val="902526343"/>
        <w:rPr>
          <w:rFonts w:eastAsia="Times New Roman"/>
        </w:rPr>
      </w:pPr>
      <w:r>
        <w:rPr>
          <w:rFonts w:ascii="Arial" w:eastAsia="Times New Roman" w:hAnsi="Arial" w:cs="Arial"/>
          <w:color w:val="000000"/>
          <w:sz w:val="16"/>
          <w:szCs w:val="16"/>
        </w:rPr>
        <w:t>36</w:t>
      </w:r>
    </w:p>
    <w:p w14:paraId="1E092F48" w14:textId="77777777" w:rsidR="00000000" w:rsidRDefault="00C01C43">
      <w:pPr>
        <w:rPr>
          <w:rFonts w:eastAsia="Times New Roman"/>
        </w:rPr>
      </w:pPr>
      <w:r>
        <w:rPr>
          <w:rFonts w:eastAsia="Times New Roman"/>
        </w:rPr>
        <w:pict w14:anchorId="48AA7FEA">
          <v:rect id="_x0000_i1065" style="width:0;height:1.5pt" o:hralign="center" o:hrstd="t" o:hr="t" fillcolor="#a0a0a0" stroked="f"/>
        </w:pict>
      </w:r>
    </w:p>
    <w:p w14:paraId="6167A682" w14:textId="77777777" w:rsidR="00000000" w:rsidRDefault="00C01C43">
      <w:pPr>
        <w:divId w:val="1019309008"/>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606BC2C2" w14:textId="77777777" w:rsidR="00000000" w:rsidRDefault="00C01C43">
      <w:pPr>
        <w:jc w:val="both"/>
        <w:divId w:val="1477868177"/>
        <w:rPr>
          <w:rFonts w:eastAsia="Times New Roman"/>
        </w:rPr>
      </w:pPr>
      <w:r>
        <w:rPr>
          <w:rFonts w:ascii="Arial" w:eastAsia="Times New Roman" w:hAnsi="Arial" w:cs="Arial"/>
          <w:b/>
          <w:bCs/>
          <w:color w:val="000000"/>
        </w:rPr>
        <w:t>Item 7A. Quantitative</w:t>
      </w:r>
      <w:r>
        <w:rPr>
          <w:rFonts w:ascii="Arial" w:eastAsia="Times New Roman" w:hAnsi="Arial" w:cs="Arial"/>
          <w:color w:val="000000"/>
        </w:rPr>
        <w:t xml:space="preserve"> </w:t>
      </w:r>
      <w:r>
        <w:rPr>
          <w:rFonts w:ascii="Arial" w:eastAsia="Times New Roman" w:hAnsi="Arial" w:cs="Arial"/>
          <w:b/>
          <w:bCs/>
          <w:color w:val="000000"/>
        </w:rPr>
        <w:t>and Qualitative Disclosures About Market Risk</w:t>
      </w:r>
    </w:p>
    <w:p w14:paraId="211B7E25" w14:textId="77777777" w:rsidR="00000000" w:rsidRDefault="00C01C43">
      <w:pPr>
        <w:jc w:val="both"/>
        <w:rPr>
          <w:rFonts w:eastAsia="Times New Roman"/>
        </w:rPr>
      </w:pPr>
      <w:r>
        <w:rPr>
          <w:rFonts w:ascii="Arial" w:eastAsia="Times New Roman" w:hAnsi="Arial" w:cs="Arial"/>
          <w:b/>
          <w:bCs/>
          <w:color w:val="000000"/>
          <w:sz w:val="20"/>
          <w:szCs w:val="20"/>
        </w:rPr>
        <w:t>Derivative and Financial Instruments Market Risk</w:t>
      </w:r>
    </w:p>
    <w:p w14:paraId="36C319F9" w14:textId="77777777" w:rsidR="00000000" w:rsidRDefault="00C01C43">
      <w:pPr>
        <w:jc w:val="both"/>
        <w:divId w:val="882446324"/>
        <w:rPr>
          <w:rFonts w:eastAsia="Times New Roman"/>
        </w:rPr>
      </w:pPr>
      <w:r>
        <w:rPr>
          <w:rFonts w:ascii="Arial" w:eastAsia="Times New Roman" w:hAnsi="Arial" w:cs="Arial"/>
          <w:color w:val="000000"/>
          <w:sz w:val="20"/>
          <w:szCs w:val="20"/>
        </w:rPr>
        <w:t>We use commodity-based derivative contracts and financial instruments, when we deem it appropriate, to mana</w:t>
      </w:r>
      <w:r>
        <w:rPr>
          <w:rFonts w:ascii="Arial" w:eastAsia="Times New Roman" w:hAnsi="Arial" w:cs="Arial"/>
          <w:color w:val="000000"/>
          <w:sz w:val="20"/>
          <w:szCs w:val="20"/>
        </w:rPr>
        <w:t xml:space="preserve">ge the risks associated with changes in the prices of fuel and fuel-related products, fluctuations in foreign currency exchange rates and interest rates, or to capture market opportunities. We utilize hedge accounting and formally designate certain of our </w:t>
      </w:r>
      <w:r>
        <w:rPr>
          <w:rFonts w:ascii="Arial" w:eastAsia="Times New Roman" w:hAnsi="Arial" w:cs="Arial"/>
          <w:color w:val="000000"/>
          <w:sz w:val="20"/>
          <w:szCs w:val="20"/>
        </w:rPr>
        <w:t>derivative instruments as either cash flow or fair value hedges. Derivative instruments that are not designated are considered non-designated hedges and are designed to achieve an economic offset of the underlying price risk exposure. Financial instruments</w:t>
      </w:r>
      <w:r>
        <w:rPr>
          <w:rFonts w:ascii="Arial" w:eastAsia="Times New Roman" w:hAnsi="Arial" w:cs="Arial"/>
          <w:color w:val="000000"/>
          <w:sz w:val="20"/>
          <w:szCs w:val="20"/>
        </w:rPr>
        <w:t xml:space="preserve"> and positions affecting our financial statements are described below and are held primarily for hedging purposes. As a result, any changes in income associated with our derivatives contracts are substantially offset by corresponding changes in the value o</w:t>
      </w:r>
      <w:r>
        <w:rPr>
          <w:rFonts w:ascii="Arial" w:eastAsia="Times New Roman" w:hAnsi="Arial" w:cs="Arial"/>
          <w:color w:val="000000"/>
          <w:sz w:val="20"/>
          <w:szCs w:val="20"/>
        </w:rPr>
        <w:t>f the underlying risk being mitigated.</w:t>
      </w:r>
    </w:p>
    <w:p w14:paraId="75C838B3" w14:textId="77777777" w:rsidR="00000000" w:rsidRDefault="00C01C43">
      <w:pPr>
        <w:jc w:val="both"/>
        <w:rPr>
          <w:rFonts w:eastAsia="Times New Roman"/>
        </w:rPr>
      </w:pPr>
      <w:r>
        <w:rPr>
          <w:rFonts w:ascii="Arial" w:eastAsia="Times New Roman" w:hAnsi="Arial" w:cs="Arial"/>
          <w:b/>
          <w:bCs/>
          <w:color w:val="000000"/>
          <w:sz w:val="20"/>
          <w:szCs w:val="20"/>
        </w:rPr>
        <w:t>Commodity Price Risk</w:t>
      </w:r>
    </w:p>
    <w:p w14:paraId="1D3423AA" w14:textId="77777777" w:rsidR="00000000" w:rsidRDefault="00C01C43">
      <w:pPr>
        <w:jc w:val="both"/>
        <w:divId w:val="350301692"/>
        <w:rPr>
          <w:rFonts w:eastAsia="Times New Roman"/>
        </w:rPr>
      </w:pPr>
      <w:r>
        <w:rPr>
          <w:rFonts w:ascii="Arial" w:eastAsia="Times New Roman" w:hAnsi="Arial" w:cs="Arial"/>
          <w:color w:val="000000"/>
          <w:sz w:val="20"/>
          <w:szCs w:val="20"/>
        </w:rPr>
        <w:t>Our commercial business segments use derivative instruments, primarily futures, forward, swap, and options contracts, in various markets to manage price risk inherent in the purchase and sale of f</w:t>
      </w:r>
      <w:r>
        <w:rPr>
          <w:rFonts w:ascii="Arial" w:eastAsia="Times New Roman" w:hAnsi="Arial" w:cs="Arial"/>
          <w:color w:val="000000"/>
          <w:sz w:val="20"/>
          <w:szCs w:val="20"/>
        </w:rPr>
        <w:t>uel. Certain of these derivative instruments are utilized to mitigate the risk of price volatility in forecasted transactions in a cash flow hedge relationship and to mitigate the risk of changes in the price of our inventory in a fair value hedge relation</w:t>
      </w:r>
      <w:r>
        <w:rPr>
          <w:rFonts w:ascii="Arial" w:eastAsia="Times New Roman" w:hAnsi="Arial" w:cs="Arial"/>
          <w:color w:val="000000"/>
          <w:sz w:val="20"/>
          <w:szCs w:val="20"/>
        </w:rPr>
        <w:t>ship. In addition, we use derivatives as economic hedges or to optimize the value of our fuel inventory to capitalize on anticipated market opportunities.</w:t>
      </w:r>
    </w:p>
    <w:p w14:paraId="7448F550" w14:textId="77777777" w:rsidR="00000000" w:rsidRDefault="00C01C43">
      <w:pPr>
        <w:jc w:val="both"/>
        <w:divId w:val="864901556"/>
        <w:rPr>
          <w:rFonts w:eastAsia="Times New Roman"/>
        </w:rPr>
      </w:pPr>
      <w:r>
        <w:rPr>
          <w:rFonts w:ascii="Arial" w:eastAsia="Times New Roman" w:hAnsi="Arial" w:cs="Arial"/>
          <w:color w:val="000000"/>
          <w:sz w:val="20"/>
          <w:szCs w:val="20"/>
        </w:rPr>
        <w:t>As of December 31, 2020 and 2019, the notional and fair market values of our commodity-based derivati</w:t>
      </w:r>
      <w:r>
        <w:rPr>
          <w:rFonts w:ascii="Arial" w:eastAsia="Times New Roman" w:hAnsi="Arial" w:cs="Arial"/>
          <w:color w:val="000000"/>
          <w:sz w:val="20"/>
          <w:szCs w:val="20"/>
        </w:rPr>
        <w:t>ve instruments position were as follows (in millions, except weighted average contract price):</w:t>
      </w:r>
    </w:p>
    <w:tbl>
      <w:tblPr>
        <w:tblW w:w="5000" w:type="pct"/>
        <w:tblCellMar>
          <w:top w:w="15" w:type="dxa"/>
          <w:left w:w="15" w:type="dxa"/>
          <w:bottom w:w="15" w:type="dxa"/>
          <w:right w:w="15" w:type="dxa"/>
        </w:tblCellMar>
        <w:tblLook w:val="04A0" w:firstRow="1" w:lastRow="0" w:firstColumn="1" w:lastColumn="0" w:noHBand="0" w:noVBand="1"/>
      </w:tblPr>
      <w:tblGrid>
        <w:gridCol w:w="53"/>
        <w:gridCol w:w="1341"/>
        <w:gridCol w:w="39"/>
        <w:gridCol w:w="63"/>
        <w:gridCol w:w="1089"/>
        <w:gridCol w:w="38"/>
        <w:gridCol w:w="88"/>
        <w:gridCol w:w="762"/>
        <w:gridCol w:w="36"/>
        <w:gridCol w:w="36"/>
        <w:gridCol w:w="76"/>
        <w:gridCol w:w="36"/>
        <w:gridCol w:w="78"/>
        <w:gridCol w:w="595"/>
        <w:gridCol w:w="36"/>
        <w:gridCol w:w="122"/>
        <w:gridCol w:w="665"/>
        <w:gridCol w:w="36"/>
        <w:gridCol w:w="122"/>
        <w:gridCol w:w="565"/>
        <w:gridCol w:w="37"/>
        <w:gridCol w:w="36"/>
        <w:gridCol w:w="37"/>
        <w:gridCol w:w="36"/>
        <w:gridCol w:w="78"/>
        <w:gridCol w:w="595"/>
        <w:gridCol w:w="36"/>
        <w:gridCol w:w="122"/>
        <w:gridCol w:w="665"/>
        <w:gridCol w:w="37"/>
        <w:gridCol w:w="122"/>
        <w:gridCol w:w="592"/>
        <w:gridCol w:w="37"/>
      </w:tblGrid>
      <w:tr w:rsidR="00000000" w14:paraId="287B45CC" w14:textId="77777777">
        <w:trPr>
          <w:divId w:val="2139105891"/>
        </w:trPr>
        <w:tc>
          <w:tcPr>
            <w:tcW w:w="50" w:type="pct"/>
            <w:vAlign w:val="center"/>
            <w:hideMark/>
          </w:tcPr>
          <w:p w14:paraId="2DF805FC" w14:textId="77777777" w:rsidR="00000000" w:rsidRDefault="00C01C43">
            <w:pPr>
              <w:jc w:val="both"/>
              <w:rPr>
                <w:rFonts w:eastAsia="Times New Roman"/>
              </w:rPr>
            </w:pPr>
          </w:p>
        </w:tc>
        <w:tc>
          <w:tcPr>
            <w:tcW w:w="851" w:type="pct"/>
            <w:vAlign w:val="center"/>
            <w:hideMark/>
          </w:tcPr>
          <w:p w14:paraId="1F0A5B35" w14:textId="77777777" w:rsidR="00000000" w:rsidRDefault="00C01C43">
            <w:pPr>
              <w:rPr>
                <w:rFonts w:eastAsia="Times New Roman"/>
                <w:sz w:val="20"/>
                <w:szCs w:val="20"/>
              </w:rPr>
            </w:pPr>
          </w:p>
        </w:tc>
        <w:tc>
          <w:tcPr>
            <w:tcW w:w="5" w:type="pct"/>
            <w:vAlign w:val="center"/>
            <w:hideMark/>
          </w:tcPr>
          <w:p w14:paraId="6B59BEBE" w14:textId="77777777" w:rsidR="00000000" w:rsidRDefault="00C01C43">
            <w:pPr>
              <w:rPr>
                <w:rFonts w:eastAsia="Times New Roman"/>
                <w:sz w:val="20"/>
                <w:szCs w:val="20"/>
              </w:rPr>
            </w:pPr>
          </w:p>
        </w:tc>
        <w:tc>
          <w:tcPr>
            <w:tcW w:w="50" w:type="pct"/>
            <w:vAlign w:val="center"/>
            <w:hideMark/>
          </w:tcPr>
          <w:p w14:paraId="6CF76B98" w14:textId="77777777" w:rsidR="00000000" w:rsidRDefault="00C01C43">
            <w:pPr>
              <w:rPr>
                <w:rFonts w:eastAsia="Times New Roman"/>
                <w:sz w:val="20"/>
                <w:szCs w:val="20"/>
              </w:rPr>
            </w:pPr>
          </w:p>
        </w:tc>
        <w:tc>
          <w:tcPr>
            <w:tcW w:w="705" w:type="pct"/>
            <w:vAlign w:val="center"/>
            <w:hideMark/>
          </w:tcPr>
          <w:p w14:paraId="6AE787B3" w14:textId="77777777" w:rsidR="00000000" w:rsidRDefault="00C01C43">
            <w:pPr>
              <w:rPr>
                <w:rFonts w:eastAsia="Times New Roman"/>
                <w:sz w:val="20"/>
                <w:szCs w:val="20"/>
              </w:rPr>
            </w:pPr>
          </w:p>
        </w:tc>
        <w:tc>
          <w:tcPr>
            <w:tcW w:w="5" w:type="pct"/>
            <w:vAlign w:val="center"/>
            <w:hideMark/>
          </w:tcPr>
          <w:p w14:paraId="4F4DC401" w14:textId="77777777" w:rsidR="00000000" w:rsidRDefault="00C01C43">
            <w:pPr>
              <w:rPr>
                <w:rFonts w:eastAsia="Times New Roman"/>
                <w:sz w:val="20"/>
                <w:szCs w:val="20"/>
              </w:rPr>
            </w:pPr>
          </w:p>
        </w:tc>
        <w:tc>
          <w:tcPr>
            <w:tcW w:w="50" w:type="pct"/>
            <w:vAlign w:val="center"/>
            <w:hideMark/>
          </w:tcPr>
          <w:p w14:paraId="75653C71" w14:textId="77777777" w:rsidR="00000000" w:rsidRDefault="00C01C43">
            <w:pPr>
              <w:rPr>
                <w:rFonts w:eastAsia="Times New Roman"/>
                <w:sz w:val="20"/>
                <w:szCs w:val="20"/>
              </w:rPr>
            </w:pPr>
          </w:p>
        </w:tc>
        <w:tc>
          <w:tcPr>
            <w:tcW w:w="434" w:type="pct"/>
            <w:vAlign w:val="center"/>
            <w:hideMark/>
          </w:tcPr>
          <w:p w14:paraId="47CCB256" w14:textId="77777777" w:rsidR="00000000" w:rsidRDefault="00C01C43">
            <w:pPr>
              <w:rPr>
                <w:rFonts w:eastAsia="Times New Roman"/>
                <w:sz w:val="20"/>
                <w:szCs w:val="20"/>
              </w:rPr>
            </w:pPr>
          </w:p>
        </w:tc>
        <w:tc>
          <w:tcPr>
            <w:tcW w:w="5" w:type="pct"/>
            <w:vAlign w:val="center"/>
            <w:hideMark/>
          </w:tcPr>
          <w:p w14:paraId="12E26DAE" w14:textId="77777777" w:rsidR="00000000" w:rsidRDefault="00C01C43">
            <w:pPr>
              <w:rPr>
                <w:rFonts w:eastAsia="Times New Roman"/>
                <w:sz w:val="20"/>
                <w:szCs w:val="20"/>
              </w:rPr>
            </w:pPr>
          </w:p>
        </w:tc>
        <w:tc>
          <w:tcPr>
            <w:tcW w:w="5" w:type="pct"/>
            <w:vAlign w:val="center"/>
            <w:hideMark/>
          </w:tcPr>
          <w:p w14:paraId="139656EC" w14:textId="77777777" w:rsidR="00000000" w:rsidRDefault="00C01C43">
            <w:pPr>
              <w:rPr>
                <w:rFonts w:eastAsia="Times New Roman"/>
                <w:sz w:val="20"/>
                <w:szCs w:val="20"/>
              </w:rPr>
            </w:pPr>
          </w:p>
        </w:tc>
        <w:tc>
          <w:tcPr>
            <w:tcW w:w="77" w:type="pct"/>
            <w:vAlign w:val="center"/>
            <w:hideMark/>
          </w:tcPr>
          <w:p w14:paraId="099163BE" w14:textId="77777777" w:rsidR="00000000" w:rsidRDefault="00C01C43">
            <w:pPr>
              <w:rPr>
                <w:rFonts w:eastAsia="Times New Roman"/>
                <w:sz w:val="20"/>
                <w:szCs w:val="20"/>
              </w:rPr>
            </w:pPr>
          </w:p>
        </w:tc>
        <w:tc>
          <w:tcPr>
            <w:tcW w:w="5" w:type="pct"/>
            <w:vAlign w:val="center"/>
            <w:hideMark/>
          </w:tcPr>
          <w:p w14:paraId="29AC38DB" w14:textId="77777777" w:rsidR="00000000" w:rsidRDefault="00C01C43">
            <w:pPr>
              <w:rPr>
                <w:rFonts w:eastAsia="Times New Roman"/>
                <w:sz w:val="20"/>
                <w:szCs w:val="20"/>
              </w:rPr>
            </w:pPr>
          </w:p>
        </w:tc>
        <w:tc>
          <w:tcPr>
            <w:tcW w:w="50" w:type="pct"/>
            <w:vAlign w:val="center"/>
            <w:hideMark/>
          </w:tcPr>
          <w:p w14:paraId="4F0DF250" w14:textId="77777777" w:rsidR="00000000" w:rsidRDefault="00C01C43">
            <w:pPr>
              <w:rPr>
                <w:rFonts w:eastAsia="Times New Roman"/>
                <w:sz w:val="20"/>
                <w:szCs w:val="20"/>
              </w:rPr>
            </w:pPr>
          </w:p>
        </w:tc>
        <w:tc>
          <w:tcPr>
            <w:tcW w:w="383" w:type="pct"/>
            <w:vAlign w:val="center"/>
            <w:hideMark/>
          </w:tcPr>
          <w:p w14:paraId="6515CF36" w14:textId="77777777" w:rsidR="00000000" w:rsidRDefault="00C01C43">
            <w:pPr>
              <w:rPr>
                <w:rFonts w:eastAsia="Times New Roman"/>
                <w:sz w:val="20"/>
                <w:szCs w:val="20"/>
              </w:rPr>
            </w:pPr>
          </w:p>
        </w:tc>
        <w:tc>
          <w:tcPr>
            <w:tcW w:w="5" w:type="pct"/>
            <w:vAlign w:val="center"/>
            <w:hideMark/>
          </w:tcPr>
          <w:p w14:paraId="10BB36E4" w14:textId="77777777" w:rsidR="00000000" w:rsidRDefault="00C01C43">
            <w:pPr>
              <w:rPr>
                <w:rFonts w:eastAsia="Times New Roman"/>
                <w:sz w:val="20"/>
                <w:szCs w:val="20"/>
              </w:rPr>
            </w:pPr>
          </w:p>
        </w:tc>
        <w:tc>
          <w:tcPr>
            <w:tcW w:w="50" w:type="pct"/>
            <w:vAlign w:val="center"/>
            <w:hideMark/>
          </w:tcPr>
          <w:p w14:paraId="79358E5C" w14:textId="77777777" w:rsidR="00000000" w:rsidRDefault="00C01C43">
            <w:pPr>
              <w:rPr>
                <w:rFonts w:eastAsia="Times New Roman"/>
                <w:sz w:val="20"/>
                <w:szCs w:val="20"/>
              </w:rPr>
            </w:pPr>
          </w:p>
        </w:tc>
        <w:tc>
          <w:tcPr>
            <w:tcW w:w="383" w:type="pct"/>
            <w:vAlign w:val="center"/>
            <w:hideMark/>
          </w:tcPr>
          <w:p w14:paraId="16A34ED8" w14:textId="77777777" w:rsidR="00000000" w:rsidRDefault="00C01C43">
            <w:pPr>
              <w:rPr>
                <w:rFonts w:eastAsia="Times New Roman"/>
                <w:sz w:val="20"/>
                <w:szCs w:val="20"/>
              </w:rPr>
            </w:pPr>
          </w:p>
        </w:tc>
        <w:tc>
          <w:tcPr>
            <w:tcW w:w="5" w:type="pct"/>
            <w:vAlign w:val="center"/>
            <w:hideMark/>
          </w:tcPr>
          <w:p w14:paraId="12146BD8" w14:textId="77777777" w:rsidR="00000000" w:rsidRDefault="00C01C43">
            <w:pPr>
              <w:rPr>
                <w:rFonts w:eastAsia="Times New Roman"/>
                <w:sz w:val="20"/>
                <w:szCs w:val="20"/>
              </w:rPr>
            </w:pPr>
          </w:p>
        </w:tc>
        <w:tc>
          <w:tcPr>
            <w:tcW w:w="50" w:type="pct"/>
            <w:vAlign w:val="center"/>
            <w:hideMark/>
          </w:tcPr>
          <w:p w14:paraId="3479F9DD" w14:textId="77777777" w:rsidR="00000000" w:rsidRDefault="00C01C43">
            <w:pPr>
              <w:rPr>
                <w:rFonts w:eastAsia="Times New Roman"/>
                <w:sz w:val="20"/>
                <w:szCs w:val="20"/>
              </w:rPr>
            </w:pPr>
          </w:p>
        </w:tc>
        <w:tc>
          <w:tcPr>
            <w:tcW w:w="383" w:type="pct"/>
            <w:vAlign w:val="center"/>
            <w:hideMark/>
          </w:tcPr>
          <w:p w14:paraId="46735632" w14:textId="77777777" w:rsidR="00000000" w:rsidRDefault="00C01C43">
            <w:pPr>
              <w:rPr>
                <w:rFonts w:eastAsia="Times New Roman"/>
                <w:sz w:val="20"/>
                <w:szCs w:val="20"/>
              </w:rPr>
            </w:pPr>
          </w:p>
        </w:tc>
        <w:tc>
          <w:tcPr>
            <w:tcW w:w="5" w:type="pct"/>
            <w:vAlign w:val="center"/>
            <w:hideMark/>
          </w:tcPr>
          <w:p w14:paraId="51BE9DDF" w14:textId="77777777" w:rsidR="00000000" w:rsidRDefault="00C01C43">
            <w:pPr>
              <w:rPr>
                <w:rFonts w:eastAsia="Times New Roman"/>
                <w:sz w:val="20"/>
                <w:szCs w:val="20"/>
              </w:rPr>
            </w:pPr>
          </w:p>
        </w:tc>
        <w:tc>
          <w:tcPr>
            <w:tcW w:w="5" w:type="pct"/>
            <w:vAlign w:val="center"/>
            <w:hideMark/>
          </w:tcPr>
          <w:p w14:paraId="18BB4875" w14:textId="77777777" w:rsidR="00000000" w:rsidRDefault="00C01C43">
            <w:pPr>
              <w:rPr>
                <w:rFonts w:eastAsia="Times New Roman"/>
                <w:sz w:val="20"/>
                <w:szCs w:val="20"/>
              </w:rPr>
            </w:pPr>
          </w:p>
        </w:tc>
        <w:tc>
          <w:tcPr>
            <w:tcW w:w="77" w:type="pct"/>
            <w:vAlign w:val="center"/>
            <w:hideMark/>
          </w:tcPr>
          <w:p w14:paraId="63D77F2D" w14:textId="77777777" w:rsidR="00000000" w:rsidRDefault="00C01C43">
            <w:pPr>
              <w:rPr>
                <w:rFonts w:eastAsia="Times New Roman"/>
                <w:sz w:val="20"/>
                <w:szCs w:val="20"/>
              </w:rPr>
            </w:pPr>
          </w:p>
        </w:tc>
        <w:tc>
          <w:tcPr>
            <w:tcW w:w="5" w:type="pct"/>
            <w:vAlign w:val="center"/>
            <w:hideMark/>
          </w:tcPr>
          <w:p w14:paraId="5D36D6E9" w14:textId="77777777" w:rsidR="00000000" w:rsidRDefault="00C01C43">
            <w:pPr>
              <w:rPr>
                <w:rFonts w:eastAsia="Times New Roman"/>
                <w:sz w:val="20"/>
                <w:szCs w:val="20"/>
              </w:rPr>
            </w:pPr>
          </w:p>
        </w:tc>
        <w:tc>
          <w:tcPr>
            <w:tcW w:w="50" w:type="pct"/>
            <w:vAlign w:val="center"/>
            <w:hideMark/>
          </w:tcPr>
          <w:p w14:paraId="1BDF8243" w14:textId="77777777" w:rsidR="00000000" w:rsidRDefault="00C01C43">
            <w:pPr>
              <w:rPr>
                <w:rFonts w:eastAsia="Times New Roman"/>
                <w:sz w:val="20"/>
                <w:szCs w:val="20"/>
              </w:rPr>
            </w:pPr>
          </w:p>
        </w:tc>
        <w:tc>
          <w:tcPr>
            <w:tcW w:w="383" w:type="pct"/>
            <w:vAlign w:val="center"/>
            <w:hideMark/>
          </w:tcPr>
          <w:p w14:paraId="6895011B" w14:textId="77777777" w:rsidR="00000000" w:rsidRDefault="00C01C43">
            <w:pPr>
              <w:rPr>
                <w:rFonts w:eastAsia="Times New Roman"/>
                <w:sz w:val="20"/>
                <w:szCs w:val="20"/>
              </w:rPr>
            </w:pPr>
          </w:p>
        </w:tc>
        <w:tc>
          <w:tcPr>
            <w:tcW w:w="5" w:type="pct"/>
            <w:vAlign w:val="center"/>
            <w:hideMark/>
          </w:tcPr>
          <w:p w14:paraId="37584E90" w14:textId="77777777" w:rsidR="00000000" w:rsidRDefault="00C01C43">
            <w:pPr>
              <w:rPr>
                <w:rFonts w:eastAsia="Times New Roman"/>
                <w:sz w:val="20"/>
                <w:szCs w:val="20"/>
              </w:rPr>
            </w:pPr>
          </w:p>
        </w:tc>
        <w:tc>
          <w:tcPr>
            <w:tcW w:w="50" w:type="pct"/>
            <w:vAlign w:val="center"/>
            <w:hideMark/>
          </w:tcPr>
          <w:p w14:paraId="51CAB76A" w14:textId="77777777" w:rsidR="00000000" w:rsidRDefault="00C01C43">
            <w:pPr>
              <w:rPr>
                <w:rFonts w:eastAsia="Times New Roman"/>
                <w:sz w:val="20"/>
                <w:szCs w:val="20"/>
              </w:rPr>
            </w:pPr>
          </w:p>
        </w:tc>
        <w:tc>
          <w:tcPr>
            <w:tcW w:w="383" w:type="pct"/>
            <w:vAlign w:val="center"/>
            <w:hideMark/>
          </w:tcPr>
          <w:p w14:paraId="68EB33D3" w14:textId="77777777" w:rsidR="00000000" w:rsidRDefault="00C01C43">
            <w:pPr>
              <w:rPr>
                <w:rFonts w:eastAsia="Times New Roman"/>
                <w:sz w:val="20"/>
                <w:szCs w:val="20"/>
              </w:rPr>
            </w:pPr>
          </w:p>
        </w:tc>
        <w:tc>
          <w:tcPr>
            <w:tcW w:w="5" w:type="pct"/>
            <w:vAlign w:val="center"/>
            <w:hideMark/>
          </w:tcPr>
          <w:p w14:paraId="22300916" w14:textId="77777777" w:rsidR="00000000" w:rsidRDefault="00C01C43">
            <w:pPr>
              <w:rPr>
                <w:rFonts w:eastAsia="Times New Roman"/>
                <w:sz w:val="20"/>
                <w:szCs w:val="20"/>
              </w:rPr>
            </w:pPr>
          </w:p>
        </w:tc>
        <w:tc>
          <w:tcPr>
            <w:tcW w:w="50" w:type="pct"/>
            <w:vAlign w:val="center"/>
            <w:hideMark/>
          </w:tcPr>
          <w:p w14:paraId="27D945E5" w14:textId="77777777" w:rsidR="00000000" w:rsidRDefault="00C01C43">
            <w:pPr>
              <w:rPr>
                <w:rFonts w:eastAsia="Times New Roman"/>
                <w:sz w:val="20"/>
                <w:szCs w:val="20"/>
              </w:rPr>
            </w:pPr>
          </w:p>
        </w:tc>
        <w:tc>
          <w:tcPr>
            <w:tcW w:w="420" w:type="pct"/>
            <w:vAlign w:val="center"/>
            <w:hideMark/>
          </w:tcPr>
          <w:p w14:paraId="555B1ECF" w14:textId="77777777" w:rsidR="00000000" w:rsidRDefault="00C01C43">
            <w:pPr>
              <w:rPr>
                <w:rFonts w:eastAsia="Times New Roman"/>
                <w:sz w:val="20"/>
                <w:szCs w:val="20"/>
              </w:rPr>
            </w:pPr>
          </w:p>
        </w:tc>
        <w:tc>
          <w:tcPr>
            <w:tcW w:w="5" w:type="pct"/>
            <w:vAlign w:val="center"/>
            <w:hideMark/>
          </w:tcPr>
          <w:p w14:paraId="23B9C304" w14:textId="77777777" w:rsidR="00000000" w:rsidRDefault="00C01C43">
            <w:pPr>
              <w:rPr>
                <w:rFonts w:eastAsia="Times New Roman"/>
                <w:sz w:val="20"/>
                <w:szCs w:val="20"/>
              </w:rPr>
            </w:pPr>
          </w:p>
        </w:tc>
      </w:tr>
      <w:tr w:rsidR="00000000" w14:paraId="5057102C" w14:textId="77777777">
        <w:trPr>
          <w:divId w:val="2139105891"/>
        </w:trPr>
        <w:tc>
          <w:tcPr>
            <w:tcW w:w="0" w:type="auto"/>
            <w:gridSpan w:val="9"/>
            <w:tcMar>
              <w:top w:w="30" w:type="dxa"/>
              <w:left w:w="20" w:type="dxa"/>
              <w:bottom w:w="30" w:type="dxa"/>
              <w:right w:w="20" w:type="dxa"/>
            </w:tcMar>
            <w:vAlign w:val="bottom"/>
            <w:hideMark/>
          </w:tcPr>
          <w:p w14:paraId="1C3178AE" w14:textId="77777777" w:rsidR="00000000" w:rsidRDefault="00C01C43">
            <w:pPr>
              <w:jc w:val="center"/>
              <w:rPr>
                <w:rFonts w:eastAsia="Times New Roman"/>
              </w:rPr>
            </w:pPr>
            <w:r>
              <w:rPr>
                <w:rFonts w:ascii="Arial" w:eastAsia="Times New Roman" w:hAnsi="Arial" w:cs="Arial"/>
                <w:b/>
                <w:bCs/>
                <w:color w:val="000000"/>
                <w:sz w:val="16"/>
                <w:szCs w:val="16"/>
              </w:rPr>
              <w:t>Commodity Contracts (In millions of BBL)</w:t>
            </w:r>
          </w:p>
        </w:tc>
        <w:tc>
          <w:tcPr>
            <w:tcW w:w="0" w:type="auto"/>
            <w:gridSpan w:val="3"/>
            <w:tcMar>
              <w:top w:w="0" w:type="dxa"/>
              <w:left w:w="20" w:type="dxa"/>
              <w:bottom w:w="0" w:type="dxa"/>
              <w:right w:w="20" w:type="dxa"/>
            </w:tcMar>
            <w:vAlign w:val="center"/>
            <w:hideMark/>
          </w:tcPr>
          <w:p w14:paraId="30EF6F52" w14:textId="77777777" w:rsidR="00000000" w:rsidRDefault="00C01C43">
            <w:pPr>
              <w:jc w:val="center"/>
              <w:rPr>
                <w:rFonts w:eastAsia="Times New Roman"/>
              </w:rPr>
            </w:pPr>
          </w:p>
        </w:tc>
        <w:tc>
          <w:tcPr>
            <w:tcW w:w="0" w:type="auto"/>
            <w:gridSpan w:val="9"/>
            <w:tcMar>
              <w:top w:w="30" w:type="dxa"/>
              <w:left w:w="20" w:type="dxa"/>
              <w:bottom w:w="30" w:type="dxa"/>
              <w:right w:w="20" w:type="dxa"/>
            </w:tcMar>
            <w:vAlign w:val="bottom"/>
            <w:hideMark/>
          </w:tcPr>
          <w:p w14:paraId="6C8E7AE6" w14:textId="77777777" w:rsidR="00000000" w:rsidRDefault="00C01C43">
            <w:pPr>
              <w:jc w:val="center"/>
              <w:rPr>
                <w:rFonts w:eastAsia="Times New Roman"/>
              </w:rPr>
            </w:pPr>
            <w:r>
              <w:rPr>
                <w:rFonts w:ascii="Arial" w:eastAsia="Times New Roman" w:hAnsi="Arial" w:cs="Arial"/>
                <w:b/>
                <w:bCs/>
                <w:color w:val="000000"/>
                <w:sz w:val="16"/>
                <w:szCs w:val="16"/>
              </w:rPr>
              <w:t>As of December 31, 2020</w:t>
            </w:r>
          </w:p>
        </w:tc>
        <w:tc>
          <w:tcPr>
            <w:tcW w:w="0" w:type="auto"/>
            <w:gridSpan w:val="3"/>
            <w:tcMar>
              <w:top w:w="0" w:type="dxa"/>
              <w:left w:w="20" w:type="dxa"/>
              <w:bottom w:w="0" w:type="dxa"/>
              <w:right w:w="20" w:type="dxa"/>
            </w:tcMar>
            <w:vAlign w:val="center"/>
            <w:hideMark/>
          </w:tcPr>
          <w:p w14:paraId="310DA8CA" w14:textId="77777777" w:rsidR="00000000" w:rsidRDefault="00C01C43">
            <w:pPr>
              <w:jc w:val="center"/>
              <w:rPr>
                <w:rFonts w:eastAsia="Times New Roman"/>
              </w:rPr>
            </w:pPr>
          </w:p>
        </w:tc>
        <w:tc>
          <w:tcPr>
            <w:tcW w:w="0" w:type="auto"/>
            <w:gridSpan w:val="9"/>
            <w:tcMar>
              <w:top w:w="30" w:type="dxa"/>
              <w:left w:w="20" w:type="dxa"/>
              <w:bottom w:w="30" w:type="dxa"/>
              <w:right w:w="20" w:type="dxa"/>
            </w:tcMar>
            <w:vAlign w:val="bottom"/>
            <w:hideMark/>
          </w:tcPr>
          <w:p w14:paraId="74112220" w14:textId="77777777" w:rsidR="00000000" w:rsidRDefault="00C01C43">
            <w:pPr>
              <w:jc w:val="center"/>
              <w:rPr>
                <w:rFonts w:eastAsia="Times New Roman"/>
              </w:rPr>
            </w:pPr>
            <w:r>
              <w:rPr>
                <w:rFonts w:ascii="Arial" w:eastAsia="Times New Roman" w:hAnsi="Arial" w:cs="Arial"/>
                <w:b/>
                <w:bCs/>
                <w:color w:val="000000"/>
                <w:sz w:val="16"/>
                <w:szCs w:val="16"/>
              </w:rPr>
              <w:t>As of December 31, 2019</w:t>
            </w:r>
          </w:p>
        </w:tc>
      </w:tr>
      <w:tr w:rsidR="00000000" w14:paraId="2C721813" w14:textId="77777777">
        <w:trPr>
          <w:divId w:val="2139105891"/>
        </w:trPr>
        <w:tc>
          <w:tcPr>
            <w:tcW w:w="0" w:type="auto"/>
            <w:gridSpan w:val="3"/>
            <w:tcBorders>
              <w:top w:val="single" w:sz="8" w:space="0" w:color="000000"/>
            </w:tcBorders>
            <w:tcMar>
              <w:top w:w="30" w:type="dxa"/>
              <w:left w:w="20" w:type="dxa"/>
              <w:bottom w:w="30" w:type="dxa"/>
              <w:right w:w="20" w:type="dxa"/>
            </w:tcMar>
            <w:vAlign w:val="bottom"/>
            <w:hideMark/>
          </w:tcPr>
          <w:p w14:paraId="37144D37" w14:textId="77777777" w:rsidR="00000000" w:rsidRDefault="00C01C43">
            <w:pPr>
              <w:jc w:val="center"/>
              <w:rPr>
                <w:rFonts w:eastAsia="Times New Roman"/>
              </w:rPr>
            </w:pPr>
            <w:r>
              <w:rPr>
                <w:rFonts w:ascii="Arial" w:eastAsia="Times New Roman" w:hAnsi="Arial" w:cs="Arial"/>
                <w:b/>
                <w:bCs/>
                <w:color w:val="000000"/>
                <w:sz w:val="16"/>
                <w:szCs w:val="16"/>
              </w:rPr>
              <w:t>Hedge Strategy</w:t>
            </w:r>
          </w:p>
        </w:tc>
        <w:tc>
          <w:tcPr>
            <w:tcW w:w="0" w:type="auto"/>
            <w:gridSpan w:val="3"/>
            <w:tcBorders>
              <w:top w:val="single" w:sz="8" w:space="0" w:color="000000"/>
            </w:tcBorders>
            <w:tcMar>
              <w:top w:w="30" w:type="dxa"/>
              <w:left w:w="20" w:type="dxa"/>
              <w:bottom w:w="30" w:type="dxa"/>
              <w:right w:w="20" w:type="dxa"/>
            </w:tcMar>
            <w:vAlign w:val="bottom"/>
            <w:hideMark/>
          </w:tcPr>
          <w:p w14:paraId="20E2F9AB" w14:textId="77777777" w:rsidR="00000000" w:rsidRDefault="00C01C43">
            <w:pPr>
              <w:jc w:val="center"/>
              <w:rPr>
                <w:rFonts w:eastAsia="Times New Roman"/>
              </w:rPr>
            </w:pPr>
            <w:r>
              <w:rPr>
                <w:rFonts w:ascii="Arial" w:eastAsia="Times New Roman" w:hAnsi="Arial" w:cs="Arial"/>
                <w:b/>
                <w:bCs/>
                <w:color w:val="000000"/>
                <w:sz w:val="16"/>
                <w:szCs w:val="16"/>
              </w:rPr>
              <w:t>Derivative Instrument</w:t>
            </w:r>
          </w:p>
        </w:tc>
        <w:tc>
          <w:tcPr>
            <w:tcW w:w="0" w:type="auto"/>
            <w:gridSpan w:val="3"/>
            <w:tcBorders>
              <w:top w:val="single" w:sz="8" w:space="0" w:color="000000"/>
            </w:tcBorders>
            <w:tcMar>
              <w:top w:w="30" w:type="dxa"/>
              <w:left w:w="20" w:type="dxa"/>
              <w:bottom w:w="30" w:type="dxa"/>
              <w:right w:w="20" w:type="dxa"/>
            </w:tcMar>
            <w:vAlign w:val="bottom"/>
            <w:hideMark/>
          </w:tcPr>
          <w:p w14:paraId="3E90E1EC" w14:textId="77777777" w:rsidR="00000000" w:rsidRDefault="00C01C43">
            <w:pPr>
              <w:jc w:val="center"/>
              <w:rPr>
                <w:rFonts w:eastAsia="Times New Roman"/>
              </w:rPr>
            </w:pPr>
            <w:r>
              <w:rPr>
                <w:rFonts w:ascii="Arial" w:eastAsia="Times New Roman" w:hAnsi="Arial" w:cs="Arial"/>
                <w:b/>
                <w:bCs/>
                <w:color w:val="000000"/>
                <w:sz w:val="16"/>
                <w:szCs w:val="16"/>
              </w:rPr>
              <w:t xml:space="preserve">Settlement </w:t>
            </w:r>
            <w:r>
              <w:rPr>
                <w:rFonts w:ascii="Arial" w:eastAsia="Times New Roman" w:hAnsi="Arial" w:cs="Arial"/>
                <w:b/>
                <w:bCs/>
                <w:color w:val="000000"/>
                <w:sz w:val="16"/>
                <w:szCs w:val="16"/>
              </w:rPr>
              <w:br/>
              <w:t>Period</w:t>
            </w:r>
          </w:p>
        </w:tc>
        <w:tc>
          <w:tcPr>
            <w:tcW w:w="0" w:type="auto"/>
            <w:gridSpan w:val="3"/>
            <w:tcMar>
              <w:top w:w="0" w:type="dxa"/>
              <w:left w:w="20" w:type="dxa"/>
              <w:bottom w:w="0" w:type="dxa"/>
              <w:right w:w="20" w:type="dxa"/>
            </w:tcMar>
            <w:vAlign w:val="center"/>
            <w:hideMark/>
          </w:tcPr>
          <w:p w14:paraId="5737FB8A"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B9D10D" w14:textId="77777777" w:rsidR="00000000" w:rsidRDefault="00C01C43">
            <w:pPr>
              <w:jc w:val="center"/>
              <w:rPr>
                <w:rFonts w:eastAsia="Times New Roman"/>
              </w:rPr>
            </w:pPr>
            <w:r>
              <w:rPr>
                <w:rFonts w:ascii="Arial" w:eastAsia="Times New Roman" w:hAnsi="Arial" w:cs="Arial"/>
                <w:b/>
                <w:bCs/>
                <w:color w:val="000000"/>
                <w:sz w:val="16"/>
                <w:szCs w:val="16"/>
              </w:rPr>
              <w:t xml:space="preserve">Notional </w:t>
            </w:r>
            <w:r>
              <w:rPr>
                <w:rFonts w:ascii="Arial" w:eastAsia="Times New Roman" w:hAnsi="Arial" w:cs="Arial"/>
                <w:b/>
                <w:bCs/>
                <w:color w:val="000000"/>
                <w:sz w:val="16"/>
                <w:szCs w:val="16"/>
              </w:rPr>
              <w:br/>
              <w:t xml:space="preserve">Net </w:t>
            </w:r>
            <w:r>
              <w:rPr>
                <w:rFonts w:ascii="Arial" w:eastAsia="Times New Roman" w:hAnsi="Arial" w:cs="Arial"/>
                <w:b/>
                <w:bCs/>
                <w:color w:val="000000"/>
                <w:sz w:val="16"/>
                <w:szCs w:val="16"/>
              </w:rPr>
              <w:br/>
              <w:t>Long/</w:t>
            </w:r>
            <w:r>
              <w:rPr>
                <w:rFonts w:ascii="Arial" w:eastAsia="Times New Roman" w:hAnsi="Arial" w:cs="Arial"/>
                <w:b/>
                <w:bCs/>
                <w:color w:val="000000"/>
                <w:sz w:val="16"/>
                <w:szCs w:val="16"/>
              </w:rPr>
              <w:br/>
              <w:t>(Short)</w:t>
            </w:r>
          </w:p>
        </w:tc>
        <w:tc>
          <w:tcPr>
            <w:tcW w:w="0" w:type="auto"/>
            <w:gridSpan w:val="3"/>
            <w:tcBorders>
              <w:top w:val="single" w:sz="8" w:space="0" w:color="000000"/>
            </w:tcBorders>
            <w:tcMar>
              <w:top w:w="30" w:type="dxa"/>
              <w:left w:w="20" w:type="dxa"/>
              <w:bottom w:w="30" w:type="dxa"/>
              <w:right w:w="20" w:type="dxa"/>
            </w:tcMar>
            <w:vAlign w:val="bottom"/>
            <w:hideMark/>
          </w:tcPr>
          <w:p w14:paraId="08959321" w14:textId="77777777" w:rsidR="00000000" w:rsidRDefault="00C01C43">
            <w:pPr>
              <w:jc w:val="center"/>
              <w:rPr>
                <w:rFonts w:eastAsia="Times New Roman"/>
              </w:rPr>
            </w:pPr>
            <w:r>
              <w:rPr>
                <w:rFonts w:ascii="Arial" w:eastAsia="Times New Roman" w:hAnsi="Arial" w:cs="Arial"/>
                <w:b/>
                <w:bCs/>
                <w:color w:val="000000"/>
                <w:sz w:val="16"/>
                <w:szCs w:val="16"/>
              </w:rPr>
              <w:t xml:space="preserve">Weighted </w:t>
            </w:r>
            <w:r>
              <w:rPr>
                <w:rFonts w:ascii="Arial" w:eastAsia="Times New Roman" w:hAnsi="Arial" w:cs="Arial"/>
                <w:b/>
                <w:bCs/>
                <w:color w:val="000000"/>
                <w:sz w:val="16"/>
                <w:szCs w:val="16"/>
              </w:rPr>
              <w:br/>
              <w:t xml:space="preserve">Average </w:t>
            </w:r>
            <w:r>
              <w:rPr>
                <w:rFonts w:ascii="Arial" w:eastAsia="Times New Roman" w:hAnsi="Arial" w:cs="Arial"/>
                <w:b/>
                <w:bCs/>
                <w:color w:val="000000"/>
                <w:sz w:val="16"/>
                <w:szCs w:val="16"/>
              </w:rPr>
              <w:br/>
              <w:t xml:space="preserve">Contract </w:t>
            </w:r>
            <w:r>
              <w:rPr>
                <w:rFonts w:ascii="Arial" w:eastAsia="Times New Roman" w:hAnsi="Arial" w:cs="Arial"/>
                <w:b/>
                <w:bCs/>
                <w:color w:val="000000"/>
                <w:sz w:val="16"/>
                <w:szCs w:val="16"/>
              </w:rPr>
              <w:br/>
              <w:t>Price</w:t>
            </w:r>
          </w:p>
        </w:tc>
        <w:tc>
          <w:tcPr>
            <w:tcW w:w="0" w:type="auto"/>
            <w:gridSpan w:val="3"/>
            <w:tcBorders>
              <w:top w:val="single" w:sz="8" w:space="0" w:color="000000"/>
            </w:tcBorders>
            <w:tcMar>
              <w:top w:w="30" w:type="dxa"/>
              <w:left w:w="20" w:type="dxa"/>
              <w:bottom w:w="30" w:type="dxa"/>
              <w:right w:w="20" w:type="dxa"/>
            </w:tcMar>
            <w:vAlign w:val="bottom"/>
            <w:hideMark/>
          </w:tcPr>
          <w:p w14:paraId="6D39FD53" w14:textId="77777777" w:rsidR="00000000" w:rsidRDefault="00C01C43">
            <w:pPr>
              <w:jc w:val="center"/>
              <w:rPr>
                <w:rFonts w:eastAsia="Times New Roman"/>
              </w:rPr>
            </w:pPr>
            <w:r>
              <w:rPr>
                <w:rFonts w:ascii="Arial" w:eastAsia="Times New Roman" w:hAnsi="Arial" w:cs="Arial"/>
                <w:b/>
                <w:bCs/>
                <w:color w:val="000000"/>
                <w:sz w:val="16"/>
                <w:szCs w:val="16"/>
              </w:rPr>
              <w:t xml:space="preserve">Fair </w:t>
            </w:r>
            <w:r>
              <w:rPr>
                <w:rFonts w:ascii="Arial" w:eastAsia="Times New Roman" w:hAnsi="Arial" w:cs="Arial"/>
                <w:b/>
                <w:bCs/>
                <w:color w:val="000000"/>
                <w:sz w:val="16"/>
                <w:szCs w:val="16"/>
              </w:rPr>
              <w:br/>
              <w:t>Value</w:t>
            </w:r>
            <w:r>
              <w:rPr>
                <w:rFonts w:ascii="Arial" w:eastAsia="Times New Roman" w:hAnsi="Arial" w:cs="Arial"/>
                <w:b/>
                <w:bCs/>
                <w:color w:val="000000"/>
                <w:sz w:val="16"/>
                <w:szCs w:val="16"/>
              </w:rPr>
              <w:br/>
              <w:t>Amount</w:t>
            </w:r>
          </w:p>
        </w:tc>
        <w:tc>
          <w:tcPr>
            <w:tcW w:w="0" w:type="auto"/>
            <w:gridSpan w:val="3"/>
            <w:tcMar>
              <w:top w:w="0" w:type="dxa"/>
              <w:left w:w="20" w:type="dxa"/>
              <w:bottom w:w="0" w:type="dxa"/>
              <w:right w:w="20" w:type="dxa"/>
            </w:tcMar>
            <w:vAlign w:val="center"/>
            <w:hideMark/>
          </w:tcPr>
          <w:p w14:paraId="64B85D06"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D5A366" w14:textId="77777777" w:rsidR="00000000" w:rsidRDefault="00C01C43">
            <w:pPr>
              <w:jc w:val="center"/>
              <w:rPr>
                <w:rFonts w:eastAsia="Times New Roman"/>
              </w:rPr>
            </w:pPr>
            <w:r>
              <w:rPr>
                <w:rFonts w:ascii="Arial" w:eastAsia="Times New Roman" w:hAnsi="Arial" w:cs="Arial"/>
                <w:b/>
                <w:bCs/>
                <w:color w:val="000000"/>
                <w:sz w:val="16"/>
                <w:szCs w:val="16"/>
              </w:rPr>
              <w:t xml:space="preserve">Notional </w:t>
            </w:r>
            <w:r>
              <w:rPr>
                <w:rFonts w:ascii="Arial" w:eastAsia="Times New Roman" w:hAnsi="Arial" w:cs="Arial"/>
                <w:b/>
                <w:bCs/>
                <w:color w:val="000000"/>
                <w:sz w:val="16"/>
                <w:szCs w:val="16"/>
              </w:rPr>
              <w:br/>
              <w:t xml:space="preserve">Net </w:t>
            </w:r>
            <w:r>
              <w:rPr>
                <w:rFonts w:ascii="Arial" w:eastAsia="Times New Roman" w:hAnsi="Arial" w:cs="Arial"/>
                <w:b/>
                <w:bCs/>
                <w:color w:val="000000"/>
                <w:sz w:val="16"/>
                <w:szCs w:val="16"/>
              </w:rPr>
              <w:br/>
              <w:t>Long/</w:t>
            </w:r>
            <w:r>
              <w:rPr>
                <w:rFonts w:ascii="Arial" w:eastAsia="Times New Roman" w:hAnsi="Arial" w:cs="Arial"/>
                <w:b/>
                <w:bCs/>
                <w:color w:val="000000"/>
                <w:sz w:val="16"/>
                <w:szCs w:val="16"/>
              </w:rPr>
              <w:br/>
              <w:t>(Short)</w:t>
            </w:r>
          </w:p>
        </w:tc>
        <w:tc>
          <w:tcPr>
            <w:tcW w:w="0" w:type="auto"/>
            <w:gridSpan w:val="3"/>
            <w:tcBorders>
              <w:top w:val="single" w:sz="8" w:space="0" w:color="000000"/>
            </w:tcBorders>
            <w:tcMar>
              <w:top w:w="30" w:type="dxa"/>
              <w:left w:w="20" w:type="dxa"/>
              <w:bottom w:w="30" w:type="dxa"/>
              <w:right w:w="20" w:type="dxa"/>
            </w:tcMar>
            <w:vAlign w:val="bottom"/>
            <w:hideMark/>
          </w:tcPr>
          <w:p w14:paraId="11EA28F8" w14:textId="77777777" w:rsidR="00000000" w:rsidRDefault="00C01C43">
            <w:pPr>
              <w:jc w:val="center"/>
              <w:rPr>
                <w:rFonts w:eastAsia="Times New Roman"/>
              </w:rPr>
            </w:pPr>
            <w:r>
              <w:rPr>
                <w:rFonts w:ascii="Arial" w:eastAsia="Times New Roman" w:hAnsi="Arial" w:cs="Arial"/>
                <w:b/>
                <w:bCs/>
                <w:color w:val="000000"/>
                <w:sz w:val="16"/>
                <w:szCs w:val="16"/>
              </w:rPr>
              <w:t xml:space="preserve">Weighted </w:t>
            </w:r>
            <w:r>
              <w:rPr>
                <w:rFonts w:ascii="Arial" w:eastAsia="Times New Roman" w:hAnsi="Arial" w:cs="Arial"/>
                <w:b/>
                <w:bCs/>
                <w:color w:val="000000"/>
                <w:sz w:val="16"/>
                <w:szCs w:val="16"/>
              </w:rPr>
              <w:br/>
              <w:t xml:space="preserve">Average </w:t>
            </w:r>
            <w:r>
              <w:rPr>
                <w:rFonts w:ascii="Arial" w:eastAsia="Times New Roman" w:hAnsi="Arial" w:cs="Arial"/>
                <w:b/>
                <w:bCs/>
                <w:color w:val="000000"/>
                <w:sz w:val="16"/>
                <w:szCs w:val="16"/>
              </w:rPr>
              <w:br/>
              <w:t xml:space="preserve">Contract </w:t>
            </w:r>
            <w:r>
              <w:rPr>
                <w:rFonts w:ascii="Arial" w:eastAsia="Times New Roman" w:hAnsi="Arial" w:cs="Arial"/>
                <w:b/>
                <w:bCs/>
                <w:color w:val="000000"/>
                <w:sz w:val="16"/>
                <w:szCs w:val="16"/>
              </w:rPr>
              <w:br/>
            </w:r>
            <w:r>
              <w:rPr>
                <w:rFonts w:ascii="Arial" w:eastAsia="Times New Roman" w:hAnsi="Arial" w:cs="Arial"/>
                <w:b/>
                <w:bCs/>
                <w:color w:val="000000"/>
                <w:sz w:val="16"/>
                <w:szCs w:val="16"/>
              </w:rPr>
              <w:t>Price</w:t>
            </w:r>
          </w:p>
        </w:tc>
        <w:tc>
          <w:tcPr>
            <w:tcW w:w="0" w:type="auto"/>
            <w:gridSpan w:val="3"/>
            <w:tcBorders>
              <w:top w:val="single" w:sz="8" w:space="0" w:color="000000"/>
            </w:tcBorders>
            <w:tcMar>
              <w:top w:w="30" w:type="dxa"/>
              <w:left w:w="20" w:type="dxa"/>
              <w:bottom w:w="30" w:type="dxa"/>
              <w:right w:w="20" w:type="dxa"/>
            </w:tcMar>
            <w:vAlign w:val="bottom"/>
            <w:hideMark/>
          </w:tcPr>
          <w:p w14:paraId="5F326C50" w14:textId="77777777" w:rsidR="00000000" w:rsidRDefault="00C01C43">
            <w:pPr>
              <w:jc w:val="center"/>
              <w:rPr>
                <w:rFonts w:eastAsia="Times New Roman"/>
              </w:rPr>
            </w:pPr>
            <w:r>
              <w:rPr>
                <w:rFonts w:ascii="Arial" w:eastAsia="Times New Roman" w:hAnsi="Arial" w:cs="Arial"/>
                <w:b/>
                <w:bCs/>
                <w:color w:val="000000"/>
                <w:sz w:val="16"/>
                <w:szCs w:val="16"/>
              </w:rPr>
              <w:t xml:space="preserve">Fair </w:t>
            </w:r>
            <w:r>
              <w:rPr>
                <w:rFonts w:ascii="Arial" w:eastAsia="Times New Roman" w:hAnsi="Arial" w:cs="Arial"/>
                <w:b/>
                <w:bCs/>
                <w:color w:val="000000"/>
                <w:sz w:val="16"/>
                <w:szCs w:val="16"/>
              </w:rPr>
              <w:br/>
              <w:t>Value</w:t>
            </w:r>
            <w:r>
              <w:rPr>
                <w:rFonts w:ascii="Arial" w:eastAsia="Times New Roman" w:hAnsi="Arial" w:cs="Arial"/>
                <w:b/>
                <w:bCs/>
                <w:color w:val="000000"/>
                <w:sz w:val="16"/>
                <w:szCs w:val="16"/>
              </w:rPr>
              <w:br/>
              <w:t>Amount</w:t>
            </w:r>
          </w:p>
        </w:tc>
      </w:tr>
      <w:tr w:rsidR="00000000" w14:paraId="6836F24B" w14:textId="77777777">
        <w:trPr>
          <w:divId w:val="213910589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01250AB" w14:textId="77777777" w:rsidR="00000000" w:rsidRDefault="00C01C43">
            <w:pPr>
              <w:rPr>
                <w:rFonts w:eastAsia="Times New Roman"/>
              </w:rPr>
            </w:pPr>
            <w:r>
              <w:rPr>
                <w:rFonts w:ascii="Arial" w:eastAsia="Times New Roman" w:hAnsi="Arial" w:cs="Arial"/>
                <w:color w:val="000000"/>
                <w:sz w:val="18"/>
                <w:szCs w:val="18"/>
              </w:rPr>
              <w:t>Designated hedge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AD79B3" w14:textId="77777777" w:rsidR="00000000" w:rsidRDefault="00C01C43">
            <w:pPr>
              <w:rPr>
                <w:rFonts w:eastAsia="Times New Roman"/>
              </w:rPr>
            </w:pPr>
            <w:r>
              <w:rPr>
                <w:rFonts w:ascii="Arial" w:eastAsia="Times New Roman" w:hAnsi="Arial" w:cs="Arial"/>
                <w:color w:val="000000"/>
                <w:sz w:val="18"/>
                <w:szCs w:val="18"/>
              </w:rPr>
              <w:t>Commodity contracts hedging inventory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F22B01B" w14:textId="77777777" w:rsidR="00000000" w:rsidRDefault="00C01C43">
            <w:pPr>
              <w:jc w:val="right"/>
              <w:rPr>
                <w:rFonts w:eastAsia="Times New Roman"/>
              </w:rPr>
            </w:pPr>
            <w:r>
              <w:rPr>
                <w:rFonts w:ascii="Arial" w:eastAsia="Times New Roman" w:hAnsi="Arial" w:cs="Arial"/>
                <w:color w:val="000000"/>
                <w:sz w:val="18"/>
                <w:szCs w:val="18"/>
              </w:rPr>
              <w:t>2020</w:t>
            </w:r>
          </w:p>
        </w:tc>
        <w:tc>
          <w:tcPr>
            <w:tcW w:w="0" w:type="auto"/>
            <w:gridSpan w:val="3"/>
            <w:shd w:val="clear" w:color="auto" w:fill="CCEEFF"/>
            <w:tcMar>
              <w:top w:w="0" w:type="dxa"/>
              <w:left w:w="20" w:type="dxa"/>
              <w:bottom w:w="0" w:type="dxa"/>
              <w:right w:w="20" w:type="dxa"/>
            </w:tcMar>
            <w:vAlign w:val="center"/>
            <w:hideMark/>
          </w:tcPr>
          <w:p w14:paraId="10CABAC0" w14:textId="77777777" w:rsidR="00000000" w:rsidRDefault="00C01C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6B2167"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ED5B76" w14:textId="77777777" w:rsidR="00000000" w:rsidRDefault="00C01C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DA9F0C" w14:textId="77777777" w:rsidR="00000000" w:rsidRDefault="00C01C43">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147FC1"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75D446" w14:textId="77777777" w:rsidR="00000000" w:rsidRDefault="00C01C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5D4E02" w14:textId="77777777" w:rsidR="00000000" w:rsidRDefault="00C01C43">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866EA0"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4EF06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69780E"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2FACB7" w14:textId="77777777" w:rsidR="00000000" w:rsidRDefault="00C01C43">
            <w:pPr>
              <w:jc w:val="right"/>
              <w:rPr>
                <w:rFonts w:eastAsia="Times New Roman"/>
              </w:rPr>
            </w:pPr>
            <w:r>
              <w:rPr>
                <w:rFonts w:ascii="Arial" w:eastAsia="Times New Roman" w:hAnsi="Arial" w:cs="Arial"/>
                <w:color w:val="000000"/>
                <w:sz w:val="18"/>
                <w:szCs w:val="18"/>
              </w:rPr>
              <w:t>(4.1)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01DD72" w14:textId="77777777" w:rsidR="00000000" w:rsidRDefault="00C01C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9926A6" w14:textId="77777777" w:rsidR="00000000" w:rsidRDefault="00C01C43">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6C65AE" w14:textId="77777777" w:rsidR="00000000" w:rsidRDefault="00C01C43">
            <w:pPr>
              <w:jc w:val="right"/>
              <w:rPr>
                <w:rFonts w:eastAsia="Times New Roman"/>
              </w:rPr>
            </w:pPr>
            <w:r>
              <w:rPr>
                <w:rFonts w:ascii="Arial" w:eastAsia="Times New Roman" w:hAnsi="Arial" w:cs="Arial"/>
                <w:color w:val="000000"/>
                <w:sz w:val="18"/>
                <w:szCs w:val="18"/>
              </w:rPr>
              <w:t>79.910 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85809B" w14:textId="77777777" w:rsidR="00000000" w:rsidRDefault="00C01C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A37D38" w14:textId="77777777" w:rsidR="00000000" w:rsidRDefault="00C01C43">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07AF0C" w14:textId="77777777" w:rsidR="00000000" w:rsidRDefault="00C01C43">
            <w:pPr>
              <w:jc w:val="right"/>
              <w:rPr>
                <w:rFonts w:eastAsia="Times New Roman"/>
              </w:rPr>
            </w:pPr>
            <w:r>
              <w:rPr>
                <w:rFonts w:ascii="Arial" w:eastAsia="Times New Roman" w:hAnsi="Arial" w:cs="Arial"/>
                <w:color w:val="000000"/>
                <w:sz w:val="18"/>
                <w:szCs w:val="18"/>
              </w:rPr>
              <w:t>(18.3)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D35A2B" w14:textId="77777777" w:rsidR="00000000" w:rsidRDefault="00C01C43">
            <w:pPr>
              <w:jc w:val="right"/>
              <w:rPr>
                <w:rFonts w:eastAsia="Times New Roman"/>
              </w:rPr>
            </w:pPr>
          </w:p>
        </w:tc>
      </w:tr>
      <w:tr w:rsidR="00000000" w14:paraId="1BE2C33E" w14:textId="77777777">
        <w:trPr>
          <w:divId w:val="2139105891"/>
        </w:trPr>
        <w:tc>
          <w:tcPr>
            <w:tcW w:w="0" w:type="auto"/>
            <w:gridSpan w:val="3"/>
            <w:shd w:val="clear" w:color="auto" w:fill="FFFFFF"/>
            <w:tcMar>
              <w:top w:w="0" w:type="dxa"/>
              <w:left w:w="20" w:type="dxa"/>
              <w:bottom w:w="0" w:type="dxa"/>
              <w:right w:w="20" w:type="dxa"/>
            </w:tcMar>
            <w:vAlign w:val="center"/>
            <w:hideMark/>
          </w:tcPr>
          <w:p w14:paraId="1EFA1CD0"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300ACF" w14:textId="77777777" w:rsidR="00000000" w:rsidRDefault="00C01C4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A1BB0B1" w14:textId="77777777" w:rsidR="00000000" w:rsidRDefault="00C01C43">
            <w:pPr>
              <w:jc w:val="right"/>
              <w:rPr>
                <w:rFonts w:eastAsia="Times New Roman"/>
              </w:rPr>
            </w:pPr>
            <w:r>
              <w:rPr>
                <w:rFonts w:ascii="Arial" w:eastAsia="Times New Roman" w:hAnsi="Arial" w:cs="Arial"/>
                <w:color w:val="000000"/>
                <w:sz w:val="18"/>
                <w:szCs w:val="18"/>
              </w:rPr>
              <w:t>2021</w:t>
            </w:r>
          </w:p>
        </w:tc>
        <w:tc>
          <w:tcPr>
            <w:tcW w:w="0" w:type="auto"/>
            <w:gridSpan w:val="3"/>
            <w:shd w:val="clear" w:color="auto" w:fill="FFFFFF"/>
            <w:tcMar>
              <w:top w:w="0" w:type="dxa"/>
              <w:left w:w="20" w:type="dxa"/>
              <w:bottom w:w="0" w:type="dxa"/>
              <w:right w:w="20" w:type="dxa"/>
            </w:tcMar>
            <w:vAlign w:val="center"/>
            <w:hideMark/>
          </w:tcPr>
          <w:p w14:paraId="73565C20"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19320F" w14:textId="77777777" w:rsidR="00000000" w:rsidRDefault="00C01C43">
            <w:pPr>
              <w:jc w:val="right"/>
              <w:rPr>
                <w:rFonts w:eastAsia="Times New Roman"/>
              </w:rPr>
            </w:pPr>
            <w:r>
              <w:rPr>
                <w:rFonts w:ascii="Arial" w:eastAsia="Times New Roman" w:hAnsi="Arial" w:cs="Arial"/>
                <w:color w:val="000000"/>
                <w:sz w:val="18"/>
                <w:szCs w:val="18"/>
              </w:rPr>
              <w:t>(3.3)</w:t>
            </w:r>
          </w:p>
        </w:tc>
        <w:tc>
          <w:tcPr>
            <w:tcW w:w="0" w:type="auto"/>
            <w:shd w:val="clear" w:color="auto" w:fill="FFFFFF"/>
            <w:tcMar>
              <w:top w:w="30" w:type="dxa"/>
              <w:left w:w="0" w:type="dxa"/>
              <w:bottom w:w="30" w:type="dxa"/>
              <w:right w:w="20" w:type="dxa"/>
            </w:tcMar>
            <w:vAlign w:val="bottom"/>
            <w:hideMark/>
          </w:tcPr>
          <w:p w14:paraId="08A23BCD"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DCCC7D" w14:textId="77777777" w:rsidR="00000000" w:rsidRDefault="00C01C43">
            <w:pPr>
              <w:jc w:val="right"/>
              <w:rPr>
                <w:rFonts w:eastAsia="Times New Roman"/>
              </w:rPr>
            </w:pPr>
            <w:r>
              <w:rPr>
                <w:rFonts w:ascii="Arial" w:eastAsia="Times New Roman" w:hAnsi="Arial" w:cs="Arial"/>
                <w:color w:val="000000"/>
                <w:sz w:val="18"/>
                <w:szCs w:val="18"/>
              </w:rPr>
              <w:t>53.291 </w:t>
            </w:r>
          </w:p>
        </w:tc>
        <w:tc>
          <w:tcPr>
            <w:tcW w:w="0" w:type="auto"/>
            <w:shd w:val="clear" w:color="auto" w:fill="FFFFFF"/>
            <w:tcMar>
              <w:top w:w="30" w:type="dxa"/>
              <w:left w:w="0" w:type="dxa"/>
              <w:bottom w:w="30" w:type="dxa"/>
              <w:right w:w="20" w:type="dxa"/>
            </w:tcMar>
            <w:vAlign w:val="bottom"/>
            <w:hideMark/>
          </w:tcPr>
          <w:p w14:paraId="7B9DA6E8"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1907C4" w14:textId="77777777" w:rsidR="00000000" w:rsidRDefault="00C01C43">
            <w:pPr>
              <w:jc w:val="right"/>
              <w:rPr>
                <w:rFonts w:eastAsia="Times New Roman"/>
              </w:rPr>
            </w:pPr>
            <w:r>
              <w:rPr>
                <w:rFonts w:ascii="Arial" w:eastAsia="Times New Roman" w:hAnsi="Arial" w:cs="Arial"/>
                <w:color w:val="000000"/>
                <w:sz w:val="18"/>
                <w:szCs w:val="18"/>
              </w:rPr>
              <w:t>2.9 </w:t>
            </w:r>
          </w:p>
        </w:tc>
        <w:tc>
          <w:tcPr>
            <w:tcW w:w="0" w:type="auto"/>
            <w:shd w:val="clear" w:color="auto" w:fill="FFFFFF"/>
            <w:tcMar>
              <w:top w:w="30" w:type="dxa"/>
              <w:left w:w="0" w:type="dxa"/>
              <w:bottom w:w="30" w:type="dxa"/>
              <w:right w:w="20" w:type="dxa"/>
            </w:tcMar>
            <w:vAlign w:val="bottom"/>
            <w:hideMark/>
          </w:tcPr>
          <w:p w14:paraId="5D4BE33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875D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AEAB07"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4EE3FC2A"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4DC22F" w14:textId="77777777" w:rsidR="00000000" w:rsidRDefault="00C01C43">
            <w:pPr>
              <w:jc w:val="right"/>
              <w:rPr>
                <w:rFonts w:eastAsia="Times New Roman"/>
              </w:rPr>
            </w:pPr>
            <w:r>
              <w:rPr>
                <w:rFonts w:ascii="Arial" w:eastAsia="Times New Roman" w:hAnsi="Arial" w:cs="Arial"/>
                <w:color w:val="000000"/>
                <w:sz w:val="18"/>
                <w:szCs w:val="18"/>
              </w:rPr>
              <w:t>76.148 </w:t>
            </w:r>
          </w:p>
        </w:tc>
        <w:tc>
          <w:tcPr>
            <w:tcW w:w="0" w:type="auto"/>
            <w:shd w:val="clear" w:color="auto" w:fill="FFFFFF"/>
            <w:tcMar>
              <w:top w:w="30" w:type="dxa"/>
              <w:left w:w="0" w:type="dxa"/>
              <w:bottom w:w="30" w:type="dxa"/>
              <w:right w:w="20" w:type="dxa"/>
            </w:tcMar>
            <w:vAlign w:val="bottom"/>
            <w:hideMark/>
          </w:tcPr>
          <w:p w14:paraId="111F4045"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F15D92"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249FA752" w14:textId="77777777" w:rsidR="00000000" w:rsidRDefault="00C01C43">
            <w:pPr>
              <w:jc w:val="right"/>
              <w:rPr>
                <w:rFonts w:eastAsia="Times New Roman"/>
              </w:rPr>
            </w:pPr>
          </w:p>
        </w:tc>
      </w:tr>
      <w:tr w:rsidR="00000000" w14:paraId="65597221" w14:textId="77777777">
        <w:trPr>
          <w:divId w:val="2139105891"/>
        </w:trPr>
        <w:tc>
          <w:tcPr>
            <w:tcW w:w="0" w:type="auto"/>
            <w:gridSpan w:val="3"/>
            <w:shd w:val="clear" w:color="auto" w:fill="CCEEFF"/>
            <w:tcMar>
              <w:top w:w="0" w:type="dxa"/>
              <w:left w:w="20" w:type="dxa"/>
              <w:bottom w:w="0" w:type="dxa"/>
              <w:right w:w="20" w:type="dxa"/>
            </w:tcMar>
            <w:vAlign w:val="center"/>
            <w:hideMark/>
          </w:tcPr>
          <w:p w14:paraId="6568DBD1"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C5C6E8" w14:textId="77777777" w:rsidR="00000000" w:rsidRDefault="00C01C4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86C6DEC" w14:textId="77777777" w:rsidR="00000000" w:rsidRDefault="00C01C43">
            <w:pPr>
              <w:jc w:val="right"/>
              <w:rPr>
                <w:rFonts w:eastAsia="Times New Roman"/>
              </w:rPr>
            </w:pPr>
            <w:r>
              <w:rPr>
                <w:rFonts w:ascii="Arial" w:eastAsia="Times New Roman" w:hAnsi="Arial" w:cs="Arial"/>
                <w:color w:val="000000"/>
                <w:sz w:val="18"/>
                <w:szCs w:val="18"/>
              </w:rPr>
              <w:t>2022</w:t>
            </w:r>
          </w:p>
        </w:tc>
        <w:tc>
          <w:tcPr>
            <w:tcW w:w="0" w:type="auto"/>
            <w:gridSpan w:val="3"/>
            <w:shd w:val="clear" w:color="auto" w:fill="CCEEFF"/>
            <w:tcMar>
              <w:top w:w="0" w:type="dxa"/>
              <w:left w:w="20" w:type="dxa"/>
              <w:bottom w:w="0" w:type="dxa"/>
              <w:right w:w="20" w:type="dxa"/>
            </w:tcMar>
            <w:vAlign w:val="center"/>
            <w:hideMark/>
          </w:tcPr>
          <w:p w14:paraId="72C1E70D"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C9D948" w14:textId="77777777" w:rsidR="00000000" w:rsidRDefault="00C01C43">
            <w:pPr>
              <w:jc w:val="right"/>
              <w:rPr>
                <w:rFonts w:eastAsia="Times New Roman"/>
              </w:rPr>
            </w:pPr>
            <w:r>
              <w:rPr>
                <w:rFonts w:ascii="Arial" w:eastAsia="Times New Roman" w:hAnsi="Arial" w:cs="Arial"/>
                <w:color w:val="000000"/>
                <w:sz w:val="18"/>
                <w:szCs w:val="18"/>
              </w:rPr>
              <w:t>(0.1)</w:t>
            </w:r>
          </w:p>
        </w:tc>
        <w:tc>
          <w:tcPr>
            <w:tcW w:w="0" w:type="auto"/>
            <w:shd w:val="clear" w:color="auto" w:fill="CCEEFF"/>
            <w:tcMar>
              <w:top w:w="30" w:type="dxa"/>
              <w:left w:w="0" w:type="dxa"/>
              <w:bottom w:w="30" w:type="dxa"/>
              <w:right w:w="20" w:type="dxa"/>
            </w:tcMar>
            <w:vAlign w:val="bottom"/>
            <w:hideMark/>
          </w:tcPr>
          <w:p w14:paraId="41A166DD"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F3FF9A" w14:textId="77777777" w:rsidR="00000000" w:rsidRDefault="00C01C43">
            <w:pPr>
              <w:jc w:val="right"/>
              <w:rPr>
                <w:rFonts w:eastAsia="Times New Roman"/>
              </w:rPr>
            </w:pPr>
            <w:r>
              <w:rPr>
                <w:rFonts w:ascii="Arial" w:eastAsia="Times New Roman" w:hAnsi="Arial" w:cs="Arial"/>
                <w:color w:val="000000"/>
                <w:sz w:val="18"/>
                <w:szCs w:val="18"/>
              </w:rPr>
              <w:t>54.256 </w:t>
            </w:r>
          </w:p>
        </w:tc>
        <w:tc>
          <w:tcPr>
            <w:tcW w:w="0" w:type="auto"/>
            <w:shd w:val="clear" w:color="auto" w:fill="CCEEFF"/>
            <w:tcMar>
              <w:top w:w="30" w:type="dxa"/>
              <w:left w:w="0" w:type="dxa"/>
              <w:bottom w:w="30" w:type="dxa"/>
              <w:right w:w="20" w:type="dxa"/>
            </w:tcMar>
            <w:vAlign w:val="bottom"/>
            <w:hideMark/>
          </w:tcPr>
          <w:p w14:paraId="16A1B68D"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E4FF83" w14:textId="77777777" w:rsidR="00000000" w:rsidRDefault="00C01C43">
            <w:pPr>
              <w:jc w:val="right"/>
              <w:rPr>
                <w:rFonts w:eastAsia="Times New Roman"/>
              </w:rPr>
            </w:pPr>
            <w:r>
              <w:rPr>
                <w:rFonts w:ascii="Arial" w:eastAsia="Times New Roman" w:hAnsi="Arial" w:cs="Arial"/>
                <w:color w:val="000000"/>
                <w:sz w:val="18"/>
                <w:szCs w:val="18"/>
              </w:rPr>
              <w:t>(0.4)</w:t>
            </w:r>
          </w:p>
        </w:tc>
        <w:tc>
          <w:tcPr>
            <w:tcW w:w="0" w:type="auto"/>
            <w:shd w:val="clear" w:color="auto" w:fill="CCEEFF"/>
            <w:tcMar>
              <w:top w:w="30" w:type="dxa"/>
              <w:left w:w="0" w:type="dxa"/>
              <w:bottom w:w="30" w:type="dxa"/>
              <w:right w:w="20" w:type="dxa"/>
            </w:tcMar>
            <w:vAlign w:val="bottom"/>
            <w:hideMark/>
          </w:tcPr>
          <w:p w14:paraId="702B189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5AFDB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C463C4"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14:paraId="723453EE"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84C9DF"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14:paraId="6D4145F4"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258897"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14:paraId="46F5F8E0" w14:textId="77777777" w:rsidR="00000000" w:rsidRDefault="00C01C43">
            <w:pPr>
              <w:jc w:val="right"/>
              <w:rPr>
                <w:rFonts w:eastAsia="Times New Roman"/>
              </w:rPr>
            </w:pPr>
          </w:p>
        </w:tc>
      </w:tr>
      <w:tr w:rsidR="00000000" w14:paraId="13C78298" w14:textId="77777777">
        <w:trPr>
          <w:divId w:val="2139105891"/>
        </w:trPr>
        <w:tc>
          <w:tcPr>
            <w:tcW w:w="0" w:type="auto"/>
            <w:gridSpan w:val="3"/>
            <w:vAlign w:val="center"/>
            <w:hideMark/>
          </w:tcPr>
          <w:p w14:paraId="337C4424" w14:textId="77777777" w:rsidR="00000000" w:rsidRDefault="00C01C43">
            <w:pPr>
              <w:jc w:val="right"/>
              <w:rPr>
                <w:rFonts w:eastAsia="Times New Roman"/>
                <w:sz w:val="20"/>
                <w:szCs w:val="20"/>
              </w:rPr>
            </w:pPr>
          </w:p>
        </w:tc>
        <w:tc>
          <w:tcPr>
            <w:tcW w:w="0" w:type="auto"/>
            <w:gridSpan w:val="3"/>
            <w:vAlign w:val="center"/>
            <w:hideMark/>
          </w:tcPr>
          <w:p w14:paraId="414EDEFD" w14:textId="77777777" w:rsidR="00000000" w:rsidRDefault="00C01C43">
            <w:pPr>
              <w:rPr>
                <w:rFonts w:eastAsia="Times New Roman"/>
                <w:sz w:val="20"/>
                <w:szCs w:val="20"/>
              </w:rPr>
            </w:pPr>
          </w:p>
        </w:tc>
        <w:tc>
          <w:tcPr>
            <w:tcW w:w="0" w:type="auto"/>
            <w:gridSpan w:val="3"/>
            <w:vAlign w:val="center"/>
            <w:hideMark/>
          </w:tcPr>
          <w:p w14:paraId="09CD5572" w14:textId="77777777" w:rsidR="00000000" w:rsidRDefault="00C01C43">
            <w:pPr>
              <w:rPr>
                <w:rFonts w:eastAsia="Times New Roman"/>
                <w:sz w:val="20"/>
                <w:szCs w:val="20"/>
              </w:rPr>
            </w:pPr>
          </w:p>
        </w:tc>
        <w:tc>
          <w:tcPr>
            <w:tcW w:w="0" w:type="auto"/>
            <w:gridSpan w:val="3"/>
            <w:vAlign w:val="center"/>
            <w:hideMark/>
          </w:tcPr>
          <w:p w14:paraId="2553BF79" w14:textId="77777777" w:rsidR="00000000" w:rsidRDefault="00C01C43">
            <w:pPr>
              <w:rPr>
                <w:rFonts w:eastAsia="Times New Roman"/>
                <w:sz w:val="20"/>
                <w:szCs w:val="20"/>
              </w:rPr>
            </w:pPr>
          </w:p>
        </w:tc>
        <w:tc>
          <w:tcPr>
            <w:tcW w:w="0" w:type="auto"/>
            <w:gridSpan w:val="3"/>
            <w:vAlign w:val="center"/>
            <w:hideMark/>
          </w:tcPr>
          <w:p w14:paraId="18E53C42" w14:textId="77777777" w:rsidR="00000000" w:rsidRDefault="00C01C43">
            <w:pPr>
              <w:rPr>
                <w:rFonts w:eastAsia="Times New Roman"/>
                <w:sz w:val="20"/>
                <w:szCs w:val="20"/>
              </w:rPr>
            </w:pPr>
          </w:p>
        </w:tc>
        <w:tc>
          <w:tcPr>
            <w:tcW w:w="0" w:type="auto"/>
            <w:gridSpan w:val="3"/>
            <w:vAlign w:val="center"/>
            <w:hideMark/>
          </w:tcPr>
          <w:p w14:paraId="2D456567" w14:textId="77777777" w:rsidR="00000000" w:rsidRDefault="00C01C43">
            <w:pPr>
              <w:rPr>
                <w:rFonts w:eastAsia="Times New Roman"/>
                <w:sz w:val="20"/>
                <w:szCs w:val="20"/>
              </w:rPr>
            </w:pPr>
          </w:p>
        </w:tc>
        <w:tc>
          <w:tcPr>
            <w:tcW w:w="0" w:type="auto"/>
            <w:gridSpan w:val="3"/>
            <w:vAlign w:val="center"/>
            <w:hideMark/>
          </w:tcPr>
          <w:p w14:paraId="5A4FE773" w14:textId="77777777" w:rsidR="00000000" w:rsidRDefault="00C01C43">
            <w:pPr>
              <w:rPr>
                <w:rFonts w:eastAsia="Times New Roman"/>
                <w:sz w:val="20"/>
                <w:szCs w:val="20"/>
              </w:rPr>
            </w:pPr>
          </w:p>
        </w:tc>
        <w:tc>
          <w:tcPr>
            <w:tcW w:w="0" w:type="auto"/>
            <w:gridSpan w:val="3"/>
            <w:vAlign w:val="center"/>
            <w:hideMark/>
          </w:tcPr>
          <w:p w14:paraId="466F081C" w14:textId="77777777" w:rsidR="00000000" w:rsidRDefault="00C01C43">
            <w:pPr>
              <w:rPr>
                <w:rFonts w:eastAsia="Times New Roman"/>
                <w:sz w:val="20"/>
                <w:szCs w:val="20"/>
              </w:rPr>
            </w:pPr>
          </w:p>
        </w:tc>
        <w:tc>
          <w:tcPr>
            <w:tcW w:w="0" w:type="auto"/>
            <w:gridSpan w:val="3"/>
            <w:vAlign w:val="center"/>
            <w:hideMark/>
          </w:tcPr>
          <w:p w14:paraId="2C96F224" w14:textId="77777777" w:rsidR="00000000" w:rsidRDefault="00C01C43">
            <w:pPr>
              <w:rPr>
                <w:rFonts w:eastAsia="Times New Roman"/>
                <w:sz w:val="20"/>
                <w:szCs w:val="20"/>
              </w:rPr>
            </w:pPr>
          </w:p>
        </w:tc>
        <w:tc>
          <w:tcPr>
            <w:tcW w:w="0" w:type="auto"/>
            <w:gridSpan w:val="3"/>
            <w:vAlign w:val="center"/>
            <w:hideMark/>
          </w:tcPr>
          <w:p w14:paraId="35D40BFF" w14:textId="77777777" w:rsidR="00000000" w:rsidRDefault="00C01C43">
            <w:pPr>
              <w:rPr>
                <w:rFonts w:eastAsia="Times New Roman"/>
                <w:sz w:val="20"/>
                <w:szCs w:val="20"/>
              </w:rPr>
            </w:pPr>
          </w:p>
        </w:tc>
        <w:tc>
          <w:tcPr>
            <w:tcW w:w="0" w:type="auto"/>
            <w:gridSpan w:val="3"/>
            <w:vAlign w:val="center"/>
            <w:hideMark/>
          </w:tcPr>
          <w:p w14:paraId="22DD02F7" w14:textId="77777777" w:rsidR="00000000" w:rsidRDefault="00C01C43">
            <w:pPr>
              <w:rPr>
                <w:rFonts w:eastAsia="Times New Roman"/>
                <w:sz w:val="20"/>
                <w:szCs w:val="20"/>
              </w:rPr>
            </w:pPr>
          </w:p>
        </w:tc>
      </w:tr>
      <w:tr w:rsidR="00000000" w14:paraId="38D8A6FF" w14:textId="77777777">
        <w:trPr>
          <w:divId w:val="2139105891"/>
        </w:trPr>
        <w:tc>
          <w:tcPr>
            <w:tcW w:w="0" w:type="auto"/>
            <w:gridSpan w:val="3"/>
            <w:shd w:val="clear" w:color="auto" w:fill="FFFFFF"/>
            <w:tcMar>
              <w:top w:w="0" w:type="dxa"/>
              <w:left w:w="20" w:type="dxa"/>
              <w:bottom w:w="0" w:type="dxa"/>
              <w:right w:w="20" w:type="dxa"/>
            </w:tcMar>
            <w:vAlign w:val="center"/>
            <w:hideMark/>
          </w:tcPr>
          <w:p w14:paraId="67E9B1EC"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5B8720"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5B88AD"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973B93"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D5515E"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9F4A42"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F087EA" w14:textId="77777777" w:rsidR="00000000" w:rsidRDefault="00C01C43">
            <w:pPr>
              <w:jc w:val="right"/>
              <w:rPr>
                <w:rFonts w:eastAsia="Times New Roman"/>
              </w:rPr>
            </w:pPr>
            <w:r>
              <w:rPr>
                <w:rFonts w:ascii="Arial" w:eastAsia="Times New Roman" w:hAnsi="Arial" w:cs="Arial"/>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9AEFD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F061D9"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E6B200"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478C15"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D5D2A0" w14:textId="77777777" w:rsidR="00000000" w:rsidRDefault="00C01C43">
            <w:pPr>
              <w:jc w:val="right"/>
              <w:rPr>
                <w:rFonts w:eastAsia="Times New Roman"/>
              </w:rPr>
            </w:pPr>
            <w:r>
              <w:rPr>
                <w:rFonts w:ascii="Arial" w:eastAsia="Times New Roman" w:hAnsi="Arial" w:cs="Arial"/>
                <w:color w:val="000000"/>
                <w:sz w:val="18"/>
                <w:szCs w:val="18"/>
              </w:rPr>
              <w:t>(18.3)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FE2B87" w14:textId="77777777" w:rsidR="00000000" w:rsidRDefault="00C01C43">
            <w:pPr>
              <w:jc w:val="right"/>
              <w:rPr>
                <w:rFonts w:eastAsia="Times New Roman"/>
              </w:rPr>
            </w:pPr>
          </w:p>
        </w:tc>
      </w:tr>
      <w:tr w:rsidR="00000000" w14:paraId="4EE885EE" w14:textId="77777777">
        <w:trPr>
          <w:divId w:val="2139105891"/>
          <w:trHeight w:val="300"/>
        </w:trPr>
        <w:tc>
          <w:tcPr>
            <w:tcW w:w="0" w:type="auto"/>
            <w:gridSpan w:val="3"/>
            <w:shd w:val="clear" w:color="auto" w:fill="CCEEFF"/>
            <w:tcMar>
              <w:top w:w="0" w:type="dxa"/>
              <w:left w:w="20" w:type="dxa"/>
              <w:bottom w:w="0" w:type="dxa"/>
              <w:right w:w="20" w:type="dxa"/>
            </w:tcMar>
            <w:vAlign w:val="center"/>
            <w:hideMark/>
          </w:tcPr>
          <w:p w14:paraId="6A8B4D04"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167E1F"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F16C23"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CE64BD"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FB8153"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9D1EC0"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B17E2D"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423055"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44F841"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F4CB79"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2ED684" w14:textId="77777777" w:rsidR="00000000" w:rsidRDefault="00C01C43">
            <w:pPr>
              <w:rPr>
                <w:rFonts w:eastAsia="Times New Roman"/>
                <w:sz w:val="20"/>
                <w:szCs w:val="20"/>
              </w:rPr>
            </w:pPr>
          </w:p>
        </w:tc>
      </w:tr>
      <w:tr w:rsidR="00000000" w14:paraId="09EBE943" w14:textId="77777777">
        <w:trPr>
          <w:divId w:val="2139105891"/>
        </w:trPr>
        <w:tc>
          <w:tcPr>
            <w:tcW w:w="0" w:type="auto"/>
            <w:gridSpan w:val="3"/>
            <w:shd w:val="clear" w:color="auto" w:fill="FFFFFF"/>
            <w:tcMar>
              <w:top w:w="30" w:type="dxa"/>
              <w:left w:w="20" w:type="dxa"/>
              <w:bottom w:w="30" w:type="dxa"/>
              <w:right w:w="20" w:type="dxa"/>
            </w:tcMar>
            <w:vAlign w:val="bottom"/>
            <w:hideMark/>
          </w:tcPr>
          <w:p w14:paraId="4966DE97" w14:textId="77777777" w:rsidR="00000000" w:rsidRDefault="00C01C43">
            <w:pPr>
              <w:rPr>
                <w:rFonts w:eastAsia="Times New Roman"/>
              </w:rPr>
            </w:pPr>
            <w:r>
              <w:rPr>
                <w:rFonts w:ascii="Arial" w:eastAsia="Times New Roman" w:hAnsi="Arial" w:cs="Arial"/>
                <w:color w:val="000000"/>
                <w:sz w:val="18"/>
                <w:szCs w:val="18"/>
              </w:rPr>
              <w:t>Non-designated hedge</w:t>
            </w:r>
          </w:p>
        </w:tc>
        <w:tc>
          <w:tcPr>
            <w:tcW w:w="0" w:type="auto"/>
            <w:gridSpan w:val="3"/>
            <w:shd w:val="clear" w:color="auto" w:fill="FFFFFF"/>
            <w:tcMar>
              <w:top w:w="30" w:type="dxa"/>
              <w:left w:w="20" w:type="dxa"/>
              <w:bottom w:w="30" w:type="dxa"/>
              <w:right w:w="20" w:type="dxa"/>
            </w:tcMar>
            <w:vAlign w:val="bottom"/>
            <w:hideMark/>
          </w:tcPr>
          <w:p w14:paraId="0A762C9D" w14:textId="77777777" w:rsidR="00000000" w:rsidRDefault="00C01C43">
            <w:pPr>
              <w:rPr>
                <w:rFonts w:eastAsia="Times New Roman"/>
              </w:rPr>
            </w:pPr>
            <w:r>
              <w:rPr>
                <w:rFonts w:ascii="Arial" w:eastAsia="Times New Roman" w:hAnsi="Arial" w:cs="Arial"/>
                <w:color w:val="000000"/>
                <w:sz w:val="18"/>
                <w:szCs w:val="18"/>
              </w:rPr>
              <w:t>Commodity contracts</w:t>
            </w:r>
          </w:p>
        </w:tc>
        <w:tc>
          <w:tcPr>
            <w:tcW w:w="0" w:type="auto"/>
            <w:gridSpan w:val="3"/>
            <w:shd w:val="clear" w:color="auto" w:fill="FFFFFF"/>
            <w:tcMar>
              <w:top w:w="30" w:type="dxa"/>
              <w:left w:w="20" w:type="dxa"/>
              <w:bottom w:w="30" w:type="dxa"/>
              <w:right w:w="20" w:type="dxa"/>
            </w:tcMar>
            <w:vAlign w:val="bottom"/>
            <w:hideMark/>
          </w:tcPr>
          <w:p w14:paraId="729A29C5" w14:textId="77777777" w:rsidR="00000000" w:rsidRDefault="00C01C43">
            <w:pPr>
              <w:jc w:val="right"/>
              <w:rPr>
                <w:rFonts w:eastAsia="Times New Roman"/>
              </w:rPr>
            </w:pPr>
            <w:r>
              <w:rPr>
                <w:rFonts w:ascii="Arial" w:eastAsia="Times New Roman" w:hAnsi="Arial" w:cs="Arial"/>
                <w:color w:val="000000"/>
                <w:sz w:val="18"/>
                <w:szCs w:val="18"/>
              </w:rPr>
              <w:t>2020</w:t>
            </w:r>
          </w:p>
        </w:tc>
        <w:tc>
          <w:tcPr>
            <w:tcW w:w="0" w:type="auto"/>
            <w:gridSpan w:val="3"/>
            <w:shd w:val="clear" w:color="auto" w:fill="FFFFFF"/>
            <w:tcMar>
              <w:top w:w="0" w:type="dxa"/>
              <w:left w:w="20" w:type="dxa"/>
              <w:bottom w:w="0" w:type="dxa"/>
              <w:right w:w="20" w:type="dxa"/>
            </w:tcMar>
            <w:vAlign w:val="center"/>
            <w:hideMark/>
          </w:tcPr>
          <w:p w14:paraId="1F416740"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22BF51"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6F1261B0"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3A7FEB"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724A3242"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7710A7"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29C6A81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2C4B6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54C930" w14:textId="77777777" w:rsidR="00000000" w:rsidRDefault="00C01C43">
            <w:pPr>
              <w:jc w:val="right"/>
              <w:rPr>
                <w:rFonts w:eastAsia="Times New Roman"/>
              </w:rPr>
            </w:pPr>
            <w:r>
              <w:rPr>
                <w:rFonts w:ascii="Arial" w:eastAsia="Times New Roman" w:hAnsi="Arial" w:cs="Arial"/>
                <w:color w:val="000000"/>
                <w:sz w:val="18"/>
                <w:szCs w:val="18"/>
              </w:rPr>
              <w:t>13.5 </w:t>
            </w:r>
          </w:p>
        </w:tc>
        <w:tc>
          <w:tcPr>
            <w:tcW w:w="0" w:type="auto"/>
            <w:shd w:val="clear" w:color="auto" w:fill="FFFFFF"/>
            <w:tcMar>
              <w:top w:w="30" w:type="dxa"/>
              <w:left w:w="0" w:type="dxa"/>
              <w:bottom w:w="30" w:type="dxa"/>
              <w:right w:w="20" w:type="dxa"/>
            </w:tcMar>
            <w:vAlign w:val="bottom"/>
            <w:hideMark/>
          </w:tcPr>
          <w:p w14:paraId="02B7276F"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707D81" w14:textId="77777777" w:rsidR="00000000" w:rsidRDefault="00C01C43">
            <w:pPr>
              <w:jc w:val="right"/>
              <w:rPr>
                <w:rFonts w:eastAsia="Times New Roman"/>
              </w:rPr>
            </w:pPr>
            <w:r>
              <w:rPr>
                <w:rFonts w:ascii="Arial" w:eastAsia="Times New Roman" w:hAnsi="Arial" w:cs="Arial"/>
                <w:color w:val="000000"/>
                <w:sz w:val="18"/>
                <w:szCs w:val="18"/>
              </w:rPr>
              <w:t>2.190 </w:t>
            </w:r>
          </w:p>
        </w:tc>
        <w:tc>
          <w:tcPr>
            <w:tcW w:w="0" w:type="auto"/>
            <w:shd w:val="clear" w:color="auto" w:fill="FFFFFF"/>
            <w:tcMar>
              <w:top w:w="30" w:type="dxa"/>
              <w:left w:w="0" w:type="dxa"/>
              <w:bottom w:w="30" w:type="dxa"/>
              <w:right w:w="20" w:type="dxa"/>
            </w:tcMar>
            <w:vAlign w:val="bottom"/>
            <w:hideMark/>
          </w:tcPr>
          <w:p w14:paraId="418B8FD6"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19EAA6" w14:textId="77777777" w:rsidR="00000000" w:rsidRDefault="00C01C43">
            <w:pPr>
              <w:jc w:val="right"/>
              <w:rPr>
                <w:rFonts w:eastAsia="Times New Roman"/>
              </w:rPr>
            </w:pPr>
            <w:r>
              <w:rPr>
                <w:rFonts w:ascii="Arial" w:eastAsia="Times New Roman" w:hAnsi="Arial" w:cs="Arial"/>
                <w:color w:val="000000"/>
                <w:sz w:val="18"/>
                <w:szCs w:val="18"/>
              </w:rPr>
              <w:t>16.1 </w:t>
            </w:r>
          </w:p>
        </w:tc>
        <w:tc>
          <w:tcPr>
            <w:tcW w:w="0" w:type="auto"/>
            <w:shd w:val="clear" w:color="auto" w:fill="FFFFFF"/>
            <w:tcMar>
              <w:top w:w="30" w:type="dxa"/>
              <w:left w:w="0" w:type="dxa"/>
              <w:bottom w:w="30" w:type="dxa"/>
              <w:right w:w="20" w:type="dxa"/>
            </w:tcMar>
            <w:vAlign w:val="bottom"/>
            <w:hideMark/>
          </w:tcPr>
          <w:p w14:paraId="574B96FA" w14:textId="77777777" w:rsidR="00000000" w:rsidRDefault="00C01C43">
            <w:pPr>
              <w:jc w:val="right"/>
              <w:rPr>
                <w:rFonts w:eastAsia="Times New Roman"/>
              </w:rPr>
            </w:pPr>
          </w:p>
        </w:tc>
      </w:tr>
      <w:tr w:rsidR="00000000" w14:paraId="737A7DFC" w14:textId="77777777">
        <w:trPr>
          <w:divId w:val="2139105891"/>
        </w:trPr>
        <w:tc>
          <w:tcPr>
            <w:tcW w:w="0" w:type="auto"/>
            <w:gridSpan w:val="3"/>
            <w:shd w:val="clear" w:color="auto" w:fill="CCEEFF"/>
            <w:tcMar>
              <w:top w:w="0" w:type="dxa"/>
              <w:left w:w="20" w:type="dxa"/>
              <w:bottom w:w="0" w:type="dxa"/>
              <w:right w:w="20" w:type="dxa"/>
            </w:tcMar>
            <w:vAlign w:val="center"/>
            <w:hideMark/>
          </w:tcPr>
          <w:p w14:paraId="3A606D28"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486BC1" w14:textId="77777777" w:rsidR="00000000" w:rsidRDefault="00C01C4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55A84E3" w14:textId="77777777" w:rsidR="00000000" w:rsidRDefault="00C01C43">
            <w:pPr>
              <w:jc w:val="right"/>
              <w:rPr>
                <w:rFonts w:eastAsia="Times New Roman"/>
              </w:rPr>
            </w:pPr>
            <w:r>
              <w:rPr>
                <w:rFonts w:ascii="Arial" w:eastAsia="Times New Roman" w:hAnsi="Arial" w:cs="Arial"/>
                <w:color w:val="000000"/>
                <w:sz w:val="18"/>
                <w:szCs w:val="18"/>
              </w:rPr>
              <w:t>2021</w:t>
            </w:r>
          </w:p>
        </w:tc>
        <w:tc>
          <w:tcPr>
            <w:tcW w:w="0" w:type="auto"/>
            <w:gridSpan w:val="3"/>
            <w:shd w:val="clear" w:color="auto" w:fill="CCEEFF"/>
            <w:tcMar>
              <w:top w:w="0" w:type="dxa"/>
              <w:left w:w="20" w:type="dxa"/>
              <w:bottom w:w="0" w:type="dxa"/>
              <w:right w:w="20" w:type="dxa"/>
            </w:tcMar>
            <w:vAlign w:val="center"/>
            <w:hideMark/>
          </w:tcPr>
          <w:p w14:paraId="4CA8ADAA"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1B2B3F" w14:textId="77777777" w:rsidR="00000000" w:rsidRDefault="00C01C43">
            <w:pPr>
              <w:jc w:val="right"/>
              <w:rPr>
                <w:rFonts w:eastAsia="Times New Roman"/>
              </w:rPr>
            </w:pPr>
            <w:r>
              <w:rPr>
                <w:rFonts w:ascii="Arial" w:eastAsia="Times New Roman" w:hAnsi="Arial" w:cs="Arial"/>
                <w:color w:val="000000"/>
                <w:sz w:val="18"/>
                <w:szCs w:val="18"/>
              </w:rPr>
              <w:t>13.9 </w:t>
            </w:r>
          </w:p>
        </w:tc>
        <w:tc>
          <w:tcPr>
            <w:tcW w:w="0" w:type="auto"/>
            <w:shd w:val="clear" w:color="auto" w:fill="CCEEFF"/>
            <w:tcMar>
              <w:top w:w="30" w:type="dxa"/>
              <w:left w:w="0" w:type="dxa"/>
              <w:bottom w:w="30" w:type="dxa"/>
              <w:right w:w="20" w:type="dxa"/>
            </w:tcMar>
            <w:vAlign w:val="bottom"/>
            <w:hideMark/>
          </w:tcPr>
          <w:p w14:paraId="7356FD94"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4B13F8" w14:textId="77777777" w:rsidR="00000000" w:rsidRDefault="00C01C43">
            <w:pPr>
              <w:jc w:val="right"/>
              <w:rPr>
                <w:rFonts w:eastAsia="Times New Roman"/>
              </w:rPr>
            </w:pPr>
            <w:r>
              <w:rPr>
                <w:rFonts w:ascii="Arial" w:eastAsia="Times New Roman" w:hAnsi="Arial" w:cs="Arial"/>
                <w:color w:val="000000"/>
                <w:sz w:val="18"/>
                <w:szCs w:val="18"/>
              </w:rPr>
              <w:t>1.052 </w:t>
            </w:r>
          </w:p>
        </w:tc>
        <w:tc>
          <w:tcPr>
            <w:tcW w:w="0" w:type="auto"/>
            <w:shd w:val="clear" w:color="auto" w:fill="CCEEFF"/>
            <w:tcMar>
              <w:top w:w="30" w:type="dxa"/>
              <w:left w:w="0" w:type="dxa"/>
              <w:bottom w:w="30" w:type="dxa"/>
              <w:right w:w="20" w:type="dxa"/>
            </w:tcMar>
            <w:vAlign w:val="bottom"/>
            <w:hideMark/>
          </w:tcPr>
          <w:p w14:paraId="3A49FF04"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C901E9" w14:textId="77777777" w:rsidR="00000000" w:rsidRDefault="00C01C43">
            <w:pPr>
              <w:jc w:val="right"/>
              <w:rPr>
                <w:rFonts w:eastAsia="Times New Roman"/>
              </w:rPr>
            </w:pPr>
            <w:r>
              <w:rPr>
                <w:rFonts w:ascii="Arial" w:eastAsia="Times New Roman" w:hAnsi="Arial" w:cs="Arial"/>
                <w:color w:val="000000"/>
                <w:sz w:val="18"/>
                <w:szCs w:val="18"/>
              </w:rPr>
              <w:t>24.3 </w:t>
            </w:r>
          </w:p>
        </w:tc>
        <w:tc>
          <w:tcPr>
            <w:tcW w:w="0" w:type="auto"/>
            <w:shd w:val="clear" w:color="auto" w:fill="CCEEFF"/>
            <w:tcMar>
              <w:top w:w="30" w:type="dxa"/>
              <w:left w:w="0" w:type="dxa"/>
              <w:bottom w:w="30" w:type="dxa"/>
              <w:right w:w="20" w:type="dxa"/>
            </w:tcMar>
            <w:vAlign w:val="bottom"/>
            <w:hideMark/>
          </w:tcPr>
          <w:p w14:paraId="115B301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0EA7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410BEA" w14:textId="77777777" w:rsidR="00000000" w:rsidRDefault="00C01C43">
            <w:pPr>
              <w:jc w:val="right"/>
              <w:rPr>
                <w:rFonts w:eastAsia="Times New Roman"/>
              </w:rPr>
            </w:pPr>
            <w:r>
              <w:rPr>
                <w:rFonts w:ascii="Arial" w:eastAsia="Times New Roman" w:hAnsi="Arial" w:cs="Arial"/>
                <w:color w:val="000000"/>
                <w:sz w:val="18"/>
                <w:szCs w:val="18"/>
              </w:rPr>
              <w:t>0.8 </w:t>
            </w:r>
          </w:p>
        </w:tc>
        <w:tc>
          <w:tcPr>
            <w:tcW w:w="0" w:type="auto"/>
            <w:shd w:val="clear" w:color="auto" w:fill="CCEEFF"/>
            <w:tcMar>
              <w:top w:w="30" w:type="dxa"/>
              <w:left w:w="0" w:type="dxa"/>
              <w:bottom w:w="30" w:type="dxa"/>
              <w:right w:w="20" w:type="dxa"/>
            </w:tcMar>
            <w:vAlign w:val="bottom"/>
            <w:hideMark/>
          </w:tcPr>
          <w:p w14:paraId="4B72DA90"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3795E4" w14:textId="77777777" w:rsidR="00000000" w:rsidRDefault="00C01C43">
            <w:pPr>
              <w:jc w:val="right"/>
              <w:rPr>
                <w:rFonts w:eastAsia="Times New Roman"/>
              </w:rPr>
            </w:pPr>
            <w:r>
              <w:rPr>
                <w:rFonts w:ascii="Arial" w:eastAsia="Times New Roman" w:hAnsi="Arial" w:cs="Arial"/>
                <w:color w:val="000000"/>
                <w:sz w:val="18"/>
                <w:szCs w:val="18"/>
              </w:rPr>
              <w:t>4.343 </w:t>
            </w:r>
          </w:p>
        </w:tc>
        <w:tc>
          <w:tcPr>
            <w:tcW w:w="0" w:type="auto"/>
            <w:shd w:val="clear" w:color="auto" w:fill="CCEEFF"/>
            <w:tcMar>
              <w:top w:w="30" w:type="dxa"/>
              <w:left w:w="0" w:type="dxa"/>
              <w:bottom w:w="30" w:type="dxa"/>
              <w:right w:w="20" w:type="dxa"/>
            </w:tcMar>
            <w:vAlign w:val="bottom"/>
            <w:hideMark/>
          </w:tcPr>
          <w:p w14:paraId="3F7DFB8F"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286B79" w14:textId="77777777" w:rsidR="00000000" w:rsidRDefault="00C01C43">
            <w:pPr>
              <w:jc w:val="right"/>
              <w:rPr>
                <w:rFonts w:eastAsia="Times New Roman"/>
              </w:rPr>
            </w:pPr>
            <w:r>
              <w:rPr>
                <w:rFonts w:ascii="Arial" w:eastAsia="Times New Roman" w:hAnsi="Arial" w:cs="Arial"/>
                <w:color w:val="000000"/>
                <w:sz w:val="18"/>
                <w:szCs w:val="18"/>
              </w:rPr>
              <w:t>3.6 </w:t>
            </w:r>
          </w:p>
        </w:tc>
        <w:tc>
          <w:tcPr>
            <w:tcW w:w="0" w:type="auto"/>
            <w:shd w:val="clear" w:color="auto" w:fill="CCEEFF"/>
            <w:tcMar>
              <w:top w:w="30" w:type="dxa"/>
              <w:left w:w="0" w:type="dxa"/>
              <w:bottom w:w="30" w:type="dxa"/>
              <w:right w:w="20" w:type="dxa"/>
            </w:tcMar>
            <w:vAlign w:val="bottom"/>
            <w:hideMark/>
          </w:tcPr>
          <w:p w14:paraId="2CAFE896" w14:textId="77777777" w:rsidR="00000000" w:rsidRDefault="00C01C43">
            <w:pPr>
              <w:jc w:val="right"/>
              <w:rPr>
                <w:rFonts w:eastAsia="Times New Roman"/>
              </w:rPr>
            </w:pPr>
          </w:p>
        </w:tc>
      </w:tr>
      <w:tr w:rsidR="00000000" w14:paraId="15620D19" w14:textId="77777777">
        <w:trPr>
          <w:divId w:val="2139105891"/>
        </w:trPr>
        <w:tc>
          <w:tcPr>
            <w:tcW w:w="0" w:type="auto"/>
            <w:gridSpan w:val="3"/>
            <w:shd w:val="clear" w:color="auto" w:fill="FFFFFF"/>
            <w:tcMar>
              <w:top w:w="0" w:type="dxa"/>
              <w:left w:w="20" w:type="dxa"/>
              <w:bottom w:w="0" w:type="dxa"/>
              <w:right w:w="20" w:type="dxa"/>
            </w:tcMar>
            <w:vAlign w:val="center"/>
            <w:hideMark/>
          </w:tcPr>
          <w:p w14:paraId="3D400EEE"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8986F8" w14:textId="77777777" w:rsidR="00000000" w:rsidRDefault="00C01C4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00BAF04" w14:textId="77777777" w:rsidR="00000000" w:rsidRDefault="00C01C43">
            <w:pPr>
              <w:jc w:val="right"/>
              <w:rPr>
                <w:rFonts w:eastAsia="Times New Roman"/>
              </w:rPr>
            </w:pPr>
            <w:r>
              <w:rPr>
                <w:rFonts w:ascii="Arial" w:eastAsia="Times New Roman" w:hAnsi="Arial" w:cs="Arial"/>
                <w:color w:val="000000"/>
                <w:sz w:val="18"/>
                <w:szCs w:val="18"/>
              </w:rPr>
              <w:t>2022</w:t>
            </w:r>
          </w:p>
        </w:tc>
        <w:tc>
          <w:tcPr>
            <w:tcW w:w="0" w:type="auto"/>
            <w:gridSpan w:val="3"/>
            <w:shd w:val="clear" w:color="auto" w:fill="FFFFFF"/>
            <w:tcMar>
              <w:top w:w="0" w:type="dxa"/>
              <w:left w:w="20" w:type="dxa"/>
              <w:bottom w:w="0" w:type="dxa"/>
              <w:right w:w="20" w:type="dxa"/>
            </w:tcMar>
            <w:vAlign w:val="center"/>
            <w:hideMark/>
          </w:tcPr>
          <w:p w14:paraId="5B45D48A"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F792CB" w14:textId="77777777" w:rsidR="00000000" w:rsidRDefault="00C01C43">
            <w:pPr>
              <w:jc w:val="right"/>
              <w:rPr>
                <w:rFonts w:eastAsia="Times New Roman"/>
              </w:rPr>
            </w:pPr>
            <w:r>
              <w:rPr>
                <w:rFonts w:ascii="Arial" w:eastAsia="Times New Roman" w:hAnsi="Arial" w:cs="Arial"/>
                <w:color w:val="000000"/>
                <w:sz w:val="18"/>
                <w:szCs w:val="18"/>
              </w:rPr>
              <w:t>1.0 </w:t>
            </w:r>
          </w:p>
        </w:tc>
        <w:tc>
          <w:tcPr>
            <w:tcW w:w="0" w:type="auto"/>
            <w:shd w:val="clear" w:color="auto" w:fill="FFFFFF"/>
            <w:tcMar>
              <w:top w:w="30" w:type="dxa"/>
              <w:left w:w="0" w:type="dxa"/>
              <w:bottom w:w="30" w:type="dxa"/>
              <w:right w:w="20" w:type="dxa"/>
            </w:tcMar>
            <w:vAlign w:val="bottom"/>
            <w:hideMark/>
          </w:tcPr>
          <w:p w14:paraId="54C742FF"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6214E3" w14:textId="77777777" w:rsidR="00000000" w:rsidRDefault="00C01C43">
            <w:pPr>
              <w:jc w:val="right"/>
              <w:rPr>
                <w:rFonts w:eastAsia="Times New Roman"/>
              </w:rPr>
            </w:pPr>
            <w:r>
              <w:rPr>
                <w:rFonts w:ascii="Arial" w:eastAsia="Times New Roman" w:hAnsi="Arial" w:cs="Arial"/>
                <w:color w:val="000000"/>
                <w:sz w:val="18"/>
                <w:szCs w:val="18"/>
              </w:rPr>
              <w:t>1.067 </w:t>
            </w:r>
          </w:p>
        </w:tc>
        <w:tc>
          <w:tcPr>
            <w:tcW w:w="0" w:type="auto"/>
            <w:shd w:val="clear" w:color="auto" w:fill="FFFFFF"/>
            <w:tcMar>
              <w:top w:w="30" w:type="dxa"/>
              <w:left w:w="0" w:type="dxa"/>
              <w:bottom w:w="30" w:type="dxa"/>
              <w:right w:w="20" w:type="dxa"/>
            </w:tcMar>
            <w:vAlign w:val="bottom"/>
            <w:hideMark/>
          </w:tcPr>
          <w:p w14:paraId="7CC84A03"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CC578B" w14:textId="77777777" w:rsidR="00000000" w:rsidRDefault="00C01C43">
            <w:pPr>
              <w:jc w:val="right"/>
              <w:rPr>
                <w:rFonts w:eastAsia="Times New Roman"/>
              </w:rPr>
            </w:pPr>
            <w:r>
              <w:rPr>
                <w:rFonts w:ascii="Arial" w:eastAsia="Times New Roman" w:hAnsi="Arial" w:cs="Arial"/>
                <w:color w:val="000000"/>
                <w:sz w:val="18"/>
                <w:szCs w:val="18"/>
              </w:rPr>
              <w:t>7.8 </w:t>
            </w:r>
          </w:p>
        </w:tc>
        <w:tc>
          <w:tcPr>
            <w:tcW w:w="0" w:type="auto"/>
            <w:shd w:val="clear" w:color="auto" w:fill="FFFFFF"/>
            <w:tcMar>
              <w:top w:w="30" w:type="dxa"/>
              <w:left w:w="0" w:type="dxa"/>
              <w:bottom w:w="30" w:type="dxa"/>
              <w:right w:w="20" w:type="dxa"/>
            </w:tcMar>
            <w:vAlign w:val="bottom"/>
            <w:hideMark/>
          </w:tcPr>
          <w:p w14:paraId="7C472C1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742C5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D64E09" w14:textId="77777777" w:rsidR="00000000" w:rsidRDefault="00C01C43">
            <w:pPr>
              <w:jc w:val="right"/>
              <w:rPr>
                <w:rFonts w:eastAsia="Times New Roman"/>
              </w:rPr>
            </w:pPr>
            <w:r>
              <w:rPr>
                <w:rFonts w:ascii="Arial" w:eastAsia="Times New Roman" w:hAnsi="Arial" w:cs="Arial"/>
                <w:color w:val="000000"/>
                <w:sz w:val="18"/>
                <w:szCs w:val="18"/>
              </w:rPr>
              <w:t>(0.4)</w:t>
            </w:r>
          </w:p>
        </w:tc>
        <w:tc>
          <w:tcPr>
            <w:tcW w:w="0" w:type="auto"/>
            <w:shd w:val="clear" w:color="auto" w:fill="FFFFFF"/>
            <w:tcMar>
              <w:top w:w="30" w:type="dxa"/>
              <w:left w:w="0" w:type="dxa"/>
              <w:bottom w:w="30" w:type="dxa"/>
              <w:right w:w="20" w:type="dxa"/>
            </w:tcMar>
            <w:vAlign w:val="bottom"/>
            <w:hideMark/>
          </w:tcPr>
          <w:p w14:paraId="687CAB33"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C0AE27" w14:textId="77777777" w:rsidR="00000000" w:rsidRDefault="00C01C43">
            <w:pPr>
              <w:jc w:val="right"/>
              <w:rPr>
                <w:rFonts w:eastAsia="Times New Roman"/>
              </w:rPr>
            </w:pPr>
            <w:r>
              <w:rPr>
                <w:rFonts w:ascii="Arial" w:eastAsia="Times New Roman" w:hAnsi="Arial" w:cs="Arial"/>
                <w:color w:val="000000"/>
                <w:sz w:val="18"/>
                <w:szCs w:val="18"/>
              </w:rPr>
              <w:t>8.711 </w:t>
            </w:r>
          </w:p>
        </w:tc>
        <w:tc>
          <w:tcPr>
            <w:tcW w:w="0" w:type="auto"/>
            <w:shd w:val="clear" w:color="auto" w:fill="FFFFFF"/>
            <w:tcMar>
              <w:top w:w="30" w:type="dxa"/>
              <w:left w:w="0" w:type="dxa"/>
              <w:bottom w:w="30" w:type="dxa"/>
              <w:right w:w="20" w:type="dxa"/>
            </w:tcMar>
            <w:vAlign w:val="bottom"/>
            <w:hideMark/>
          </w:tcPr>
          <w:p w14:paraId="27E5D3DA"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FD2930" w14:textId="77777777" w:rsidR="00000000" w:rsidRDefault="00C01C43">
            <w:pPr>
              <w:jc w:val="right"/>
              <w:rPr>
                <w:rFonts w:eastAsia="Times New Roman"/>
              </w:rPr>
            </w:pPr>
            <w:r>
              <w:rPr>
                <w:rFonts w:ascii="Arial" w:eastAsia="Times New Roman" w:hAnsi="Arial" w:cs="Arial"/>
                <w:color w:val="000000"/>
                <w:sz w:val="18"/>
                <w:szCs w:val="18"/>
              </w:rPr>
              <w:t>1.4 </w:t>
            </w:r>
          </w:p>
        </w:tc>
        <w:tc>
          <w:tcPr>
            <w:tcW w:w="0" w:type="auto"/>
            <w:shd w:val="clear" w:color="auto" w:fill="FFFFFF"/>
            <w:tcMar>
              <w:top w:w="30" w:type="dxa"/>
              <w:left w:w="0" w:type="dxa"/>
              <w:bottom w:w="30" w:type="dxa"/>
              <w:right w:w="20" w:type="dxa"/>
            </w:tcMar>
            <w:vAlign w:val="bottom"/>
            <w:hideMark/>
          </w:tcPr>
          <w:p w14:paraId="2921EBDC" w14:textId="77777777" w:rsidR="00000000" w:rsidRDefault="00C01C43">
            <w:pPr>
              <w:jc w:val="right"/>
              <w:rPr>
                <w:rFonts w:eastAsia="Times New Roman"/>
              </w:rPr>
            </w:pPr>
          </w:p>
        </w:tc>
      </w:tr>
      <w:tr w:rsidR="00000000" w14:paraId="53788E6D" w14:textId="77777777">
        <w:trPr>
          <w:divId w:val="2139105891"/>
        </w:trPr>
        <w:tc>
          <w:tcPr>
            <w:tcW w:w="0" w:type="auto"/>
            <w:gridSpan w:val="3"/>
            <w:shd w:val="clear" w:color="auto" w:fill="CCEEFF"/>
            <w:tcMar>
              <w:top w:w="0" w:type="dxa"/>
              <w:left w:w="20" w:type="dxa"/>
              <w:bottom w:w="0" w:type="dxa"/>
              <w:right w:w="20" w:type="dxa"/>
            </w:tcMar>
            <w:vAlign w:val="center"/>
            <w:hideMark/>
          </w:tcPr>
          <w:p w14:paraId="6D9D3811"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7CE906" w14:textId="77777777" w:rsidR="00000000" w:rsidRDefault="00C01C4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A0466F8" w14:textId="77777777" w:rsidR="00000000" w:rsidRDefault="00C01C43">
            <w:pPr>
              <w:jc w:val="right"/>
              <w:rPr>
                <w:rFonts w:eastAsia="Times New Roman"/>
              </w:rPr>
            </w:pPr>
            <w:r>
              <w:rPr>
                <w:rFonts w:ascii="Arial" w:eastAsia="Times New Roman" w:hAnsi="Arial" w:cs="Arial"/>
                <w:color w:val="000000"/>
                <w:sz w:val="18"/>
                <w:szCs w:val="18"/>
              </w:rPr>
              <w:t>2023</w:t>
            </w:r>
          </w:p>
        </w:tc>
        <w:tc>
          <w:tcPr>
            <w:tcW w:w="0" w:type="auto"/>
            <w:gridSpan w:val="3"/>
            <w:shd w:val="clear" w:color="auto" w:fill="CCEEFF"/>
            <w:tcMar>
              <w:top w:w="0" w:type="dxa"/>
              <w:left w:w="20" w:type="dxa"/>
              <w:bottom w:w="0" w:type="dxa"/>
              <w:right w:w="20" w:type="dxa"/>
            </w:tcMar>
            <w:vAlign w:val="center"/>
            <w:hideMark/>
          </w:tcPr>
          <w:p w14:paraId="05EEFF21"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BE4FF5"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14:paraId="6C0E41F8"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05AA5F" w14:textId="77777777" w:rsidR="00000000" w:rsidRDefault="00C01C43">
            <w:pPr>
              <w:jc w:val="right"/>
              <w:rPr>
                <w:rFonts w:eastAsia="Times New Roman"/>
              </w:rPr>
            </w:pPr>
            <w:r>
              <w:rPr>
                <w:rFonts w:ascii="Arial" w:eastAsia="Times New Roman" w:hAnsi="Arial" w:cs="Arial"/>
                <w:color w:val="000000"/>
                <w:sz w:val="18"/>
                <w:szCs w:val="18"/>
              </w:rPr>
              <w:t>9.333 </w:t>
            </w:r>
          </w:p>
        </w:tc>
        <w:tc>
          <w:tcPr>
            <w:tcW w:w="0" w:type="auto"/>
            <w:shd w:val="clear" w:color="auto" w:fill="CCEEFF"/>
            <w:tcMar>
              <w:top w:w="30" w:type="dxa"/>
              <w:left w:w="0" w:type="dxa"/>
              <w:bottom w:w="30" w:type="dxa"/>
              <w:right w:w="20" w:type="dxa"/>
            </w:tcMar>
            <w:vAlign w:val="bottom"/>
            <w:hideMark/>
          </w:tcPr>
          <w:p w14:paraId="4665F247"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0C59B2" w14:textId="77777777" w:rsidR="00000000" w:rsidRDefault="00C01C43">
            <w:pPr>
              <w:jc w:val="right"/>
              <w:rPr>
                <w:rFonts w:eastAsia="Times New Roman"/>
              </w:rPr>
            </w:pPr>
            <w:r>
              <w:rPr>
                <w:rFonts w:ascii="Arial" w:eastAsia="Times New Roman" w:hAnsi="Arial" w:cs="Arial"/>
                <w:color w:val="000000"/>
                <w:sz w:val="18"/>
                <w:szCs w:val="18"/>
              </w:rPr>
              <w:t>4.3 </w:t>
            </w:r>
          </w:p>
        </w:tc>
        <w:tc>
          <w:tcPr>
            <w:tcW w:w="0" w:type="auto"/>
            <w:shd w:val="clear" w:color="auto" w:fill="CCEEFF"/>
            <w:tcMar>
              <w:top w:w="30" w:type="dxa"/>
              <w:left w:w="0" w:type="dxa"/>
              <w:bottom w:w="30" w:type="dxa"/>
              <w:right w:w="20" w:type="dxa"/>
            </w:tcMar>
            <w:vAlign w:val="bottom"/>
            <w:hideMark/>
          </w:tcPr>
          <w:p w14:paraId="04D9DB9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C9956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758C0D" w14:textId="77777777" w:rsidR="00000000" w:rsidRDefault="00C01C43">
            <w:pPr>
              <w:jc w:val="right"/>
              <w:rPr>
                <w:rFonts w:eastAsia="Times New Roman"/>
              </w:rPr>
            </w:pPr>
            <w:r>
              <w:rPr>
                <w:rFonts w:ascii="Arial" w:eastAsia="Times New Roman" w:hAnsi="Arial" w:cs="Arial"/>
                <w:color w:val="000000"/>
                <w:sz w:val="18"/>
                <w:szCs w:val="18"/>
              </w:rPr>
              <w:t>(0.1)</w:t>
            </w:r>
          </w:p>
        </w:tc>
        <w:tc>
          <w:tcPr>
            <w:tcW w:w="0" w:type="auto"/>
            <w:shd w:val="clear" w:color="auto" w:fill="CCEEFF"/>
            <w:tcMar>
              <w:top w:w="30" w:type="dxa"/>
              <w:left w:w="0" w:type="dxa"/>
              <w:bottom w:w="30" w:type="dxa"/>
              <w:right w:w="20" w:type="dxa"/>
            </w:tcMar>
            <w:vAlign w:val="bottom"/>
            <w:hideMark/>
          </w:tcPr>
          <w:p w14:paraId="1C8A9D53"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C24163" w14:textId="77777777" w:rsidR="00000000" w:rsidRDefault="00C01C43">
            <w:pPr>
              <w:jc w:val="right"/>
              <w:rPr>
                <w:rFonts w:eastAsia="Times New Roman"/>
              </w:rPr>
            </w:pPr>
            <w:r>
              <w:rPr>
                <w:rFonts w:ascii="Arial" w:eastAsia="Times New Roman" w:hAnsi="Arial" w:cs="Arial"/>
                <w:color w:val="000000"/>
                <w:sz w:val="18"/>
                <w:szCs w:val="18"/>
              </w:rPr>
              <w:t>5.705 </w:t>
            </w:r>
          </w:p>
        </w:tc>
        <w:tc>
          <w:tcPr>
            <w:tcW w:w="0" w:type="auto"/>
            <w:shd w:val="clear" w:color="auto" w:fill="CCEEFF"/>
            <w:tcMar>
              <w:top w:w="30" w:type="dxa"/>
              <w:left w:w="0" w:type="dxa"/>
              <w:bottom w:w="30" w:type="dxa"/>
              <w:right w:w="20" w:type="dxa"/>
            </w:tcMar>
            <w:vAlign w:val="bottom"/>
            <w:hideMark/>
          </w:tcPr>
          <w:p w14:paraId="13532A57"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8C07FF" w14:textId="77777777" w:rsidR="00000000" w:rsidRDefault="00C01C43">
            <w:pPr>
              <w:jc w:val="right"/>
              <w:rPr>
                <w:rFonts w:eastAsia="Times New Roman"/>
              </w:rPr>
            </w:pPr>
            <w:r>
              <w:rPr>
                <w:rFonts w:ascii="Arial" w:eastAsia="Times New Roman" w:hAnsi="Arial" w:cs="Arial"/>
                <w:color w:val="000000"/>
                <w:sz w:val="18"/>
                <w:szCs w:val="18"/>
              </w:rPr>
              <w:t>0.3 </w:t>
            </w:r>
          </w:p>
        </w:tc>
        <w:tc>
          <w:tcPr>
            <w:tcW w:w="0" w:type="auto"/>
            <w:shd w:val="clear" w:color="auto" w:fill="CCEEFF"/>
            <w:tcMar>
              <w:top w:w="30" w:type="dxa"/>
              <w:left w:w="0" w:type="dxa"/>
              <w:bottom w:w="30" w:type="dxa"/>
              <w:right w:w="20" w:type="dxa"/>
            </w:tcMar>
            <w:vAlign w:val="bottom"/>
            <w:hideMark/>
          </w:tcPr>
          <w:p w14:paraId="2F1BAAEA" w14:textId="77777777" w:rsidR="00000000" w:rsidRDefault="00C01C43">
            <w:pPr>
              <w:jc w:val="right"/>
              <w:rPr>
                <w:rFonts w:eastAsia="Times New Roman"/>
              </w:rPr>
            </w:pPr>
          </w:p>
        </w:tc>
      </w:tr>
      <w:tr w:rsidR="00000000" w14:paraId="4071887A" w14:textId="77777777">
        <w:trPr>
          <w:divId w:val="2139105891"/>
        </w:trPr>
        <w:tc>
          <w:tcPr>
            <w:tcW w:w="0" w:type="auto"/>
            <w:gridSpan w:val="3"/>
            <w:shd w:val="clear" w:color="auto" w:fill="FFFFFF"/>
            <w:tcMar>
              <w:top w:w="0" w:type="dxa"/>
              <w:left w:w="20" w:type="dxa"/>
              <w:bottom w:w="0" w:type="dxa"/>
              <w:right w:w="20" w:type="dxa"/>
            </w:tcMar>
            <w:vAlign w:val="center"/>
            <w:hideMark/>
          </w:tcPr>
          <w:p w14:paraId="52FCC702"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6B88A5" w14:textId="77777777" w:rsidR="00000000" w:rsidRDefault="00C01C4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665F184" w14:textId="77777777" w:rsidR="00000000" w:rsidRDefault="00C01C43">
            <w:pPr>
              <w:jc w:val="right"/>
              <w:rPr>
                <w:rFonts w:eastAsia="Times New Roman"/>
              </w:rPr>
            </w:pPr>
            <w:r>
              <w:rPr>
                <w:rFonts w:ascii="Arial" w:eastAsia="Times New Roman" w:hAnsi="Arial" w:cs="Arial"/>
                <w:color w:val="000000"/>
                <w:sz w:val="18"/>
                <w:szCs w:val="18"/>
              </w:rPr>
              <w:t>2024</w:t>
            </w:r>
          </w:p>
        </w:tc>
        <w:tc>
          <w:tcPr>
            <w:tcW w:w="0" w:type="auto"/>
            <w:gridSpan w:val="3"/>
            <w:shd w:val="clear" w:color="auto" w:fill="FFFFFF"/>
            <w:tcMar>
              <w:top w:w="0" w:type="dxa"/>
              <w:left w:w="20" w:type="dxa"/>
              <w:bottom w:w="0" w:type="dxa"/>
              <w:right w:w="20" w:type="dxa"/>
            </w:tcMar>
            <w:vAlign w:val="center"/>
            <w:hideMark/>
          </w:tcPr>
          <w:p w14:paraId="2FEF2B0C"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5339E3" w14:textId="77777777" w:rsidR="00000000" w:rsidRDefault="00C01C43">
            <w:pPr>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14:paraId="64E07ABA"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D1136E" w14:textId="77777777" w:rsidR="00000000" w:rsidRDefault="00C01C43">
            <w:pPr>
              <w:jc w:val="right"/>
              <w:rPr>
                <w:rFonts w:eastAsia="Times New Roman"/>
              </w:rPr>
            </w:pPr>
            <w:r>
              <w:rPr>
                <w:rFonts w:ascii="Arial" w:eastAsia="Times New Roman" w:hAnsi="Arial" w:cs="Arial"/>
                <w:color w:val="000000"/>
                <w:sz w:val="18"/>
                <w:szCs w:val="18"/>
              </w:rPr>
              <w:t>10.118 </w:t>
            </w:r>
          </w:p>
        </w:tc>
        <w:tc>
          <w:tcPr>
            <w:tcW w:w="0" w:type="auto"/>
            <w:shd w:val="clear" w:color="auto" w:fill="FFFFFF"/>
            <w:tcMar>
              <w:top w:w="30" w:type="dxa"/>
              <w:left w:w="0" w:type="dxa"/>
              <w:bottom w:w="30" w:type="dxa"/>
              <w:right w:w="20" w:type="dxa"/>
            </w:tcMar>
            <w:vAlign w:val="bottom"/>
            <w:hideMark/>
          </w:tcPr>
          <w:p w14:paraId="79E31EFA"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28499E" w14:textId="77777777" w:rsidR="00000000" w:rsidRDefault="00C01C43">
            <w:pPr>
              <w:jc w:val="right"/>
              <w:rPr>
                <w:rFonts w:eastAsia="Times New Roman"/>
              </w:rPr>
            </w:pPr>
            <w:r>
              <w:rPr>
                <w:rFonts w:ascii="Arial" w:eastAsia="Times New Roman" w:hAnsi="Arial" w:cs="Arial"/>
                <w:color w:val="000000"/>
                <w:sz w:val="18"/>
                <w:szCs w:val="18"/>
              </w:rPr>
              <w:t>4.4 </w:t>
            </w:r>
          </w:p>
        </w:tc>
        <w:tc>
          <w:tcPr>
            <w:tcW w:w="0" w:type="auto"/>
            <w:shd w:val="clear" w:color="auto" w:fill="FFFFFF"/>
            <w:tcMar>
              <w:top w:w="30" w:type="dxa"/>
              <w:left w:w="0" w:type="dxa"/>
              <w:bottom w:w="30" w:type="dxa"/>
              <w:right w:w="20" w:type="dxa"/>
            </w:tcMar>
            <w:vAlign w:val="bottom"/>
            <w:hideMark/>
          </w:tcPr>
          <w:p w14:paraId="399D025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6FE2E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609833"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66BBC606"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A8CACA"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027895D5"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18B5D0"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3A03D790" w14:textId="77777777" w:rsidR="00000000" w:rsidRDefault="00C01C43">
            <w:pPr>
              <w:jc w:val="right"/>
              <w:rPr>
                <w:rFonts w:eastAsia="Times New Roman"/>
              </w:rPr>
            </w:pPr>
          </w:p>
        </w:tc>
      </w:tr>
      <w:tr w:rsidR="00000000" w14:paraId="5CD46A03" w14:textId="77777777">
        <w:trPr>
          <w:divId w:val="2139105891"/>
        </w:trPr>
        <w:tc>
          <w:tcPr>
            <w:tcW w:w="0" w:type="auto"/>
            <w:gridSpan w:val="3"/>
            <w:shd w:val="clear" w:color="auto" w:fill="CCEEFF"/>
            <w:tcMar>
              <w:top w:w="0" w:type="dxa"/>
              <w:left w:w="20" w:type="dxa"/>
              <w:bottom w:w="0" w:type="dxa"/>
              <w:right w:w="20" w:type="dxa"/>
            </w:tcMar>
            <w:vAlign w:val="center"/>
            <w:hideMark/>
          </w:tcPr>
          <w:p w14:paraId="5E8D9001"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DA4E7A" w14:textId="77777777" w:rsidR="00000000" w:rsidRDefault="00C01C4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D018F8A" w14:textId="77777777" w:rsidR="00000000" w:rsidRDefault="00C01C43">
            <w:pPr>
              <w:jc w:val="right"/>
              <w:rPr>
                <w:rFonts w:eastAsia="Times New Roman"/>
              </w:rPr>
            </w:pPr>
            <w:r>
              <w:rPr>
                <w:rFonts w:ascii="Arial" w:eastAsia="Times New Roman" w:hAnsi="Arial" w:cs="Arial"/>
                <w:color w:val="000000"/>
                <w:sz w:val="18"/>
                <w:szCs w:val="18"/>
              </w:rPr>
              <w:t>Thereafter</w:t>
            </w:r>
          </w:p>
        </w:tc>
        <w:tc>
          <w:tcPr>
            <w:tcW w:w="0" w:type="auto"/>
            <w:gridSpan w:val="3"/>
            <w:shd w:val="clear" w:color="auto" w:fill="CCEEFF"/>
            <w:tcMar>
              <w:top w:w="0" w:type="dxa"/>
              <w:left w:w="20" w:type="dxa"/>
              <w:bottom w:w="0" w:type="dxa"/>
              <w:right w:w="20" w:type="dxa"/>
            </w:tcMar>
            <w:vAlign w:val="center"/>
            <w:hideMark/>
          </w:tcPr>
          <w:p w14:paraId="0FEC664B"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1D17D2" w14:textId="77777777" w:rsidR="00000000" w:rsidRDefault="00C01C43">
            <w:pPr>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14:paraId="2627C58E"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D2B293" w14:textId="77777777" w:rsidR="00000000" w:rsidRDefault="00C01C43">
            <w:pPr>
              <w:jc w:val="right"/>
              <w:rPr>
                <w:rFonts w:eastAsia="Times New Roman"/>
              </w:rPr>
            </w:pPr>
            <w:r>
              <w:rPr>
                <w:rFonts w:ascii="Arial" w:eastAsia="Times New Roman" w:hAnsi="Arial" w:cs="Arial"/>
                <w:color w:val="000000"/>
                <w:sz w:val="18"/>
                <w:szCs w:val="18"/>
              </w:rPr>
              <w:t>10.745 </w:t>
            </w:r>
          </w:p>
        </w:tc>
        <w:tc>
          <w:tcPr>
            <w:tcW w:w="0" w:type="auto"/>
            <w:shd w:val="clear" w:color="auto" w:fill="CCEEFF"/>
            <w:tcMar>
              <w:top w:w="30" w:type="dxa"/>
              <w:left w:w="0" w:type="dxa"/>
              <w:bottom w:w="30" w:type="dxa"/>
              <w:right w:w="20" w:type="dxa"/>
            </w:tcMar>
            <w:vAlign w:val="bottom"/>
            <w:hideMark/>
          </w:tcPr>
          <w:p w14:paraId="54199103"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DCF13C" w14:textId="77777777" w:rsidR="00000000" w:rsidRDefault="00C01C43">
            <w:pPr>
              <w:jc w:val="right"/>
              <w:rPr>
                <w:rFonts w:eastAsia="Times New Roman"/>
              </w:rPr>
            </w:pPr>
            <w:r>
              <w:rPr>
                <w:rFonts w:ascii="Arial" w:eastAsia="Times New Roman" w:hAnsi="Arial" w:cs="Arial"/>
                <w:color w:val="000000"/>
                <w:sz w:val="18"/>
                <w:szCs w:val="18"/>
              </w:rPr>
              <w:t>1.7 </w:t>
            </w:r>
          </w:p>
        </w:tc>
        <w:tc>
          <w:tcPr>
            <w:tcW w:w="0" w:type="auto"/>
            <w:shd w:val="clear" w:color="auto" w:fill="CCEEFF"/>
            <w:tcMar>
              <w:top w:w="30" w:type="dxa"/>
              <w:left w:w="0" w:type="dxa"/>
              <w:bottom w:w="30" w:type="dxa"/>
              <w:right w:w="20" w:type="dxa"/>
            </w:tcMar>
            <w:vAlign w:val="bottom"/>
            <w:hideMark/>
          </w:tcPr>
          <w:p w14:paraId="7E1F802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3839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5B758B" w14:textId="77777777" w:rsidR="00000000" w:rsidRDefault="00C01C43">
            <w:pPr>
              <w:jc w:val="right"/>
              <w:rPr>
                <w:rFonts w:eastAsia="Times New Roman"/>
              </w:rPr>
            </w:pPr>
            <w:r>
              <w:rPr>
                <w:rFonts w:ascii="Arial" w:eastAsia="Times New Roman" w:hAnsi="Arial" w:cs="Arial"/>
                <w:color w:val="000000"/>
                <w:sz w:val="18"/>
                <w:szCs w:val="18"/>
              </w:rPr>
              <w:t>(0.2)</w:t>
            </w:r>
          </w:p>
        </w:tc>
        <w:tc>
          <w:tcPr>
            <w:tcW w:w="0" w:type="auto"/>
            <w:shd w:val="clear" w:color="auto" w:fill="CCEEFF"/>
            <w:tcMar>
              <w:top w:w="30" w:type="dxa"/>
              <w:left w:w="0" w:type="dxa"/>
              <w:bottom w:w="30" w:type="dxa"/>
              <w:right w:w="20" w:type="dxa"/>
            </w:tcMar>
            <w:vAlign w:val="bottom"/>
            <w:hideMark/>
          </w:tcPr>
          <w:p w14:paraId="00B938DB"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C6D77D" w14:textId="77777777" w:rsidR="00000000" w:rsidRDefault="00C01C43">
            <w:pPr>
              <w:jc w:val="right"/>
              <w:rPr>
                <w:rFonts w:eastAsia="Times New Roman"/>
              </w:rPr>
            </w:pPr>
            <w:r>
              <w:rPr>
                <w:rFonts w:ascii="Arial" w:eastAsia="Times New Roman" w:hAnsi="Arial" w:cs="Arial"/>
                <w:color w:val="000000"/>
                <w:sz w:val="18"/>
                <w:szCs w:val="18"/>
              </w:rPr>
              <w:t>6.629 </w:t>
            </w:r>
          </w:p>
        </w:tc>
        <w:tc>
          <w:tcPr>
            <w:tcW w:w="0" w:type="auto"/>
            <w:shd w:val="clear" w:color="auto" w:fill="CCEEFF"/>
            <w:tcMar>
              <w:top w:w="30" w:type="dxa"/>
              <w:left w:w="0" w:type="dxa"/>
              <w:bottom w:w="30" w:type="dxa"/>
              <w:right w:w="20" w:type="dxa"/>
            </w:tcMar>
            <w:vAlign w:val="bottom"/>
            <w:hideMark/>
          </w:tcPr>
          <w:p w14:paraId="5345BD83"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842D7F" w14:textId="77777777" w:rsidR="00000000" w:rsidRDefault="00C01C43">
            <w:pPr>
              <w:jc w:val="right"/>
              <w:rPr>
                <w:rFonts w:eastAsia="Times New Roman"/>
              </w:rPr>
            </w:pPr>
            <w:r>
              <w:rPr>
                <w:rFonts w:ascii="Arial" w:eastAsia="Times New Roman" w:hAnsi="Arial" w:cs="Arial"/>
                <w:color w:val="000000"/>
                <w:sz w:val="18"/>
                <w:szCs w:val="18"/>
              </w:rPr>
              <w:t>0.9 </w:t>
            </w:r>
          </w:p>
        </w:tc>
        <w:tc>
          <w:tcPr>
            <w:tcW w:w="0" w:type="auto"/>
            <w:shd w:val="clear" w:color="auto" w:fill="CCEEFF"/>
            <w:tcMar>
              <w:top w:w="30" w:type="dxa"/>
              <w:left w:w="0" w:type="dxa"/>
              <w:bottom w:w="30" w:type="dxa"/>
              <w:right w:w="20" w:type="dxa"/>
            </w:tcMar>
            <w:vAlign w:val="bottom"/>
            <w:hideMark/>
          </w:tcPr>
          <w:p w14:paraId="2AD231FC" w14:textId="77777777" w:rsidR="00000000" w:rsidRDefault="00C01C43">
            <w:pPr>
              <w:jc w:val="right"/>
              <w:rPr>
                <w:rFonts w:eastAsia="Times New Roman"/>
              </w:rPr>
            </w:pPr>
          </w:p>
        </w:tc>
      </w:tr>
      <w:tr w:rsidR="00000000" w14:paraId="0DC1F78A" w14:textId="77777777">
        <w:trPr>
          <w:divId w:val="2139105891"/>
        </w:trPr>
        <w:tc>
          <w:tcPr>
            <w:tcW w:w="0" w:type="auto"/>
            <w:gridSpan w:val="3"/>
            <w:shd w:val="clear" w:color="auto" w:fill="FFFFFF"/>
            <w:tcMar>
              <w:top w:w="0" w:type="dxa"/>
              <w:left w:w="20" w:type="dxa"/>
              <w:bottom w:w="0" w:type="dxa"/>
              <w:right w:w="20" w:type="dxa"/>
            </w:tcMar>
            <w:vAlign w:val="center"/>
            <w:hideMark/>
          </w:tcPr>
          <w:p w14:paraId="5BF3CA48" w14:textId="77777777" w:rsidR="00000000" w:rsidRDefault="00C01C43">
            <w:pPr>
              <w:jc w:val="right"/>
              <w:rPr>
                <w:rFonts w:eastAsia="Times New Roman"/>
                <w:sz w:val="20"/>
                <w:szCs w:val="20"/>
              </w:rPr>
            </w:pP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14:paraId="32A41A27" w14:textId="77777777" w:rsidR="00000000" w:rsidRDefault="00C01C43">
            <w:pPr>
              <w:rPr>
                <w:rFonts w:eastAsia="Times New Roman"/>
                <w:sz w:val="20"/>
                <w:szCs w:val="20"/>
              </w:rPr>
            </w:pP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14:paraId="5C8C1685"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48C9AE"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6DD820"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091B25"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6313EA" w14:textId="77777777" w:rsidR="00000000" w:rsidRDefault="00C01C43">
            <w:pPr>
              <w:jc w:val="right"/>
              <w:rPr>
                <w:rFonts w:eastAsia="Times New Roman"/>
              </w:rPr>
            </w:pPr>
            <w:r>
              <w:rPr>
                <w:rFonts w:ascii="Arial" w:eastAsia="Times New Roman" w:hAnsi="Arial" w:cs="Arial"/>
                <w:color w:val="000000"/>
                <w:sz w:val="18"/>
                <w:szCs w:val="18"/>
              </w:rPr>
              <w:t>42.5 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FFB7B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3710A3"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862969"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EF8614"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F75414" w14:textId="77777777" w:rsidR="00000000" w:rsidRDefault="00C01C43">
            <w:pPr>
              <w:jc w:val="right"/>
              <w:rPr>
                <w:rFonts w:eastAsia="Times New Roman"/>
              </w:rPr>
            </w:pPr>
            <w:r>
              <w:rPr>
                <w:rFonts w:ascii="Arial" w:eastAsia="Times New Roman" w:hAnsi="Arial" w:cs="Arial"/>
                <w:color w:val="000000"/>
                <w:sz w:val="18"/>
                <w:szCs w:val="18"/>
              </w:rPr>
              <w:t>22.3 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61608E" w14:textId="77777777" w:rsidR="00000000" w:rsidRDefault="00C01C43">
            <w:pPr>
              <w:jc w:val="right"/>
              <w:rPr>
                <w:rFonts w:eastAsia="Times New Roman"/>
              </w:rPr>
            </w:pPr>
          </w:p>
        </w:tc>
      </w:tr>
      <w:tr w:rsidR="00000000" w14:paraId="4E01BC23" w14:textId="77777777">
        <w:trPr>
          <w:divId w:val="2139105891"/>
        </w:trPr>
        <w:tc>
          <w:tcPr>
            <w:tcW w:w="0" w:type="auto"/>
            <w:gridSpan w:val="9"/>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65421557" w14:textId="77777777" w:rsidR="00000000" w:rsidRDefault="00C01C43">
            <w:pPr>
              <w:rPr>
                <w:rFonts w:eastAsia="Times New Roman"/>
              </w:rPr>
            </w:pPr>
            <w:r>
              <w:rPr>
                <w:rFonts w:ascii="Arial" w:eastAsia="Times New Roman" w:hAnsi="Arial" w:cs="Arial"/>
                <w:color w:val="000000"/>
                <w:sz w:val="18"/>
                <w:szCs w:val="18"/>
              </w:rPr>
              <w:t>Total commodity derivative contracts</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3398AE4" w14:textId="77777777" w:rsidR="00000000" w:rsidRDefault="00C01C43">
            <w:pPr>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1920FF7" w14:textId="77777777" w:rsidR="00000000" w:rsidRDefault="00C01C43">
            <w:pPr>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B7B46FB" w14:textId="77777777" w:rsidR="00000000" w:rsidRDefault="00C01C4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5ED343" w14:textId="77777777" w:rsidR="00000000" w:rsidRDefault="00C01C43">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DBA780" w14:textId="77777777" w:rsidR="00000000" w:rsidRDefault="00C01C43">
            <w:pPr>
              <w:jc w:val="right"/>
              <w:rPr>
                <w:rFonts w:eastAsia="Times New Roman"/>
              </w:rPr>
            </w:pPr>
            <w:r>
              <w:rPr>
                <w:rFonts w:ascii="Arial" w:eastAsia="Times New Roman" w:hAnsi="Arial" w:cs="Arial"/>
                <w:color w:val="000000"/>
                <w:sz w:val="18"/>
                <w:szCs w:val="18"/>
              </w:rPr>
              <w:t>45.0 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B5C47F"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684024A9" w14:textId="77777777" w:rsidR="00000000" w:rsidRDefault="00C01C43">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FCB5024" w14:textId="77777777" w:rsidR="00000000" w:rsidRDefault="00C01C43">
            <w:pPr>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5CE72BC" w14:textId="77777777" w:rsidR="00000000" w:rsidRDefault="00C01C4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14614D" w14:textId="77777777" w:rsidR="00000000" w:rsidRDefault="00C01C43">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E599FE" w14:textId="77777777" w:rsidR="00000000" w:rsidRDefault="00C01C43">
            <w:pPr>
              <w:jc w:val="right"/>
              <w:rPr>
                <w:rFonts w:eastAsia="Times New Roman"/>
              </w:rPr>
            </w:pPr>
            <w:r>
              <w:rPr>
                <w:rFonts w:ascii="Arial" w:eastAsia="Times New Roman" w:hAnsi="Arial" w:cs="Arial"/>
                <w:color w:val="000000"/>
                <w:sz w:val="18"/>
                <w:szCs w:val="18"/>
              </w:rPr>
              <w:t>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518901" w14:textId="77777777" w:rsidR="00000000" w:rsidRDefault="00C01C43">
            <w:pPr>
              <w:jc w:val="right"/>
              <w:rPr>
                <w:rFonts w:eastAsia="Times New Roman"/>
              </w:rPr>
            </w:pPr>
          </w:p>
        </w:tc>
      </w:tr>
    </w:tbl>
    <w:p w14:paraId="339B5D36" w14:textId="77777777" w:rsidR="00000000" w:rsidRDefault="00C01C43">
      <w:pPr>
        <w:jc w:val="both"/>
        <w:rPr>
          <w:rFonts w:eastAsia="Times New Roman"/>
        </w:rPr>
      </w:pPr>
    </w:p>
    <w:p w14:paraId="6A53B9EE" w14:textId="77777777" w:rsidR="00000000" w:rsidRDefault="00C01C43">
      <w:pPr>
        <w:jc w:val="both"/>
        <w:rPr>
          <w:rFonts w:eastAsia="Times New Roman"/>
        </w:rPr>
      </w:pPr>
      <w:r>
        <w:rPr>
          <w:rFonts w:ascii="Arial" w:eastAsia="Times New Roman" w:hAnsi="Arial" w:cs="Arial"/>
          <w:b/>
          <w:bCs/>
          <w:color w:val="000000"/>
          <w:sz w:val="20"/>
          <w:szCs w:val="20"/>
        </w:rPr>
        <w:t>Foreign Currency Exchange Risk</w:t>
      </w:r>
    </w:p>
    <w:p w14:paraId="2910CD15" w14:textId="77777777" w:rsidR="00000000" w:rsidRDefault="00C01C43">
      <w:pPr>
        <w:jc w:val="both"/>
        <w:divId w:val="892620196"/>
        <w:rPr>
          <w:rFonts w:eastAsia="Times New Roman"/>
        </w:rPr>
      </w:pPr>
      <w:r>
        <w:rPr>
          <w:rFonts w:ascii="Arial" w:eastAsia="Times New Roman" w:hAnsi="Arial" w:cs="Arial"/>
          <w:color w:val="000000"/>
          <w:sz w:val="20"/>
          <w:szCs w:val="20"/>
        </w:rPr>
        <w:t>We hedge our exposure to currency exchange rate changes, such as foreign-currency-denominated trade receivables, payables, or local currency tax payments. The foreign currency exchange rate risk results primarily from our international operations and is ec</w:t>
      </w:r>
      <w:r>
        <w:rPr>
          <w:rFonts w:ascii="Arial" w:eastAsia="Times New Roman" w:hAnsi="Arial" w:cs="Arial"/>
          <w:color w:val="000000"/>
          <w:sz w:val="20"/>
          <w:szCs w:val="20"/>
        </w:rPr>
        <w:t xml:space="preserve">onomically hedged using forward and swap contracts. The changes in the fair value of these foreign currency exchange derivatives are recorded in earnings. Since the gains or losses on the forward and swap contracts are substantially offset by the gains or </w:t>
      </w:r>
      <w:r>
        <w:rPr>
          <w:rFonts w:ascii="Arial" w:eastAsia="Times New Roman" w:hAnsi="Arial" w:cs="Arial"/>
          <w:color w:val="000000"/>
          <w:sz w:val="20"/>
          <w:szCs w:val="20"/>
        </w:rPr>
        <w:t>losses from remeasuring the hedged foreign-currency-denominated exposure, we do not believe that a hypothetical 10% change in exchange rates at December 31, 2020 would have a material impact on our income from operations.</w:t>
      </w:r>
    </w:p>
    <w:p w14:paraId="04986E82" w14:textId="77777777" w:rsidR="00000000" w:rsidRDefault="00C01C43">
      <w:pPr>
        <w:jc w:val="both"/>
        <w:divId w:val="545410601"/>
        <w:rPr>
          <w:rFonts w:eastAsia="Times New Roman"/>
        </w:rPr>
      </w:pPr>
    </w:p>
    <w:p w14:paraId="66D41677" w14:textId="77777777" w:rsidR="00000000" w:rsidRDefault="00C01C43">
      <w:pPr>
        <w:jc w:val="center"/>
        <w:divId w:val="546986360"/>
        <w:rPr>
          <w:rFonts w:eastAsia="Times New Roman"/>
        </w:rPr>
      </w:pPr>
      <w:r>
        <w:rPr>
          <w:rFonts w:ascii="Arial" w:eastAsia="Times New Roman" w:hAnsi="Arial" w:cs="Arial"/>
          <w:color w:val="000000"/>
          <w:sz w:val="16"/>
          <w:szCs w:val="16"/>
        </w:rPr>
        <w:t>37</w:t>
      </w:r>
    </w:p>
    <w:p w14:paraId="716EB7A2" w14:textId="77777777" w:rsidR="00000000" w:rsidRDefault="00C01C43">
      <w:pPr>
        <w:rPr>
          <w:rFonts w:eastAsia="Times New Roman"/>
        </w:rPr>
      </w:pPr>
      <w:r>
        <w:rPr>
          <w:rFonts w:eastAsia="Times New Roman"/>
        </w:rPr>
        <w:pict w14:anchorId="4FFA1664">
          <v:rect id="_x0000_i1066" style="width:0;height:1.5pt" o:hralign="center" o:hrstd="t" o:hr="t" fillcolor="#a0a0a0" stroked="f"/>
        </w:pict>
      </w:r>
    </w:p>
    <w:p w14:paraId="3F87AAFA" w14:textId="77777777" w:rsidR="00000000" w:rsidRDefault="00C01C43">
      <w:pPr>
        <w:divId w:val="522943467"/>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52B70CAA" w14:textId="77777777" w:rsidR="00000000" w:rsidRDefault="00C01C43">
      <w:pPr>
        <w:jc w:val="both"/>
        <w:divId w:val="844322884"/>
        <w:rPr>
          <w:rFonts w:eastAsia="Times New Roman"/>
        </w:rPr>
      </w:pPr>
      <w:r>
        <w:rPr>
          <w:rFonts w:ascii="Arial" w:eastAsia="Times New Roman" w:hAnsi="Arial" w:cs="Arial"/>
          <w:color w:val="000000"/>
          <w:sz w:val="20"/>
          <w:szCs w:val="20"/>
        </w:rPr>
        <w:t>The foreign currency denominated notional amounts and fair values in U.S. dollars of our exposures from our foreign currency exchange derivatives at December 31, 2020, were</w:t>
      </w:r>
      <w:r>
        <w:rPr>
          <w:rFonts w:ascii="Arial" w:eastAsia="Times New Roman" w:hAnsi="Arial" w:cs="Arial"/>
          <w:color w:val="000000"/>
          <w:sz w:val="20"/>
          <w:szCs w:val="20"/>
        </w:rPr>
        <w:t xml:space="preserve"> primarily related to the following (in millions, except weighted average contract price):</w:t>
      </w:r>
    </w:p>
    <w:tbl>
      <w:tblPr>
        <w:tblW w:w="4992" w:type="pct"/>
        <w:tblCellMar>
          <w:top w:w="15" w:type="dxa"/>
          <w:left w:w="15" w:type="dxa"/>
          <w:bottom w:w="15" w:type="dxa"/>
          <w:right w:w="15" w:type="dxa"/>
        </w:tblCellMar>
        <w:tblLook w:val="04A0" w:firstRow="1" w:lastRow="0" w:firstColumn="1" w:lastColumn="0" w:noHBand="0" w:noVBand="1"/>
      </w:tblPr>
      <w:tblGrid>
        <w:gridCol w:w="56"/>
        <w:gridCol w:w="1642"/>
        <w:gridCol w:w="36"/>
        <w:gridCol w:w="56"/>
        <w:gridCol w:w="1035"/>
        <w:gridCol w:w="37"/>
        <w:gridCol w:w="56"/>
        <w:gridCol w:w="1666"/>
        <w:gridCol w:w="36"/>
        <w:gridCol w:w="36"/>
        <w:gridCol w:w="114"/>
        <w:gridCol w:w="36"/>
        <w:gridCol w:w="56"/>
        <w:gridCol w:w="1666"/>
        <w:gridCol w:w="36"/>
        <w:gridCol w:w="36"/>
        <w:gridCol w:w="114"/>
        <w:gridCol w:w="36"/>
        <w:gridCol w:w="132"/>
        <w:gridCol w:w="1375"/>
        <w:gridCol w:w="36"/>
      </w:tblGrid>
      <w:tr w:rsidR="00000000" w14:paraId="4645E002" w14:textId="77777777">
        <w:trPr>
          <w:divId w:val="210658901"/>
        </w:trPr>
        <w:tc>
          <w:tcPr>
            <w:tcW w:w="50" w:type="pct"/>
            <w:vAlign w:val="center"/>
            <w:hideMark/>
          </w:tcPr>
          <w:p w14:paraId="536DB969" w14:textId="77777777" w:rsidR="00000000" w:rsidRDefault="00C01C43">
            <w:pPr>
              <w:jc w:val="both"/>
              <w:rPr>
                <w:rFonts w:eastAsia="Times New Roman"/>
              </w:rPr>
            </w:pPr>
          </w:p>
        </w:tc>
        <w:tc>
          <w:tcPr>
            <w:tcW w:w="1006" w:type="pct"/>
            <w:vAlign w:val="center"/>
            <w:hideMark/>
          </w:tcPr>
          <w:p w14:paraId="336EE150" w14:textId="77777777" w:rsidR="00000000" w:rsidRDefault="00C01C43">
            <w:pPr>
              <w:rPr>
                <w:rFonts w:eastAsia="Times New Roman"/>
                <w:sz w:val="20"/>
                <w:szCs w:val="20"/>
              </w:rPr>
            </w:pPr>
          </w:p>
        </w:tc>
        <w:tc>
          <w:tcPr>
            <w:tcW w:w="5" w:type="pct"/>
            <w:vAlign w:val="center"/>
            <w:hideMark/>
          </w:tcPr>
          <w:p w14:paraId="3FC690AE" w14:textId="77777777" w:rsidR="00000000" w:rsidRDefault="00C01C43">
            <w:pPr>
              <w:rPr>
                <w:rFonts w:eastAsia="Times New Roman"/>
                <w:sz w:val="20"/>
                <w:szCs w:val="20"/>
              </w:rPr>
            </w:pPr>
          </w:p>
        </w:tc>
        <w:tc>
          <w:tcPr>
            <w:tcW w:w="50" w:type="pct"/>
            <w:vAlign w:val="center"/>
            <w:hideMark/>
          </w:tcPr>
          <w:p w14:paraId="3FA93C27" w14:textId="77777777" w:rsidR="00000000" w:rsidRDefault="00C01C43">
            <w:pPr>
              <w:rPr>
                <w:rFonts w:eastAsia="Times New Roman"/>
                <w:sz w:val="20"/>
                <w:szCs w:val="20"/>
              </w:rPr>
            </w:pPr>
          </w:p>
        </w:tc>
        <w:tc>
          <w:tcPr>
            <w:tcW w:w="640" w:type="pct"/>
            <w:vAlign w:val="center"/>
            <w:hideMark/>
          </w:tcPr>
          <w:p w14:paraId="5A756EF2" w14:textId="77777777" w:rsidR="00000000" w:rsidRDefault="00C01C43">
            <w:pPr>
              <w:rPr>
                <w:rFonts w:eastAsia="Times New Roman"/>
                <w:sz w:val="20"/>
                <w:szCs w:val="20"/>
              </w:rPr>
            </w:pPr>
          </w:p>
        </w:tc>
        <w:tc>
          <w:tcPr>
            <w:tcW w:w="5" w:type="pct"/>
            <w:vAlign w:val="center"/>
            <w:hideMark/>
          </w:tcPr>
          <w:p w14:paraId="662E1E64" w14:textId="77777777" w:rsidR="00000000" w:rsidRDefault="00C01C43">
            <w:pPr>
              <w:rPr>
                <w:rFonts w:eastAsia="Times New Roman"/>
                <w:sz w:val="20"/>
                <w:szCs w:val="20"/>
              </w:rPr>
            </w:pPr>
          </w:p>
        </w:tc>
        <w:tc>
          <w:tcPr>
            <w:tcW w:w="50" w:type="pct"/>
            <w:vAlign w:val="center"/>
            <w:hideMark/>
          </w:tcPr>
          <w:p w14:paraId="1250D26D" w14:textId="77777777" w:rsidR="00000000" w:rsidRDefault="00C01C43">
            <w:pPr>
              <w:rPr>
                <w:rFonts w:eastAsia="Times New Roman"/>
                <w:sz w:val="20"/>
                <w:szCs w:val="20"/>
              </w:rPr>
            </w:pPr>
          </w:p>
        </w:tc>
        <w:tc>
          <w:tcPr>
            <w:tcW w:w="1021" w:type="pct"/>
            <w:vAlign w:val="center"/>
            <w:hideMark/>
          </w:tcPr>
          <w:p w14:paraId="41A548E2" w14:textId="77777777" w:rsidR="00000000" w:rsidRDefault="00C01C43">
            <w:pPr>
              <w:rPr>
                <w:rFonts w:eastAsia="Times New Roman"/>
                <w:sz w:val="20"/>
                <w:szCs w:val="20"/>
              </w:rPr>
            </w:pPr>
          </w:p>
        </w:tc>
        <w:tc>
          <w:tcPr>
            <w:tcW w:w="5" w:type="pct"/>
            <w:vAlign w:val="center"/>
            <w:hideMark/>
          </w:tcPr>
          <w:p w14:paraId="7CE9E329" w14:textId="77777777" w:rsidR="00000000" w:rsidRDefault="00C01C43">
            <w:pPr>
              <w:rPr>
                <w:rFonts w:eastAsia="Times New Roman"/>
                <w:sz w:val="20"/>
                <w:szCs w:val="20"/>
              </w:rPr>
            </w:pPr>
          </w:p>
        </w:tc>
        <w:tc>
          <w:tcPr>
            <w:tcW w:w="5" w:type="pct"/>
            <w:vAlign w:val="center"/>
            <w:hideMark/>
          </w:tcPr>
          <w:p w14:paraId="33BC8CAA" w14:textId="77777777" w:rsidR="00000000" w:rsidRDefault="00C01C43">
            <w:pPr>
              <w:rPr>
                <w:rFonts w:eastAsia="Times New Roman"/>
                <w:sz w:val="20"/>
                <w:szCs w:val="20"/>
              </w:rPr>
            </w:pPr>
          </w:p>
        </w:tc>
        <w:tc>
          <w:tcPr>
            <w:tcW w:w="85" w:type="pct"/>
            <w:vAlign w:val="center"/>
            <w:hideMark/>
          </w:tcPr>
          <w:p w14:paraId="636D1778" w14:textId="77777777" w:rsidR="00000000" w:rsidRDefault="00C01C43">
            <w:pPr>
              <w:rPr>
                <w:rFonts w:eastAsia="Times New Roman"/>
                <w:sz w:val="20"/>
                <w:szCs w:val="20"/>
              </w:rPr>
            </w:pPr>
          </w:p>
        </w:tc>
        <w:tc>
          <w:tcPr>
            <w:tcW w:w="5" w:type="pct"/>
            <w:vAlign w:val="center"/>
            <w:hideMark/>
          </w:tcPr>
          <w:p w14:paraId="6B2A3BE5" w14:textId="77777777" w:rsidR="00000000" w:rsidRDefault="00C01C43">
            <w:pPr>
              <w:rPr>
                <w:rFonts w:eastAsia="Times New Roman"/>
                <w:sz w:val="20"/>
                <w:szCs w:val="20"/>
              </w:rPr>
            </w:pPr>
          </w:p>
        </w:tc>
        <w:tc>
          <w:tcPr>
            <w:tcW w:w="50" w:type="pct"/>
            <w:vAlign w:val="center"/>
            <w:hideMark/>
          </w:tcPr>
          <w:p w14:paraId="4E48B035" w14:textId="77777777" w:rsidR="00000000" w:rsidRDefault="00C01C43">
            <w:pPr>
              <w:rPr>
                <w:rFonts w:eastAsia="Times New Roman"/>
                <w:sz w:val="20"/>
                <w:szCs w:val="20"/>
              </w:rPr>
            </w:pPr>
          </w:p>
        </w:tc>
        <w:tc>
          <w:tcPr>
            <w:tcW w:w="1021" w:type="pct"/>
            <w:vAlign w:val="center"/>
            <w:hideMark/>
          </w:tcPr>
          <w:p w14:paraId="559CD05F" w14:textId="77777777" w:rsidR="00000000" w:rsidRDefault="00C01C43">
            <w:pPr>
              <w:rPr>
                <w:rFonts w:eastAsia="Times New Roman"/>
                <w:sz w:val="20"/>
                <w:szCs w:val="20"/>
              </w:rPr>
            </w:pPr>
          </w:p>
        </w:tc>
        <w:tc>
          <w:tcPr>
            <w:tcW w:w="5" w:type="pct"/>
            <w:vAlign w:val="center"/>
            <w:hideMark/>
          </w:tcPr>
          <w:p w14:paraId="7BF2B4A9" w14:textId="77777777" w:rsidR="00000000" w:rsidRDefault="00C01C43">
            <w:pPr>
              <w:rPr>
                <w:rFonts w:eastAsia="Times New Roman"/>
                <w:sz w:val="20"/>
                <w:szCs w:val="20"/>
              </w:rPr>
            </w:pPr>
          </w:p>
        </w:tc>
        <w:tc>
          <w:tcPr>
            <w:tcW w:w="5" w:type="pct"/>
            <w:vAlign w:val="center"/>
            <w:hideMark/>
          </w:tcPr>
          <w:p w14:paraId="2909A3AB" w14:textId="77777777" w:rsidR="00000000" w:rsidRDefault="00C01C43">
            <w:pPr>
              <w:rPr>
                <w:rFonts w:eastAsia="Times New Roman"/>
                <w:sz w:val="20"/>
                <w:szCs w:val="20"/>
              </w:rPr>
            </w:pPr>
          </w:p>
        </w:tc>
        <w:tc>
          <w:tcPr>
            <w:tcW w:w="85" w:type="pct"/>
            <w:vAlign w:val="center"/>
            <w:hideMark/>
          </w:tcPr>
          <w:p w14:paraId="71D89CBA" w14:textId="77777777" w:rsidR="00000000" w:rsidRDefault="00C01C43">
            <w:pPr>
              <w:rPr>
                <w:rFonts w:eastAsia="Times New Roman"/>
                <w:sz w:val="20"/>
                <w:szCs w:val="20"/>
              </w:rPr>
            </w:pPr>
          </w:p>
        </w:tc>
        <w:tc>
          <w:tcPr>
            <w:tcW w:w="5" w:type="pct"/>
            <w:vAlign w:val="center"/>
            <w:hideMark/>
          </w:tcPr>
          <w:p w14:paraId="1E0181F6" w14:textId="77777777" w:rsidR="00000000" w:rsidRDefault="00C01C43">
            <w:pPr>
              <w:rPr>
                <w:rFonts w:eastAsia="Times New Roman"/>
                <w:sz w:val="20"/>
                <w:szCs w:val="20"/>
              </w:rPr>
            </w:pPr>
          </w:p>
        </w:tc>
        <w:tc>
          <w:tcPr>
            <w:tcW w:w="50" w:type="pct"/>
            <w:vAlign w:val="center"/>
            <w:hideMark/>
          </w:tcPr>
          <w:p w14:paraId="3AE36D8B" w14:textId="77777777" w:rsidR="00000000" w:rsidRDefault="00C01C43">
            <w:pPr>
              <w:rPr>
                <w:rFonts w:eastAsia="Times New Roman"/>
                <w:sz w:val="20"/>
                <w:szCs w:val="20"/>
              </w:rPr>
            </w:pPr>
          </w:p>
        </w:tc>
        <w:tc>
          <w:tcPr>
            <w:tcW w:w="845" w:type="pct"/>
            <w:vAlign w:val="center"/>
            <w:hideMark/>
          </w:tcPr>
          <w:p w14:paraId="41EE49A8" w14:textId="77777777" w:rsidR="00000000" w:rsidRDefault="00C01C43">
            <w:pPr>
              <w:rPr>
                <w:rFonts w:eastAsia="Times New Roman"/>
                <w:sz w:val="20"/>
                <w:szCs w:val="20"/>
              </w:rPr>
            </w:pPr>
          </w:p>
        </w:tc>
        <w:tc>
          <w:tcPr>
            <w:tcW w:w="5" w:type="pct"/>
            <w:vAlign w:val="center"/>
            <w:hideMark/>
          </w:tcPr>
          <w:p w14:paraId="6D8C9BE7" w14:textId="77777777" w:rsidR="00000000" w:rsidRDefault="00C01C43">
            <w:pPr>
              <w:rPr>
                <w:rFonts w:eastAsia="Times New Roman"/>
                <w:sz w:val="20"/>
                <w:szCs w:val="20"/>
              </w:rPr>
            </w:pPr>
          </w:p>
        </w:tc>
      </w:tr>
      <w:tr w:rsidR="00000000" w14:paraId="45CA3A59" w14:textId="77777777">
        <w:trPr>
          <w:divId w:val="210658901"/>
        </w:trPr>
        <w:tc>
          <w:tcPr>
            <w:tcW w:w="0" w:type="auto"/>
            <w:gridSpan w:val="21"/>
            <w:tcMar>
              <w:top w:w="30" w:type="dxa"/>
              <w:left w:w="20" w:type="dxa"/>
              <w:bottom w:w="30" w:type="dxa"/>
              <w:right w:w="20" w:type="dxa"/>
            </w:tcMar>
            <w:vAlign w:val="bottom"/>
            <w:hideMark/>
          </w:tcPr>
          <w:p w14:paraId="01AF8692" w14:textId="77777777" w:rsidR="00000000" w:rsidRDefault="00C01C43">
            <w:pPr>
              <w:jc w:val="center"/>
              <w:rPr>
                <w:rFonts w:eastAsia="Times New Roman"/>
              </w:rPr>
            </w:pPr>
            <w:r>
              <w:rPr>
                <w:rFonts w:ascii="Arial" w:eastAsia="Times New Roman" w:hAnsi="Arial" w:cs="Arial"/>
                <w:b/>
                <w:bCs/>
                <w:color w:val="000000"/>
                <w:sz w:val="16"/>
                <w:szCs w:val="16"/>
              </w:rPr>
              <w:t>As of December 31, 2020</w:t>
            </w:r>
          </w:p>
        </w:tc>
      </w:tr>
      <w:tr w:rsidR="00000000" w14:paraId="18FCD3CE" w14:textId="77777777">
        <w:trPr>
          <w:divId w:val="210658901"/>
        </w:trPr>
        <w:tc>
          <w:tcPr>
            <w:tcW w:w="0" w:type="auto"/>
            <w:gridSpan w:val="3"/>
            <w:tcBorders>
              <w:top w:val="single" w:sz="8" w:space="0" w:color="000000"/>
            </w:tcBorders>
            <w:tcMar>
              <w:top w:w="30" w:type="dxa"/>
              <w:left w:w="20" w:type="dxa"/>
              <w:bottom w:w="30" w:type="dxa"/>
              <w:right w:w="20" w:type="dxa"/>
            </w:tcMar>
            <w:vAlign w:val="bottom"/>
            <w:hideMark/>
          </w:tcPr>
          <w:p w14:paraId="7A2D41B8" w14:textId="77777777" w:rsidR="00000000" w:rsidRDefault="00C01C43">
            <w:pPr>
              <w:rPr>
                <w:rFonts w:eastAsia="Times New Roman"/>
              </w:rPr>
            </w:pPr>
            <w:r>
              <w:rPr>
                <w:rFonts w:ascii="Arial" w:eastAsia="Times New Roman" w:hAnsi="Arial" w:cs="Arial"/>
                <w:b/>
                <w:bCs/>
                <w:color w:val="000000"/>
                <w:sz w:val="16"/>
                <w:szCs w:val="16"/>
              </w:rPr>
              <w:t>Settlement Period</w:t>
            </w:r>
          </w:p>
        </w:tc>
        <w:tc>
          <w:tcPr>
            <w:tcW w:w="0" w:type="auto"/>
            <w:gridSpan w:val="3"/>
            <w:tcBorders>
              <w:top w:val="single" w:sz="8" w:space="0" w:color="000000"/>
            </w:tcBorders>
            <w:tcMar>
              <w:top w:w="30" w:type="dxa"/>
              <w:left w:w="20" w:type="dxa"/>
              <w:bottom w:w="30" w:type="dxa"/>
              <w:right w:w="20" w:type="dxa"/>
            </w:tcMar>
            <w:vAlign w:val="bottom"/>
            <w:hideMark/>
          </w:tcPr>
          <w:p w14:paraId="353F3B70" w14:textId="77777777" w:rsidR="00000000" w:rsidRDefault="00C01C43">
            <w:pPr>
              <w:jc w:val="center"/>
              <w:rPr>
                <w:rFonts w:eastAsia="Times New Roman"/>
              </w:rPr>
            </w:pPr>
            <w:r>
              <w:rPr>
                <w:rFonts w:ascii="Arial" w:eastAsia="Times New Roman" w:hAnsi="Arial" w:cs="Arial"/>
                <w:b/>
                <w:bCs/>
                <w:color w:val="000000"/>
                <w:sz w:val="16"/>
                <w:szCs w:val="16"/>
              </w:rPr>
              <w:t>Unit</w:t>
            </w:r>
          </w:p>
        </w:tc>
        <w:tc>
          <w:tcPr>
            <w:tcW w:w="0" w:type="auto"/>
            <w:gridSpan w:val="3"/>
            <w:tcBorders>
              <w:top w:val="single" w:sz="8" w:space="0" w:color="000000"/>
            </w:tcBorders>
            <w:tcMar>
              <w:top w:w="30" w:type="dxa"/>
              <w:left w:w="20" w:type="dxa"/>
              <w:bottom w:w="30" w:type="dxa"/>
              <w:right w:w="20" w:type="dxa"/>
            </w:tcMar>
            <w:vAlign w:val="bottom"/>
            <w:hideMark/>
          </w:tcPr>
          <w:p w14:paraId="55D7FA73" w14:textId="77777777" w:rsidR="00000000" w:rsidRDefault="00C01C43">
            <w:pPr>
              <w:jc w:val="center"/>
              <w:rPr>
                <w:rFonts w:eastAsia="Times New Roman"/>
              </w:rPr>
            </w:pPr>
            <w:r>
              <w:rPr>
                <w:rFonts w:ascii="Arial" w:eastAsia="Times New Roman" w:hAnsi="Arial" w:cs="Arial"/>
                <w:b/>
                <w:bCs/>
                <w:color w:val="000000"/>
                <w:sz w:val="16"/>
                <w:szCs w:val="16"/>
              </w:rPr>
              <w:t xml:space="preserve">Notional </w:t>
            </w:r>
            <w:r>
              <w:rPr>
                <w:rFonts w:ascii="Arial" w:eastAsia="Times New Roman" w:hAnsi="Arial" w:cs="Arial"/>
                <w:b/>
                <w:bCs/>
                <w:color w:val="000000"/>
                <w:sz w:val="16"/>
                <w:szCs w:val="16"/>
              </w:rPr>
              <w:br/>
              <w:t>Net Long/(Short)</w:t>
            </w:r>
          </w:p>
        </w:tc>
        <w:tc>
          <w:tcPr>
            <w:tcW w:w="0" w:type="auto"/>
            <w:gridSpan w:val="3"/>
            <w:tcBorders>
              <w:top w:val="single" w:sz="8" w:space="0" w:color="000000"/>
            </w:tcBorders>
            <w:tcMar>
              <w:top w:w="0" w:type="dxa"/>
              <w:left w:w="20" w:type="dxa"/>
              <w:bottom w:w="0" w:type="dxa"/>
              <w:right w:w="20" w:type="dxa"/>
            </w:tcMar>
            <w:vAlign w:val="center"/>
            <w:hideMark/>
          </w:tcPr>
          <w:p w14:paraId="59AFE18C"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6C948C" w14:textId="77777777" w:rsidR="00000000" w:rsidRDefault="00C01C43">
            <w:pPr>
              <w:jc w:val="center"/>
              <w:rPr>
                <w:rFonts w:eastAsia="Times New Roman"/>
              </w:rPr>
            </w:pPr>
            <w:r>
              <w:rPr>
                <w:rFonts w:ascii="Arial" w:eastAsia="Times New Roman" w:hAnsi="Arial" w:cs="Arial"/>
                <w:b/>
                <w:bCs/>
                <w:color w:val="000000"/>
                <w:sz w:val="16"/>
                <w:szCs w:val="16"/>
              </w:rPr>
              <w:t>Weighted Average</w:t>
            </w:r>
            <w:r>
              <w:rPr>
                <w:rFonts w:ascii="Arial" w:eastAsia="Times New Roman" w:hAnsi="Arial" w:cs="Arial"/>
                <w:b/>
                <w:bCs/>
                <w:color w:val="000000"/>
                <w:sz w:val="16"/>
                <w:szCs w:val="16"/>
              </w:rPr>
              <w:br/>
            </w:r>
            <w:r>
              <w:rPr>
                <w:rFonts w:ascii="Arial" w:eastAsia="Times New Roman" w:hAnsi="Arial" w:cs="Arial"/>
                <w:b/>
                <w:bCs/>
                <w:color w:val="000000"/>
                <w:sz w:val="16"/>
                <w:szCs w:val="16"/>
              </w:rPr>
              <w:t>Contract Price</w:t>
            </w:r>
          </w:p>
        </w:tc>
        <w:tc>
          <w:tcPr>
            <w:tcW w:w="0" w:type="auto"/>
            <w:gridSpan w:val="3"/>
            <w:tcBorders>
              <w:top w:val="single" w:sz="8" w:space="0" w:color="000000"/>
            </w:tcBorders>
            <w:tcMar>
              <w:top w:w="0" w:type="dxa"/>
              <w:left w:w="20" w:type="dxa"/>
              <w:bottom w:w="0" w:type="dxa"/>
              <w:right w:w="20" w:type="dxa"/>
            </w:tcMar>
            <w:vAlign w:val="center"/>
            <w:hideMark/>
          </w:tcPr>
          <w:p w14:paraId="1F8B8CC9"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A4D143" w14:textId="77777777" w:rsidR="00000000" w:rsidRDefault="00C01C43">
            <w:pPr>
              <w:jc w:val="center"/>
              <w:rPr>
                <w:rFonts w:eastAsia="Times New Roman"/>
              </w:rPr>
            </w:pPr>
            <w:r>
              <w:rPr>
                <w:rFonts w:ascii="Arial" w:eastAsia="Times New Roman" w:hAnsi="Arial" w:cs="Arial"/>
                <w:b/>
                <w:bCs/>
                <w:color w:val="000000"/>
                <w:sz w:val="16"/>
                <w:szCs w:val="16"/>
              </w:rPr>
              <w:t>Fair Value Amount</w:t>
            </w:r>
          </w:p>
        </w:tc>
      </w:tr>
      <w:tr w:rsidR="00000000" w14:paraId="153A8D48" w14:textId="77777777">
        <w:trPr>
          <w:divId w:val="210658901"/>
          <w:trHeight w:val="300"/>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563EDB" w14:textId="77777777" w:rsidR="00000000" w:rsidRDefault="00C01C43">
            <w:pPr>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B63A2B"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E23898"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A2092B"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468A50"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351B25"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5F2C7D" w14:textId="77777777" w:rsidR="00000000" w:rsidRDefault="00C01C43">
            <w:pPr>
              <w:rPr>
                <w:rFonts w:eastAsia="Times New Roman"/>
                <w:sz w:val="20"/>
                <w:szCs w:val="20"/>
              </w:rPr>
            </w:pPr>
          </w:p>
        </w:tc>
      </w:tr>
      <w:tr w:rsidR="00000000" w14:paraId="54172118" w14:textId="77777777">
        <w:trPr>
          <w:divId w:val="210658901"/>
        </w:trPr>
        <w:tc>
          <w:tcPr>
            <w:tcW w:w="0" w:type="auto"/>
            <w:gridSpan w:val="3"/>
            <w:shd w:val="clear" w:color="auto" w:fill="FFFFFF"/>
            <w:tcMar>
              <w:top w:w="30" w:type="dxa"/>
              <w:left w:w="20" w:type="dxa"/>
              <w:bottom w:w="30" w:type="dxa"/>
              <w:right w:w="20" w:type="dxa"/>
            </w:tcMar>
            <w:vAlign w:val="bottom"/>
            <w:hideMark/>
          </w:tcPr>
          <w:p w14:paraId="024ABCC8" w14:textId="77777777" w:rsidR="00000000" w:rsidRDefault="00C01C43">
            <w:pPr>
              <w:rPr>
                <w:rFonts w:eastAsia="Times New Roman"/>
              </w:rPr>
            </w:pPr>
            <w:r>
              <w:rPr>
                <w:rFonts w:ascii="Arial" w:eastAsia="Times New Roman" w:hAnsi="Arial" w:cs="Arial"/>
                <w:color w:val="000000"/>
                <w:sz w:val="20"/>
                <w:szCs w:val="20"/>
              </w:rPr>
              <w:t>2021</w:t>
            </w:r>
          </w:p>
        </w:tc>
        <w:tc>
          <w:tcPr>
            <w:tcW w:w="0" w:type="auto"/>
            <w:gridSpan w:val="3"/>
            <w:shd w:val="clear" w:color="auto" w:fill="FFFFFF"/>
            <w:tcMar>
              <w:top w:w="30" w:type="dxa"/>
              <w:left w:w="20" w:type="dxa"/>
              <w:bottom w:w="30" w:type="dxa"/>
              <w:right w:w="20" w:type="dxa"/>
            </w:tcMar>
            <w:vAlign w:val="bottom"/>
            <w:hideMark/>
          </w:tcPr>
          <w:p w14:paraId="0838EBEC" w14:textId="77777777" w:rsidR="00000000" w:rsidRDefault="00C01C43">
            <w:pPr>
              <w:jc w:val="center"/>
              <w:rPr>
                <w:rFonts w:eastAsia="Times New Roman"/>
              </w:rPr>
            </w:pPr>
            <w:r>
              <w:rPr>
                <w:rFonts w:ascii="Arial" w:eastAsia="Times New Roman" w:hAnsi="Arial" w:cs="Arial"/>
                <w:color w:val="000000"/>
                <w:sz w:val="20"/>
                <w:szCs w:val="20"/>
              </w:rPr>
              <w:t>AUD</w:t>
            </w:r>
          </w:p>
        </w:tc>
        <w:tc>
          <w:tcPr>
            <w:tcW w:w="0" w:type="auto"/>
            <w:gridSpan w:val="2"/>
            <w:shd w:val="clear" w:color="auto" w:fill="FFFFFF"/>
            <w:tcMar>
              <w:top w:w="30" w:type="dxa"/>
              <w:left w:w="20" w:type="dxa"/>
              <w:bottom w:w="30" w:type="dxa"/>
              <w:right w:w="0" w:type="dxa"/>
            </w:tcMar>
            <w:vAlign w:val="bottom"/>
            <w:hideMark/>
          </w:tcPr>
          <w:p w14:paraId="0ABF771C" w14:textId="77777777" w:rsidR="00000000" w:rsidRDefault="00C01C43">
            <w:pPr>
              <w:jc w:val="right"/>
              <w:rPr>
                <w:rFonts w:eastAsia="Times New Roman"/>
              </w:rPr>
            </w:pPr>
            <w:r>
              <w:rPr>
                <w:rFonts w:ascii="Arial" w:eastAsia="Times New Roman" w:hAnsi="Arial" w:cs="Arial"/>
                <w:color w:val="000000"/>
                <w:sz w:val="20"/>
                <w:szCs w:val="20"/>
              </w:rPr>
              <w:t>(1.6)</w:t>
            </w:r>
          </w:p>
        </w:tc>
        <w:tc>
          <w:tcPr>
            <w:tcW w:w="0" w:type="auto"/>
            <w:shd w:val="clear" w:color="auto" w:fill="FFFFFF"/>
            <w:tcMar>
              <w:top w:w="30" w:type="dxa"/>
              <w:left w:w="0" w:type="dxa"/>
              <w:bottom w:w="30" w:type="dxa"/>
              <w:right w:w="20" w:type="dxa"/>
            </w:tcMar>
            <w:vAlign w:val="bottom"/>
            <w:hideMark/>
          </w:tcPr>
          <w:p w14:paraId="6E49246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05AF8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2B9E98" w14:textId="77777777" w:rsidR="00000000" w:rsidRDefault="00C01C43">
            <w:pPr>
              <w:jc w:val="right"/>
              <w:rPr>
                <w:rFonts w:eastAsia="Times New Roman"/>
              </w:rPr>
            </w:pPr>
            <w:r>
              <w:rPr>
                <w:rFonts w:ascii="Arial" w:eastAsia="Times New Roman" w:hAnsi="Arial" w:cs="Arial"/>
                <w:color w:val="000000"/>
                <w:sz w:val="20"/>
                <w:szCs w:val="20"/>
              </w:rPr>
              <w:t>0.721 </w:t>
            </w:r>
          </w:p>
        </w:tc>
        <w:tc>
          <w:tcPr>
            <w:tcW w:w="0" w:type="auto"/>
            <w:shd w:val="clear" w:color="auto" w:fill="FFFFFF"/>
            <w:tcMar>
              <w:top w:w="30" w:type="dxa"/>
              <w:left w:w="0" w:type="dxa"/>
              <w:bottom w:w="30" w:type="dxa"/>
              <w:right w:w="20" w:type="dxa"/>
            </w:tcMar>
            <w:vAlign w:val="bottom"/>
            <w:hideMark/>
          </w:tcPr>
          <w:p w14:paraId="246FEAD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FECE0"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07F4842"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E03E19F" w14:textId="77777777" w:rsidR="00000000" w:rsidRDefault="00C01C43">
            <w:pPr>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35F35BD7" w14:textId="77777777" w:rsidR="00000000" w:rsidRDefault="00C01C43">
            <w:pPr>
              <w:jc w:val="right"/>
              <w:rPr>
                <w:rFonts w:eastAsia="Times New Roman"/>
              </w:rPr>
            </w:pPr>
          </w:p>
        </w:tc>
      </w:tr>
      <w:tr w:rsidR="00000000" w14:paraId="473E7837" w14:textId="77777777">
        <w:trPr>
          <w:divId w:val="210658901"/>
        </w:trPr>
        <w:tc>
          <w:tcPr>
            <w:tcW w:w="0" w:type="auto"/>
            <w:gridSpan w:val="3"/>
            <w:vAlign w:val="center"/>
            <w:hideMark/>
          </w:tcPr>
          <w:p w14:paraId="165D7555" w14:textId="77777777" w:rsidR="00000000" w:rsidRDefault="00C01C43">
            <w:pPr>
              <w:jc w:val="right"/>
              <w:rPr>
                <w:rFonts w:eastAsia="Times New Roman"/>
                <w:sz w:val="20"/>
                <w:szCs w:val="20"/>
              </w:rPr>
            </w:pPr>
          </w:p>
        </w:tc>
        <w:tc>
          <w:tcPr>
            <w:tcW w:w="0" w:type="auto"/>
            <w:gridSpan w:val="3"/>
            <w:vAlign w:val="center"/>
            <w:hideMark/>
          </w:tcPr>
          <w:p w14:paraId="1A6AE8AA" w14:textId="77777777" w:rsidR="00000000" w:rsidRDefault="00C01C43">
            <w:pPr>
              <w:rPr>
                <w:rFonts w:eastAsia="Times New Roman"/>
                <w:sz w:val="20"/>
                <w:szCs w:val="20"/>
              </w:rPr>
            </w:pPr>
          </w:p>
        </w:tc>
        <w:tc>
          <w:tcPr>
            <w:tcW w:w="0" w:type="auto"/>
            <w:gridSpan w:val="3"/>
            <w:vAlign w:val="center"/>
            <w:hideMark/>
          </w:tcPr>
          <w:p w14:paraId="126C90BC" w14:textId="77777777" w:rsidR="00000000" w:rsidRDefault="00C01C43">
            <w:pPr>
              <w:rPr>
                <w:rFonts w:eastAsia="Times New Roman"/>
                <w:sz w:val="20"/>
                <w:szCs w:val="20"/>
              </w:rPr>
            </w:pPr>
          </w:p>
        </w:tc>
        <w:tc>
          <w:tcPr>
            <w:tcW w:w="0" w:type="auto"/>
            <w:gridSpan w:val="3"/>
            <w:vAlign w:val="center"/>
            <w:hideMark/>
          </w:tcPr>
          <w:p w14:paraId="69F94101" w14:textId="77777777" w:rsidR="00000000" w:rsidRDefault="00C01C43">
            <w:pPr>
              <w:rPr>
                <w:rFonts w:eastAsia="Times New Roman"/>
                <w:sz w:val="20"/>
                <w:szCs w:val="20"/>
              </w:rPr>
            </w:pPr>
          </w:p>
        </w:tc>
        <w:tc>
          <w:tcPr>
            <w:tcW w:w="0" w:type="auto"/>
            <w:gridSpan w:val="3"/>
            <w:vAlign w:val="center"/>
            <w:hideMark/>
          </w:tcPr>
          <w:p w14:paraId="1A3FB2DC" w14:textId="77777777" w:rsidR="00000000" w:rsidRDefault="00C01C43">
            <w:pPr>
              <w:rPr>
                <w:rFonts w:eastAsia="Times New Roman"/>
                <w:sz w:val="20"/>
                <w:szCs w:val="20"/>
              </w:rPr>
            </w:pPr>
          </w:p>
        </w:tc>
        <w:tc>
          <w:tcPr>
            <w:tcW w:w="0" w:type="auto"/>
            <w:gridSpan w:val="3"/>
            <w:vAlign w:val="center"/>
            <w:hideMark/>
          </w:tcPr>
          <w:p w14:paraId="18BD6031" w14:textId="77777777" w:rsidR="00000000" w:rsidRDefault="00C01C43">
            <w:pPr>
              <w:rPr>
                <w:rFonts w:eastAsia="Times New Roman"/>
                <w:sz w:val="20"/>
                <w:szCs w:val="20"/>
              </w:rPr>
            </w:pPr>
          </w:p>
        </w:tc>
        <w:tc>
          <w:tcPr>
            <w:tcW w:w="0" w:type="auto"/>
            <w:gridSpan w:val="3"/>
            <w:vAlign w:val="center"/>
            <w:hideMark/>
          </w:tcPr>
          <w:p w14:paraId="341FE91B" w14:textId="77777777" w:rsidR="00000000" w:rsidRDefault="00C01C43">
            <w:pPr>
              <w:rPr>
                <w:rFonts w:eastAsia="Times New Roman"/>
                <w:sz w:val="20"/>
                <w:szCs w:val="20"/>
              </w:rPr>
            </w:pPr>
          </w:p>
        </w:tc>
      </w:tr>
      <w:tr w:rsidR="00000000" w14:paraId="54083BA7" w14:textId="77777777">
        <w:trPr>
          <w:divId w:val="210658901"/>
        </w:trPr>
        <w:tc>
          <w:tcPr>
            <w:tcW w:w="0" w:type="auto"/>
            <w:gridSpan w:val="3"/>
            <w:shd w:val="clear" w:color="auto" w:fill="CCEEFF"/>
            <w:tcMar>
              <w:top w:w="30" w:type="dxa"/>
              <w:left w:w="20" w:type="dxa"/>
              <w:bottom w:w="30" w:type="dxa"/>
              <w:right w:w="20" w:type="dxa"/>
            </w:tcMar>
            <w:vAlign w:val="bottom"/>
            <w:hideMark/>
          </w:tcPr>
          <w:p w14:paraId="4296B3CA" w14:textId="77777777" w:rsidR="00000000" w:rsidRDefault="00C01C43">
            <w:pPr>
              <w:rPr>
                <w:rFonts w:eastAsia="Times New Roman"/>
              </w:rPr>
            </w:pPr>
            <w:r>
              <w:rPr>
                <w:rFonts w:ascii="Arial" w:eastAsia="Times New Roman" w:hAnsi="Arial" w:cs="Arial"/>
                <w:color w:val="000000"/>
                <w:sz w:val="20"/>
                <w:szCs w:val="20"/>
              </w:rPr>
              <w:t>2021</w:t>
            </w:r>
          </w:p>
        </w:tc>
        <w:tc>
          <w:tcPr>
            <w:tcW w:w="0" w:type="auto"/>
            <w:gridSpan w:val="3"/>
            <w:shd w:val="clear" w:color="auto" w:fill="CCEEFF"/>
            <w:tcMar>
              <w:top w:w="30" w:type="dxa"/>
              <w:left w:w="20" w:type="dxa"/>
              <w:bottom w:w="30" w:type="dxa"/>
              <w:right w:w="20" w:type="dxa"/>
            </w:tcMar>
            <w:vAlign w:val="bottom"/>
            <w:hideMark/>
          </w:tcPr>
          <w:p w14:paraId="2A7C361C" w14:textId="77777777" w:rsidR="00000000" w:rsidRDefault="00C01C43">
            <w:pPr>
              <w:jc w:val="center"/>
              <w:rPr>
                <w:rFonts w:eastAsia="Times New Roman"/>
              </w:rPr>
            </w:pPr>
            <w:r>
              <w:rPr>
                <w:rFonts w:ascii="Arial" w:eastAsia="Times New Roman" w:hAnsi="Arial" w:cs="Arial"/>
                <w:color w:val="000000"/>
                <w:sz w:val="20"/>
                <w:szCs w:val="20"/>
              </w:rPr>
              <w:t>CHF</w:t>
            </w:r>
          </w:p>
        </w:tc>
        <w:tc>
          <w:tcPr>
            <w:tcW w:w="0" w:type="auto"/>
            <w:gridSpan w:val="2"/>
            <w:shd w:val="clear" w:color="auto" w:fill="CCEEFF"/>
            <w:tcMar>
              <w:top w:w="30" w:type="dxa"/>
              <w:left w:w="20" w:type="dxa"/>
              <w:bottom w:w="30" w:type="dxa"/>
              <w:right w:w="0" w:type="dxa"/>
            </w:tcMar>
            <w:vAlign w:val="bottom"/>
            <w:hideMark/>
          </w:tcPr>
          <w:p w14:paraId="7A348EF5" w14:textId="77777777" w:rsidR="00000000" w:rsidRDefault="00C01C43">
            <w:pPr>
              <w:jc w:val="right"/>
              <w:rPr>
                <w:rFonts w:eastAsia="Times New Roman"/>
              </w:rPr>
            </w:pPr>
            <w:r>
              <w:rPr>
                <w:rFonts w:ascii="Arial" w:eastAsia="Times New Roman" w:hAnsi="Arial" w:cs="Arial"/>
                <w:color w:val="000000"/>
                <w:sz w:val="20"/>
                <w:szCs w:val="20"/>
              </w:rPr>
              <w:t>(1.7)</w:t>
            </w:r>
          </w:p>
        </w:tc>
        <w:tc>
          <w:tcPr>
            <w:tcW w:w="0" w:type="auto"/>
            <w:shd w:val="clear" w:color="auto" w:fill="CCEEFF"/>
            <w:tcMar>
              <w:top w:w="30" w:type="dxa"/>
              <w:left w:w="0" w:type="dxa"/>
              <w:bottom w:w="30" w:type="dxa"/>
              <w:right w:w="20" w:type="dxa"/>
            </w:tcMar>
            <w:vAlign w:val="bottom"/>
            <w:hideMark/>
          </w:tcPr>
          <w:p w14:paraId="4D5D557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A3EDC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E5AC54" w14:textId="77777777" w:rsidR="00000000" w:rsidRDefault="00C01C43">
            <w:pPr>
              <w:jc w:val="right"/>
              <w:rPr>
                <w:rFonts w:eastAsia="Times New Roman"/>
              </w:rPr>
            </w:pPr>
            <w:r>
              <w:rPr>
                <w:rFonts w:ascii="Arial" w:eastAsia="Times New Roman" w:hAnsi="Arial" w:cs="Arial"/>
                <w:color w:val="000000"/>
                <w:sz w:val="20"/>
                <w:szCs w:val="20"/>
              </w:rPr>
              <w:t>0.911 </w:t>
            </w:r>
          </w:p>
        </w:tc>
        <w:tc>
          <w:tcPr>
            <w:tcW w:w="0" w:type="auto"/>
            <w:shd w:val="clear" w:color="auto" w:fill="CCEEFF"/>
            <w:tcMar>
              <w:top w:w="30" w:type="dxa"/>
              <w:left w:w="0" w:type="dxa"/>
              <w:bottom w:w="30" w:type="dxa"/>
              <w:right w:w="20" w:type="dxa"/>
            </w:tcMar>
            <w:vAlign w:val="bottom"/>
            <w:hideMark/>
          </w:tcPr>
          <w:p w14:paraId="351105D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1984D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09D206" w14:textId="77777777" w:rsidR="00000000" w:rsidRDefault="00C01C43">
            <w:pPr>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14:paraId="7ACAE035" w14:textId="77777777" w:rsidR="00000000" w:rsidRDefault="00C01C43">
            <w:pPr>
              <w:jc w:val="right"/>
              <w:rPr>
                <w:rFonts w:eastAsia="Times New Roman"/>
              </w:rPr>
            </w:pPr>
          </w:p>
        </w:tc>
      </w:tr>
      <w:tr w:rsidR="00000000" w14:paraId="25CD75BC" w14:textId="77777777">
        <w:trPr>
          <w:divId w:val="210658901"/>
        </w:trPr>
        <w:tc>
          <w:tcPr>
            <w:tcW w:w="0" w:type="auto"/>
            <w:gridSpan w:val="3"/>
            <w:shd w:val="clear" w:color="auto" w:fill="FFFFFF"/>
            <w:tcMar>
              <w:top w:w="30" w:type="dxa"/>
              <w:left w:w="20" w:type="dxa"/>
              <w:bottom w:w="30" w:type="dxa"/>
              <w:right w:w="20" w:type="dxa"/>
            </w:tcMar>
            <w:vAlign w:val="bottom"/>
            <w:hideMark/>
          </w:tcPr>
          <w:p w14:paraId="5AE54CCF" w14:textId="77777777" w:rsidR="00000000" w:rsidRDefault="00C01C43">
            <w:pPr>
              <w:rPr>
                <w:rFonts w:eastAsia="Times New Roman"/>
              </w:rPr>
            </w:pPr>
            <w:r>
              <w:rPr>
                <w:rFonts w:ascii="Arial" w:eastAsia="Times New Roman" w:hAnsi="Arial" w:cs="Arial"/>
                <w:color w:val="000000"/>
                <w:sz w:val="20"/>
                <w:szCs w:val="20"/>
              </w:rPr>
              <w:t>2021</w:t>
            </w:r>
          </w:p>
        </w:tc>
        <w:tc>
          <w:tcPr>
            <w:tcW w:w="0" w:type="auto"/>
            <w:gridSpan w:val="3"/>
            <w:shd w:val="clear" w:color="auto" w:fill="FFFFFF"/>
            <w:tcMar>
              <w:top w:w="30" w:type="dxa"/>
              <w:left w:w="20" w:type="dxa"/>
              <w:bottom w:w="30" w:type="dxa"/>
              <w:right w:w="20" w:type="dxa"/>
            </w:tcMar>
            <w:vAlign w:val="bottom"/>
            <w:hideMark/>
          </w:tcPr>
          <w:p w14:paraId="29C0848E" w14:textId="77777777" w:rsidR="00000000" w:rsidRDefault="00C01C43">
            <w:pPr>
              <w:jc w:val="center"/>
              <w:rPr>
                <w:rFonts w:eastAsia="Times New Roman"/>
              </w:rPr>
            </w:pPr>
            <w:r>
              <w:rPr>
                <w:rFonts w:ascii="Arial" w:eastAsia="Times New Roman" w:hAnsi="Arial" w:cs="Arial"/>
                <w:color w:val="000000"/>
                <w:sz w:val="20"/>
                <w:szCs w:val="20"/>
              </w:rPr>
              <w:t>CLP</w:t>
            </w:r>
          </w:p>
        </w:tc>
        <w:tc>
          <w:tcPr>
            <w:tcW w:w="0" w:type="auto"/>
            <w:gridSpan w:val="2"/>
            <w:shd w:val="clear" w:color="auto" w:fill="FFFFFF"/>
            <w:tcMar>
              <w:top w:w="30" w:type="dxa"/>
              <w:left w:w="20" w:type="dxa"/>
              <w:bottom w:w="30" w:type="dxa"/>
              <w:right w:w="0" w:type="dxa"/>
            </w:tcMar>
            <w:vAlign w:val="bottom"/>
            <w:hideMark/>
          </w:tcPr>
          <w:p w14:paraId="59AA0FE1" w14:textId="77777777" w:rsidR="00000000" w:rsidRDefault="00C01C43">
            <w:pPr>
              <w:jc w:val="right"/>
              <w:rPr>
                <w:rFonts w:eastAsia="Times New Roman"/>
              </w:rPr>
            </w:pPr>
            <w:r>
              <w:rPr>
                <w:rFonts w:ascii="Arial" w:eastAsia="Times New Roman" w:hAnsi="Arial" w:cs="Arial"/>
                <w:color w:val="000000"/>
                <w:sz w:val="20"/>
                <w:szCs w:val="20"/>
              </w:rPr>
              <w:t>(8,679.8)</w:t>
            </w:r>
          </w:p>
        </w:tc>
        <w:tc>
          <w:tcPr>
            <w:tcW w:w="0" w:type="auto"/>
            <w:shd w:val="clear" w:color="auto" w:fill="FFFFFF"/>
            <w:tcMar>
              <w:top w:w="30" w:type="dxa"/>
              <w:left w:w="0" w:type="dxa"/>
              <w:bottom w:w="30" w:type="dxa"/>
              <w:right w:w="20" w:type="dxa"/>
            </w:tcMar>
            <w:vAlign w:val="bottom"/>
            <w:hideMark/>
          </w:tcPr>
          <w:p w14:paraId="6C3011D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293C8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049FCD" w14:textId="77777777" w:rsidR="00000000" w:rsidRDefault="00C01C43">
            <w:pPr>
              <w:jc w:val="right"/>
              <w:rPr>
                <w:rFonts w:eastAsia="Times New Roman"/>
              </w:rPr>
            </w:pPr>
            <w:r>
              <w:rPr>
                <w:rFonts w:ascii="Arial" w:eastAsia="Times New Roman" w:hAnsi="Arial" w:cs="Arial"/>
                <w:color w:val="000000"/>
                <w:sz w:val="20"/>
                <w:szCs w:val="20"/>
              </w:rPr>
              <w:t>788.066 </w:t>
            </w:r>
          </w:p>
        </w:tc>
        <w:tc>
          <w:tcPr>
            <w:tcW w:w="0" w:type="auto"/>
            <w:shd w:val="clear" w:color="auto" w:fill="FFFFFF"/>
            <w:tcMar>
              <w:top w:w="30" w:type="dxa"/>
              <w:left w:w="0" w:type="dxa"/>
              <w:bottom w:w="30" w:type="dxa"/>
              <w:right w:w="20" w:type="dxa"/>
            </w:tcMar>
            <w:vAlign w:val="bottom"/>
            <w:hideMark/>
          </w:tcPr>
          <w:p w14:paraId="7473464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5AE9B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C574BE" w14:textId="77777777" w:rsidR="00000000" w:rsidRDefault="00C01C43">
            <w:pPr>
              <w:jc w:val="right"/>
              <w:rPr>
                <w:rFonts w:eastAsia="Times New Roman"/>
              </w:rPr>
            </w:pPr>
            <w:r>
              <w:rPr>
                <w:rFonts w:ascii="Arial" w:eastAsia="Times New Roman" w:hAnsi="Arial" w:cs="Arial"/>
                <w:color w:val="000000"/>
                <w:sz w:val="20"/>
                <w:szCs w:val="20"/>
              </w:rPr>
              <w:t>(1.3)</w:t>
            </w:r>
          </w:p>
        </w:tc>
        <w:tc>
          <w:tcPr>
            <w:tcW w:w="0" w:type="auto"/>
            <w:shd w:val="clear" w:color="auto" w:fill="FFFFFF"/>
            <w:tcMar>
              <w:top w:w="30" w:type="dxa"/>
              <w:left w:w="0" w:type="dxa"/>
              <w:bottom w:w="30" w:type="dxa"/>
              <w:right w:w="20" w:type="dxa"/>
            </w:tcMar>
            <w:vAlign w:val="bottom"/>
            <w:hideMark/>
          </w:tcPr>
          <w:p w14:paraId="311C4D47" w14:textId="77777777" w:rsidR="00000000" w:rsidRDefault="00C01C43">
            <w:pPr>
              <w:jc w:val="right"/>
              <w:rPr>
                <w:rFonts w:eastAsia="Times New Roman"/>
              </w:rPr>
            </w:pPr>
          </w:p>
        </w:tc>
      </w:tr>
      <w:tr w:rsidR="00000000" w14:paraId="0CD20EF6" w14:textId="77777777">
        <w:trPr>
          <w:divId w:val="210658901"/>
        </w:trPr>
        <w:tc>
          <w:tcPr>
            <w:tcW w:w="0" w:type="auto"/>
            <w:gridSpan w:val="3"/>
            <w:shd w:val="clear" w:color="auto" w:fill="CCEEFF"/>
            <w:tcMar>
              <w:top w:w="30" w:type="dxa"/>
              <w:left w:w="20" w:type="dxa"/>
              <w:bottom w:w="30" w:type="dxa"/>
              <w:right w:w="20" w:type="dxa"/>
            </w:tcMar>
            <w:vAlign w:val="bottom"/>
            <w:hideMark/>
          </w:tcPr>
          <w:p w14:paraId="562A7813" w14:textId="77777777" w:rsidR="00000000" w:rsidRDefault="00C01C43">
            <w:pPr>
              <w:rPr>
                <w:rFonts w:eastAsia="Times New Roman"/>
              </w:rPr>
            </w:pPr>
            <w:r>
              <w:rPr>
                <w:rFonts w:ascii="Arial" w:eastAsia="Times New Roman" w:hAnsi="Arial" w:cs="Arial"/>
                <w:color w:val="000000"/>
                <w:sz w:val="20"/>
                <w:szCs w:val="20"/>
              </w:rPr>
              <w:t>2021</w:t>
            </w:r>
          </w:p>
        </w:tc>
        <w:tc>
          <w:tcPr>
            <w:tcW w:w="0" w:type="auto"/>
            <w:gridSpan w:val="3"/>
            <w:shd w:val="clear" w:color="auto" w:fill="CCEEFF"/>
            <w:tcMar>
              <w:top w:w="30" w:type="dxa"/>
              <w:left w:w="20" w:type="dxa"/>
              <w:bottom w:w="30" w:type="dxa"/>
              <w:right w:w="20" w:type="dxa"/>
            </w:tcMar>
            <w:vAlign w:val="bottom"/>
            <w:hideMark/>
          </w:tcPr>
          <w:p w14:paraId="364D5562" w14:textId="77777777" w:rsidR="00000000" w:rsidRDefault="00C01C43">
            <w:pPr>
              <w:jc w:val="center"/>
              <w:rPr>
                <w:rFonts w:eastAsia="Times New Roman"/>
              </w:rPr>
            </w:pPr>
            <w:r>
              <w:rPr>
                <w:rFonts w:ascii="Arial" w:eastAsia="Times New Roman" w:hAnsi="Arial" w:cs="Arial"/>
                <w:color w:val="000000"/>
                <w:sz w:val="20"/>
                <w:szCs w:val="20"/>
              </w:rPr>
              <w:t>COP</w:t>
            </w:r>
          </w:p>
        </w:tc>
        <w:tc>
          <w:tcPr>
            <w:tcW w:w="0" w:type="auto"/>
            <w:gridSpan w:val="2"/>
            <w:shd w:val="clear" w:color="auto" w:fill="CCEEFF"/>
            <w:tcMar>
              <w:top w:w="30" w:type="dxa"/>
              <w:left w:w="20" w:type="dxa"/>
              <w:bottom w:w="30" w:type="dxa"/>
              <w:right w:w="0" w:type="dxa"/>
            </w:tcMar>
            <w:vAlign w:val="bottom"/>
            <w:hideMark/>
          </w:tcPr>
          <w:p w14:paraId="4FD15A55" w14:textId="77777777" w:rsidR="00000000" w:rsidRDefault="00C01C43">
            <w:pPr>
              <w:jc w:val="right"/>
              <w:rPr>
                <w:rFonts w:eastAsia="Times New Roman"/>
              </w:rPr>
            </w:pPr>
            <w:r>
              <w:rPr>
                <w:rFonts w:ascii="Arial" w:eastAsia="Times New Roman" w:hAnsi="Arial" w:cs="Arial"/>
                <w:color w:val="000000"/>
                <w:sz w:val="20"/>
                <w:szCs w:val="20"/>
              </w:rPr>
              <w:t>(31,601.2)</w:t>
            </w:r>
          </w:p>
        </w:tc>
        <w:tc>
          <w:tcPr>
            <w:tcW w:w="0" w:type="auto"/>
            <w:shd w:val="clear" w:color="auto" w:fill="CCEEFF"/>
            <w:tcMar>
              <w:top w:w="30" w:type="dxa"/>
              <w:left w:w="0" w:type="dxa"/>
              <w:bottom w:w="30" w:type="dxa"/>
              <w:right w:w="20" w:type="dxa"/>
            </w:tcMar>
            <w:vAlign w:val="bottom"/>
            <w:hideMark/>
          </w:tcPr>
          <w:p w14:paraId="2D833E8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29E1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783C36" w14:textId="77777777" w:rsidR="00000000" w:rsidRDefault="00C01C43">
            <w:pPr>
              <w:jc w:val="right"/>
              <w:rPr>
                <w:rFonts w:eastAsia="Times New Roman"/>
              </w:rPr>
            </w:pPr>
            <w:r>
              <w:rPr>
                <w:rFonts w:ascii="Arial" w:eastAsia="Times New Roman" w:hAnsi="Arial" w:cs="Arial"/>
                <w:color w:val="000000"/>
                <w:sz w:val="20"/>
                <w:szCs w:val="20"/>
              </w:rPr>
              <w:t>3,864.214 </w:t>
            </w:r>
          </w:p>
        </w:tc>
        <w:tc>
          <w:tcPr>
            <w:tcW w:w="0" w:type="auto"/>
            <w:shd w:val="clear" w:color="auto" w:fill="CCEEFF"/>
            <w:tcMar>
              <w:top w:w="30" w:type="dxa"/>
              <w:left w:w="0" w:type="dxa"/>
              <w:bottom w:w="30" w:type="dxa"/>
              <w:right w:w="20" w:type="dxa"/>
            </w:tcMar>
            <w:vAlign w:val="bottom"/>
            <w:hideMark/>
          </w:tcPr>
          <w:p w14:paraId="19AACB9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24AB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09DC13" w14:textId="77777777" w:rsidR="00000000" w:rsidRDefault="00C01C43">
            <w:pPr>
              <w:jc w:val="right"/>
              <w:rPr>
                <w:rFonts w:eastAsia="Times New Roman"/>
              </w:rPr>
            </w:pPr>
            <w:r>
              <w:rPr>
                <w:rFonts w:ascii="Arial" w:eastAsia="Times New Roman" w:hAnsi="Arial" w:cs="Arial"/>
                <w:color w:val="000000"/>
                <w:sz w:val="20"/>
                <w:szCs w:val="20"/>
              </w:rPr>
              <w:t>(1.0)</w:t>
            </w:r>
          </w:p>
        </w:tc>
        <w:tc>
          <w:tcPr>
            <w:tcW w:w="0" w:type="auto"/>
            <w:shd w:val="clear" w:color="auto" w:fill="CCEEFF"/>
            <w:tcMar>
              <w:top w:w="30" w:type="dxa"/>
              <w:left w:w="0" w:type="dxa"/>
              <w:bottom w:w="30" w:type="dxa"/>
              <w:right w:w="20" w:type="dxa"/>
            </w:tcMar>
            <w:vAlign w:val="bottom"/>
            <w:hideMark/>
          </w:tcPr>
          <w:p w14:paraId="4D4C8D35" w14:textId="77777777" w:rsidR="00000000" w:rsidRDefault="00C01C43">
            <w:pPr>
              <w:jc w:val="right"/>
              <w:rPr>
                <w:rFonts w:eastAsia="Times New Roman"/>
              </w:rPr>
            </w:pPr>
          </w:p>
        </w:tc>
      </w:tr>
      <w:tr w:rsidR="00000000" w14:paraId="69F71D62" w14:textId="77777777">
        <w:trPr>
          <w:divId w:val="210658901"/>
        </w:trPr>
        <w:tc>
          <w:tcPr>
            <w:tcW w:w="0" w:type="auto"/>
            <w:gridSpan w:val="3"/>
            <w:vAlign w:val="center"/>
            <w:hideMark/>
          </w:tcPr>
          <w:p w14:paraId="7194ABA3" w14:textId="77777777" w:rsidR="00000000" w:rsidRDefault="00C01C43">
            <w:pPr>
              <w:jc w:val="right"/>
              <w:rPr>
                <w:rFonts w:eastAsia="Times New Roman"/>
                <w:sz w:val="20"/>
                <w:szCs w:val="20"/>
              </w:rPr>
            </w:pPr>
          </w:p>
        </w:tc>
        <w:tc>
          <w:tcPr>
            <w:tcW w:w="0" w:type="auto"/>
            <w:gridSpan w:val="3"/>
            <w:vAlign w:val="center"/>
            <w:hideMark/>
          </w:tcPr>
          <w:p w14:paraId="6F8975DC" w14:textId="77777777" w:rsidR="00000000" w:rsidRDefault="00C01C43">
            <w:pPr>
              <w:rPr>
                <w:rFonts w:eastAsia="Times New Roman"/>
                <w:sz w:val="20"/>
                <w:szCs w:val="20"/>
              </w:rPr>
            </w:pPr>
          </w:p>
        </w:tc>
        <w:tc>
          <w:tcPr>
            <w:tcW w:w="0" w:type="auto"/>
            <w:gridSpan w:val="3"/>
            <w:vAlign w:val="center"/>
            <w:hideMark/>
          </w:tcPr>
          <w:p w14:paraId="077B7DA0" w14:textId="77777777" w:rsidR="00000000" w:rsidRDefault="00C01C43">
            <w:pPr>
              <w:rPr>
                <w:rFonts w:eastAsia="Times New Roman"/>
                <w:sz w:val="20"/>
                <w:szCs w:val="20"/>
              </w:rPr>
            </w:pPr>
          </w:p>
        </w:tc>
        <w:tc>
          <w:tcPr>
            <w:tcW w:w="0" w:type="auto"/>
            <w:gridSpan w:val="3"/>
            <w:vAlign w:val="center"/>
            <w:hideMark/>
          </w:tcPr>
          <w:p w14:paraId="278F0A9D" w14:textId="77777777" w:rsidR="00000000" w:rsidRDefault="00C01C43">
            <w:pPr>
              <w:rPr>
                <w:rFonts w:eastAsia="Times New Roman"/>
                <w:sz w:val="20"/>
                <w:szCs w:val="20"/>
              </w:rPr>
            </w:pPr>
          </w:p>
        </w:tc>
        <w:tc>
          <w:tcPr>
            <w:tcW w:w="0" w:type="auto"/>
            <w:gridSpan w:val="3"/>
            <w:vAlign w:val="center"/>
            <w:hideMark/>
          </w:tcPr>
          <w:p w14:paraId="3596F84F" w14:textId="77777777" w:rsidR="00000000" w:rsidRDefault="00C01C43">
            <w:pPr>
              <w:rPr>
                <w:rFonts w:eastAsia="Times New Roman"/>
                <w:sz w:val="20"/>
                <w:szCs w:val="20"/>
              </w:rPr>
            </w:pPr>
          </w:p>
        </w:tc>
        <w:tc>
          <w:tcPr>
            <w:tcW w:w="0" w:type="auto"/>
            <w:gridSpan w:val="3"/>
            <w:vAlign w:val="center"/>
            <w:hideMark/>
          </w:tcPr>
          <w:p w14:paraId="7BC0CF47" w14:textId="77777777" w:rsidR="00000000" w:rsidRDefault="00C01C43">
            <w:pPr>
              <w:rPr>
                <w:rFonts w:eastAsia="Times New Roman"/>
                <w:sz w:val="20"/>
                <w:szCs w:val="20"/>
              </w:rPr>
            </w:pPr>
          </w:p>
        </w:tc>
        <w:tc>
          <w:tcPr>
            <w:tcW w:w="0" w:type="auto"/>
            <w:gridSpan w:val="3"/>
            <w:vAlign w:val="center"/>
            <w:hideMark/>
          </w:tcPr>
          <w:p w14:paraId="2EDCDC2B" w14:textId="77777777" w:rsidR="00000000" w:rsidRDefault="00C01C43">
            <w:pPr>
              <w:rPr>
                <w:rFonts w:eastAsia="Times New Roman"/>
                <w:sz w:val="20"/>
                <w:szCs w:val="20"/>
              </w:rPr>
            </w:pPr>
          </w:p>
        </w:tc>
      </w:tr>
      <w:tr w:rsidR="00000000" w14:paraId="1D0DD3FE" w14:textId="77777777">
        <w:trPr>
          <w:divId w:val="210658901"/>
        </w:trPr>
        <w:tc>
          <w:tcPr>
            <w:tcW w:w="0" w:type="auto"/>
            <w:gridSpan w:val="3"/>
            <w:vAlign w:val="center"/>
            <w:hideMark/>
          </w:tcPr>
          <w:p w14:paraId="482F288B" w14:textId="77777777" w:rsidR="00000000" w:rsidRDefault="00C01C43">
            <w:pPr>
              <w:rPr>
                <w:rFonts w:eastAsia="Times New Roman"/>
                <w:sz w:val="20"/>
                <w:szCs w:val="20"/>
              </w:rPr>
            </w:pPr>
          </w:p>
        </w:tc>
        <w:tc>
          <w:tcPr>
            <w:tcW w:w="0" w:type="auto"/>
            <w:gridSpan w:val="3"/>
            <w:vAlign w:val="center"/>
            <w:hideMark/>
          </w:tcPr>
          <w:p w14:paraId="54334492" w14:textId="77777777" w:rsidR="00000000" w:rsidRDefault="00C01C43">
            <w:pPr>
              <w:rPr>
                <w:rFonts w:eastAsia="Times New Roman"/>
                <w:sz w:val="20"/>
                <w:szCs w:val="20"/>
              </w:rPr>
            </w:pPr>
          </w:p>
        </w:tc>
        <w:tc>
          <w:tcPr>
            <w:tcW w:w="0" w:type="auto"/>
            <w:gridSpan w:val="3"/>
            <w:vAlign w:val="center"/>
            <w:hideMark/>
          </w:tcPr>
          <w:p w14:paraId="4DDA7A57" w14:textId="77777777" w:rsidR="00000000" w:rsidRDefault="00C01C43">
            <w:pPr>
              <w:rPr>
                <w:rFonts w:eastAsia="Times New Roman"/>
                <w:sz w:val="20"/>
                <w:szCs w:val="20"/>
              </w:rPr>
            </w:pPr>
          </w:p>
        </w:tc>
        <w:tc>
          <w:tcPr>
            <w:tcW w:w="0" w:type="auto"/>
            <w:gridSpan w:val="3"/>
            <w:vAlign w:val="center"/>
            <w:hideMark/>
          </w:tcPr>
          <w:p w14:paraId="51944B9F" w14:textId="77777777" w:rsidR="00000000" w:rsidRDefault="00C01C43">
            <w:pPr>
              <w:rPr>
                <w:rFonts w:eastAsia="Times New Roman"/>
                <w:sz w:val="20"/>
                <w:szCs w:val="20"/>
              </w:rPr>
            </w:pPr>
          </w:p>
        </w:tc>
        <w:tc>
          <w:tcPr>
            <w:tcW w:w="0" w:type="auto"/>
            <w:gridSpan w:val="3"/>
            <w:vAlign w:val="center"/>
            <w:hideMark/>
          </w:tcPr>
          <w:p w14:paraId="412601CE" w14:textId="77777777" w:rsidR="00000000" w:rsidRDefault="00C01C43">
            <w:pPr>
              <w:rPr>
                <w:rFonts w:eastAsia="Times New Roman"/>
                <w:sz w:val="20"/>
                <w:szCs w:val="20"/>
              </w:rPr>
            </w:pPr>
          </w:p>
        </w:tc>
        <w:tc>
          <w:tcPr>
            <w:tcW w:w="0" w:type="auto"/>
            <w:gridSpan w:val="3"/>
            <w:vAlign w:val="center"/>
            <w:hideMark/>
          </w:tcPr>
          <w:p w14:paraId="6A201D04" w14:textId="77777777" w:rsidR="00000000" w:rsidRDefault="00C01C43">
            <w:pPr>
              <w:rPr>
                <w:rFonts w:eastAsia="Times New Roman"/>
                <w:sz w:val="20"/>
                <w:szCs w:val="20"/>
              </w:rPr>
            </w:pPr>
          </w:p>
        </w:tc>
        <w:tc>
          <w:tcPr>
            <w:tcW w:w="0" w:type="auto"/>
            <w:gridSpan w:val="3"/>
            <w:vAlign w:val="center"/>
            <w:hideMark/>
          </w:tcPr>
          <w:p w14:paraId="6D0612D8" w14:textId="77777777" w:rsidR="00000000" w:rsidRDefault="00C01C43">
            <w:pPr>
              <w:rPr>
                <w:rFonts w:eastAsia="Times New Roman"/>
                <w:sz w:val="20"/>
                <w:szCs w:val="20"/>
              </w:rPr>
            </w:pPr>
          </w:p>
        </w:tc>
      </w:tr>
      <w:tr w:rsidR="00000000" w14:paraId="7A4692B9" w14:textId="77777777">
        <w:trPr>
          <w:divId w:val="210658901"/>
        </w:trPr>
        <w:tc>
          <w:tcPr>
            <w:tcW w:w="0" w:type="auto"/>
            <w:gridSpan w:val="3"/>
            <w:shd w:val="clear" w:color="auto" w:fill="FFFFFF"/>
            <w:tcMar>
              <w:top w:w="30" w:type="dxa"/>
              <w:left w:w="20" w:type="dxa"/>
              <w:bottom w:w="30" w:type="dxa"/>
              <w:right w:w="20" w:type="dxa"/>
            </w:tcMar>
            <w:vAlign w:val="bottom"/>
            <w:hideMark/>
          </w:tcPr>
          <w:p w14:paraId="368A83ED" w14:textId="77777777" w:rsidR="00000000" w:rsidRDefault="00C01C43">
            <w:pPr>
              <w:rPr>
                <w:rFonts w:eastAsia="Times New Roman"/>
              </w:rPr>
            </w:pPr>
            <w:r>
              <w:rPr>
                <w:rFonts w:ascii="Arial" w:eastAsia="Times New Roman" w:hAnsi="Arial" w:cs="Arial"/>
                <w:color w:val="000000"/>
                <w:sz w:val="20"/>
                <w:szCs w:val="20"/>
              </w:rPr>
              <w:t>2021</w:t>
            </w:r>
          </w:p>
        </w:tc>
        <w:tc>
          <w:tcPr>
            <w:tcW w:w="0" w:type="auto"/>
            <w:gridSpan w:val="3"/>
            <w:shd w:val="clear" w:color="auto" w:fill="FFFFFF"/>
            <w:tcMar>
              <w:top w:w="30" w:type="dxa"/>
              <w:left w:w="20" w:type="dxa"/>
              <w:bottom w:w="30" w:type="dxa"/>
              <w:right w:w="20" w:type="dxa"/>
            </w:tcMar>
            <w:vAlign w:val="bottom"/>
            <w:hideMark/>
          </w:tcPr>
          <w:p w14:paraId="7AF3EDF7" w14:textId="77777777" w:rsidR="00000000" w:rsidRDefault="00C01C43">
            <w:pPr>
              <w:jc w:val="center"/>
              <w:rPr>
                <w:rFonts w:eastAsia="Times New Roman"/>
              </w:rPr>
            </w:pPr>
            <w:r>
              <w:rPr>
                <w:rFonts w:ascii="Arial" w:eastAsia="Times New Roman" w:hAnsi="Arial" w:cs="Arial"/>
                <w:color w:val="000000"/>
                <w:sz w:val="20"/>
                <w:szCs w:val="20"/>
              </w:rPr>
              <w:t>EUR</w:t>
            </w:r>
          </w:p>
        </w:tc>
        <w:tc>
          <w:tcPr>
            <w:tcW w:w="0" w:type="auto"/>
            <w:gridSpan w:val="2"/>
            <w:shd w:val="clear" w:color="auto" w:fill="FFFFFF"/>
            <w:tcMar>
              <w:top w:w="30" w:type="dxa"/>
              <w:left w:w="20" w:type="dxa"/>
              <w:bottom w:w="30" w:type="dxa"/>
              <w:right w:w="0" w:type="dxa"/>
            </w:tcMar>
            <w:vAlign w:val="bottom"/>
            <w:hideMark/>
          </w:tcPr>
          <w:p w14:paraId="7AFD18E2" w14:textId="77777777" w:rsidR="00000000" w:rsidRDefault="00C01C43">
            <w:pPr>
              <w:jc w:val="right"/>
              <w:rPr>
                <w:rFonts w:eastAsia="Times New Roman"/>
              </w:rPr>
            </w:pPr>
            <w:r>
              <w:rPr>
                <w:rFonts w:ascii="Arial" w:eastAsia="Times New Roman" w:hAnsi="Arial" w:cs="Arial"/>
                <w:color w:val="000000"/>
                <w:sz w:val="20"/>
                <w:szCs w:val="20"/>
              </w:rPr>
              <w:t>(120.5)</w:t>
            </w:r>
          </w:p>
        </w:tc>
        <w:tc>
          <w:tcPr>
            <w:tcW w:w="0" w:type="auto"/>
            <w:shd w:val="clear" w:color="auto" w:fill="FFFFFF"/>
            <w:tcMar>
              <w:top w:w="30" w:type="dxa"/>
              <w:left w:w="0" w:type="dxa"/>
              <w:bottom w:w="30" w:type="dxa"/>
              <w:right w:w="20" w:type="dxa"/>
            </w:tcMar>
            <w:vAlign w:val="bottom"/>
            <w:hideMark/>
          </w:tcPr>
          <w:p w14:paraId="5AB0958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66416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E6E315" w14:textId="77777777" w:rsidR="00000000" w:rsidRDefault="00C01C43">
            <w:pPr>
              <w:jc w:val="right"/>
              <w:rPr>
                <w:rFonts w:eastAsia="Times New Roman"/>
              </w:rPr>
            </w:pPr>
            <w:r>
              <w:rPr>
                <w:rFonts w:ascii="Arial" w:eastAsia="Times New Roman" w:hAnsi="Arial" w:cs="Arial"/>
                <w:color w:val="000000"/>
                <w:sz w:val="20"/>
                <w:szCs w:val="20"/>
              </w:rPr>
              <w:t>1.203 </w:t>
            </w:r>
          </w:p>
        </w:tc>
        <w:tc>
          <w:tcPr>
            <w:tcW w:w="0" w:type="auto"/>
            <w:shd w:val="clear" w:color="auto" w:fill="FFFFFF"/>
            <w:tcMar>
              <w:top w:w="30" w:type="dxa"/>
              <w:left w:w="0" w:type="dxa"/>
              <w:bottom w:w="30" w:type="dxa"/>
              <w:right w:w="20" w:type="dxa"/>
            </w:tcMar>
            <w:vAlign w:val="bottom"/>
            <w:hideMark/>
          </w:tcPr>
          <w:p w14:paraId="68A262F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C4CE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DE9D86" w14:textId="77777777" w:rsidR="00000000" w:rsidRDefault="00C01C43">
            <w:pPr>
              <w:jc w:val="right"/>
              <w:rPr>
                <w:rFonts w:eastAsia="Times New Roman"/>
              </w:rPr>
            </w:pPr>
            <w:r>
              <w:rPr>
                <w:rFonts w:ascii="Arial" w:eastAsia="Times New Roman" w:hAnsi="Arial" w:cs="Arial"/>
                <w:color w:val="000000"/>
                <w:sz w:val="20"/>
                <w:szCs w:val="20"/>
              </w:rPr>
              <w:t>(6.0)</w:t>
            </w:r>
          </w:p>
        </w:tc>
        <w:tc>
          <w:tcPr>
            <w:tcW w:w="0" w:type="auto"/>
            <w:shd w:val="clear" w:color="auto" w:fill="FFFFFF"/>
            <w:tcMar>
              <w:top w:w="30" w:type="dxa"/>
              <w:left w:w="0" w:type="dxa"/>
              <w:bottom w:w="30" w:type="dxa"/>
              <w:right w:w="20" w:type="dxa"/>
            </w:tcMar>
            <w:vAlign w:val="bottom"/>
            <w:hideMark/>
          </w:tcPr>
          <w:p w14:paraId="394DD73A" w14:textId="77777777" w:rsidR="00000000" w:rsidRDefault="00C01C43">
            <w:pPr>
              <w:jc w:val="right"/>
              <w:rPr>
                <w:rFonts w:eastAsia="Times New Roman"/>
              </w:rPr>
            </w:pPr>
          </w:p>
        </w:tc>
      </w:tr>
      <w:tr w:rsidR="00000000" w14:paraId="130BDF0F" w14:textId="77777777">
        <w:trPr>
          <w:divId w:val="210658901"/>
        </w:trPr>
        <w:tc>
          <w:tcPr>
            <w:tcW w:w="0" w:type="auto"/>
            <w:gridSpan w:val="3"/>
            <w:shd w:val="clear" w:color="auto" w:fill="CCEEFF"/>
            <w:tcMar>
              <w:top w:w="30" w:type="dxa"/>
              <w:left w:w="20" w:type="dxa"/>
              <w:bottom w:w="30" w:type="dxa"/>
              <w:right w:w="20" w:type="dxa"/>
            </w:tcMar>
            <w:vAlign w:val="bottom"/>
            <w:hideMark/>
          </w:tcPr>
          <w:p w14:paraId="0077CE6E" w14:textId="77777777" w:rsidR="00000000" w:rsidRDefault="00C01C43">
            <w:pPr>
              <w:rPr>
                <w:rFonts w:eastAsia="Times New Roman"/>
              </w:rPr>
            </w:pPr>
            <w:r>
              <w:rPr>
                <w:rFonts w:ascii="Arial" w:eastAsia="Times New Roman" w:hAnsi="Arial" w:cs="Arial"/>
                <w:color w:val="000000"/>
                <w:sz w:val="20"/>
                <w:szCs w:val="20"/>
              </w:rPr>
              <w:t>2021</w:t>
            </w:r>
          </w:p>
        </w:tc>
        <w:tc>
          <w:tcPr>
            <w:tcW w:w="0" w:type="auto"/>
            <w:gridSpan w:val="3"/>
            <w:shd w:val="clear" w:color="auto" w:fill="CCEEFF"/>
            <w:tcMar>
              <w:top w:w="30" w:type="dxa"/>
              <w:left w:w="20" w:type="dxa"/>
              <w:bottom w:w="30" w:type="dxa"/>
              <w:right w:w="20" w:type="dxa"/>
            </w:tcMar>
            <w:vAlign w:val="bottom"/>
            <w:hideMark/>
          </w:tcPr>
          <w:p w14:paraId="0F36F1F5" w14:textId="77777777" w:rsidR="00000000" w:rsidRDefault="00C01C43">
            <w:pPr>
              <w:jc w:val="center"/>
              <w:rPr>
                <w:rFonts w:eastAsia="Times New Roman"/>
              </w:rPr>
            </w:pPr>
            <w:r>
              <w:rPr>
                <w:rFonts w:ascii="Arial" w:eastAsia="Times New Roman" w:hAnsi="Arial" w:cs="Arial"/>
                <w:color w:val="000000"/>
                <w:sz w:val="20"/>
                <w:szCs w:val="20"/>
              </w:rPr>
              <w:t>GBP</w:t>
            </w:r>
          </w:p>
        </w:tc>
        <w:tc>
          <w:tcPr>
            <w:tcW w:w="0" w:type="auto"/>
            <w:gridSpan w:val="2"/>
            <w:shd w:val="clear" w:color="auto" w:fill="CCEEFF"/>
            <w:tcMar>
              <w:top w:w="30" w:type="dxa"/>
              <w:left w:w="20" w:type="dxa"/>
              <w:bottom w:w="30" w:type="dxa"/>
              <w:right w:w="0" w:type="dxa"/>
            </w:tcMar>
            <w:vAlign w:val="bottom"/>
            <w:hideMark/>
          </w:tcPr>
          <w:p w14:paraId="49ED0CFC" w14:textId="77777777" w:rsidR="00000000" w:rsidRDefault="00C01C43">
            <w:pPr>
              <w:jc w:val="right"/>
              <w:rPr>
                <w:rFonts w:eastAsia="Times New Roman"/>
              </w:rPr>
            </w:pPr>
            <w:r>
              <w:rPr>
                <w:rFonts w:ascii="Arial" w:eastAsia="Times New Roman" w:hAnsi="Arial" w:cs="Arial"/>
                <w:color w:val="000000"/>
                <w:sz w:val="20"/>
                <w:szCs w:val="20"/>
              </w:rPr>
              <w:t>29.6 </w:t>
            </w:r>
          </w:p>
        </w:tc>
        <w:tc>
          <w:tcPr>
            <w:tcW w:w="0" w:type="auto"/>
            <w:shd w:val="clear" w:color="auto" w:fill="CCEEFF"/>
            <w:tcMar>
              <w:top w:w="30" w:type="dxa"/>
              <w:left w:w="0" w:type="dxa"/>
              <w:bottom w:w="30" w:type="dxa"/>
              <w:right w:w="20" w:type="dxa"/>
            </w:tcMar>
            <w:vAlign w:val="bottom"/>
            <w:hideMark/>
          </w:tcPr>
          <w:p w14:paraId="261801B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79E4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4F0158" w14:textId="77777777" w:rsidR="00000000" w:rsidRDefault="00C01C43">
            <w:pPr>
              <w:jc w:val="right"/>
              <w:rPr>
                <w:rFonts w:eastAsia="Times New Roman"/>
              </w:rPr>
            </w:pPr>
            <w:r>
              <w:rPr>
                <w:rFonts w:ascii="Arial" w:eastAsia="Times New Roman" w:hAnsi="Arial" w:cs="Arial"/>
                <w:color w:val="000000"/>
                <w:sz w:val="20"/>
                <w:szCs w:val="20"/>
              </w:rPr>
              <w:t>1.275 </w:t>
            </w:r>
          </w:p>
        </w:tc>
        <w:tc>
          <w:tcPr>
            <w:tcW w:w="0" w:type="auto"/>
            <w:shd w:val="clear" w:color="auto" w:fill="CCEEFF"/>
            <w:tcMar>
              <w:top w:w="30" w:type="dxa"/>
              <w:left w:w="0" w:type="dxa"/>
              <w:bottom w:w="30" w:type="dxa"/>
              <w:right w:w="20" w:type="dxa"/>
            </w:tcMar>
            <w:vAlign w:val="bottom"/>
            <w:hideMark/>
          </w:tcPr>
          <w:p w14:paraId="66F3961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1CA5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4C7193" w14:textId="77777777" w:rsidR="00000000" w:rsidRDefault="00C01C43">
            <w:pPr>
              <w:jc w:val="right"/>
              <w:rPr>
                <w:rFonts w:eastAsia="Times New Roman"/>
              </w:rPr>
            </w:pPr>
            <w:r>
              <w:rPr>
                <w:rFonts w:ascii="Arial" w:eastAsia="Times New Roman" w:hAnsi="Arial" w:cs="Arial"/>
                <w:color w:val="000000"/>
                <w:sz w:val="20"/>
                <w:szCs w:val="20"/>
              </w:rPr>
              <w:t>1.5 </w:t>
            </w:r>
          </w:p>
        </w:tc>
        <w:tc>
          <w:tcPr>
            <w:tcW w:w="0" w:type="auto"/>
            <w:shd w:val="clear" w:color="auto" w:fill="CCEEFF"/>
            <w:tcMar>
              <w:top w:w="30" w:type="dxa"/>
              <w:left w:w="0" w:type="dxa"/>
              <w:bottom w:w="30" w:type="dxa"/>
              <w:right w:w="20" w:type="dxa"/>
            </w:tcMar>
            <w:vAlign w:val="bottom"/>
            <w:hideMark/>
          </w:tcPr>
          <w:p w14:paraId="3FAE0BEA" w14:textId="77777777" w:rsidR="00000000" w:rsidRDefault="00C01C43">
            <w:pPr>
              <w:jc w:val="right"/>
              <w:rPr>
                <w:rFonts w:eastAsia="Times New Roman"/>
              </w:rPr>
            </w:pPr>
          </w:p>
        </w:tc>
      </w:tr>
      <w:tr w:rsidR="00000000" w14:paraId="5507AB02" w14:textId="77777777">
        <w:trPr>
          <w:divId w:val="210658901"/>
        </w:trPr>
        <w:tc>
          <w:tcPr>
            <w:tcW w:w="0" w:type="auto"/>
            <w:gridSpan w:val="3"/>
            <w:vAlign w:val="center"/>
            <w:hideMark/>
          </w:tcPr>
          <w:p w14:paraId="49790E20" w14:textId="77777777" w:rsidR="00000000" w:rsidRDefault="00C01C43">
            <w:pPr>
              <w:jc w:val="right"/>
              <w:rPr>
                <w:rFonts w:eastAsia="Times New Roman"/>
                <w:sz w:val="20"/>
                <w:szCs w:val="20"/>
              </w:rPr>
            </w:pPr>
          </w:p>
        </w:tc>
        <w:tc>
          <w:tcPr>
            <w:tcW w:w="0" w:type="auto"/>
            <w:gridSpan w:val="3"/>
            <w:vAlign w:val="center"/>
            <w:hideMark/>
          </w:tcPr>
          <w:p w14:paraId="441FCCFF" w14:textId="77777777" w:rsidR="00000000" w:rsidRDefault="00C01C43">
            <w:pPr>
              <w:rPr>
                <w:rFonts w:eastAsia="Times New Roman"/>
                <w:sz w:val="20"/>
                <w:szCs w:val="20"/>
              </w:rPr>
            </w:pPr>
          </w:p>
        </w:tc>
        <w:tc>
          <w:tcPr>
            <w:tcW w:w="0" w:type="auto"/>
            <w:gridSpan w:val="3"/>
            <w:vAlign w:val="center"/>
            <w:hideMark/>
          </w:tcPr>
          <w:p w14:paraId="130837A5" w14:textId="77777777" w:rsidR="00000000" w:rsidRDefault="00C01C43">
            <w:pPr>
              <w:rPr>
                <w:rFonts w:eastAsia="Times New Roman"/>
                <w:sz w:val="20"/>
                <w:szCs w:val="20"/>
              </w:rPr>
            </w:pPr>
          </w:p>
        </w:tc>
        <w:tc>
          <w:tcPr>
            <w:tcW w:w="0" w:type="auto"/>
            <w:gridSpan w:val="3"/>
            <w:vAlign w:val="center"/>
            <w:hideMark/>
          </w:tcPr>
          <w:p w14:paraId="3D4B62B9" w14:textId="77777777" w:rsidR="00000000" w:rsidRDefault="00C01C43">
            <w:pPr>
              <w:rPr>
                <w:rFonts w:eastAsia="Times New Roman"/>
                <w:sz w:val="20"/>
                <w:szCs w:val="20"/>
              </w:rPr>
            </w:pPr>
          </w:p>
        </w:tc>
        <w:tc>
          <w:tcPr>
            <w:tcW w:w="0" w:type="auto"/>
            <w:gridSpan w:val="3"/>
            <w:vAlign w:val="center"/>
            <w:hideMark/>
          </w:tcPr>
          <w:p w14:paraId="10172C60" w14:textId="77777777" w:rsidR="00000000" w:rsidRDefault="00C01C43">
            <w:pPr>
              <w:rPr>
                <w:rFonts w:eastAsia="Times New Roman"/>
                <w:sz w:val="20"/>
                <w:szCs w:val="20"/>
              </w:rPr>
            </w:pPr>
          </w:p>
        </w:tc>
        <w:tc>
          <w:tcPr>
            <w:tcW w:w="0" w:type="auto"/>
            <w:gridSpan w:val="3"/>
            <w:vAlign w:val="center"/>
            <w:hideMark/>
          </w:tcPr>
          <w:p w14:paraId="640E1831" w14:textId="77777777" w:rsidR="00000000" w:rsidRDefault="00C01C43">
            <w:pPr>
              <w:rPr>
                <w:rFonts w:eastAsia="Times New Roman"/>
                <w:sz w:val="20"/>
                <w:szCs w:val="20"/>
              </w:rPr>
            </w:pPr>
          </w:p>
        </w:tc>
        <w:tc>
          <w:tcPr>
            <w:tcW w:w="0" w:type="auto"/>
            <w:gridSpan w:val="3"/>
            <w:vAlign w:val="center"/>
            <w:hideMark/>
          </w:tcPr>
          <w:p w14:paraId="0BC30E49" w14:textId="77777777" w:rsidR="00000000" w:rsidRDefault="00C01C43">
            <w:pPr>
              <w:rPr>
                <w:rFonts w:eastAsia="Times New Roman"/>
                <w:sz w:val="20"/>
                <w:szCs w:val="20"/>
              </w:rPr>
            </w:pPr>
          </w:p>
        </w:tc>
      </w:tr>
      <w:tr w:rsidR="00000000" w14:paraId="6EE95E3A" w14:textId="77777777">
        <w:trPr>
          <w:divId w:val="210658901"/>
        </w:trPr>
        <w:tc>
          <w:tcPr>
            <w:tcW w:w="0" w:type="auto"/>
            <w:gridSpan w:val="3"/>
            <w:vAlign w:val="center"/>
            <w:hideMark/>
          </w:tcPr>
          <w:p w14:paraId="2238572D" w14:textId="77777777" w:rsidR="00000000" w:rsidRDefault="00C01C43">
            <w:pPr>
              <w:rPr>
                <w:rFonts w:eastAsia="Times New Roman"/>
                <w:sz w:val="20"/>
                <w:szCs w:val="20"/>
              </w:rPr>
            </w:pPr>
          </w:p>
        </w:tc>
        <w:tc>
          <w:tcPr>
            <w:tcW w:w="0" w:type="auto"/>
            <w:gridSpan w:val="3"/>
            <w:vAlign w:val="center"/>
            <w:hideMark/>
          </w:tcPr>
          <w:p w14:paraId="66751EF4" w14:textId="77777777" w:rsidR="00000000" w:rsidRDefault="00C01C43">
            <w:pPr>
              <w:rPr>
                <w:rFonts w:eastAsia="Times New Roman"/>
                <w:sz w:val="20"/>
                <w:szCs w:val="20"/>
              </w:rPr>
            </w:pPr>
          </w:p>
        </w:tc>
        <w:tc>
          <w:tcPr>
            <w:tcW w:w="0" w:type="auto"/>
            <w:gridSpan w:val="3"/>
            <w:vAlign w:val="center"/>
            <w:hideMark/>
          </w:tcPr>
          <w:p w14:paraId="36316D07" w14:textId="77777777" w:rsidR="00000000" w:rsidRDefault="00C01C43">
            <w:pPr>
              <w:rPr>
                <w:rFonts w:eastAsia="Times New Roman"/>
                <w:sz w:val="20"/>
                <w:szCs w:val="20"/>
              </w:rPr>
            </w:pPr>
          </w:p>
        </w:tc>
        <w:tc>
          <w:tcPr>
            <w:tcW w:w="0" w:type="auto"/>
            <w:gridSpan w:val="3"/>
            <w:vAlign w:val="center"/>
            <w:hideMark/>
          </w:tcPr>
          <w:p w14:paraId="21307F16" w14:textId="77777777" w:rsidR="00000000" w:rsidRDefault="00C01C43">
            <w:pPr>
              <w:rPr>
                <w:rFonts w:eastAsia="Times New Roman"/>
                <w:sz w:val="20"/>
                <w:szCs w:val="20"/>
              </w:rPr>
            </w:pPr>
          </w:p>
        </w:tc>
        <w:tc>
          <w:tcPr>
            <w:tcW w:w="0" w:type="auto"/>
            <w:gridSpan w:val="3"/>
            <w:vAlign w:val="center"/>
            <w:hideMark/>
          </w:tcPr>
          <w:p w14:paraId="5C8824CA" w14:textId="77777777" w:rsidR="00000000" w:rsidRDefault="00C01C43">
            <w:pPr>
              <w:rPr>
                <w:rFonts w:eastAsia="Times New Roman"/>
                <w:sz w:val="20"/>
                <w:szCs w:val="20"/>
              </w:rPr>
            </w:pPr>
          </w:p>
        </w:tc>
        <w:tc>
          <w:tcPr>
            <w:tcW w:w="0" w:type="auto"/>
            <w:gridSpan w:val="3"/>
            <w:vAlign w:val="center"/>
            <w:hideMark/>
          </w:tcPr>
          <w:p w14:paraId="6DF84341" w14:textId="77777777" w:rsidR="00000000" w:rsidRDefault="00C01C43">
            <w:pPr>
              <w:rPr>
                <w:rFonts w:eastAsia="Times New Roman"/>
                <w:sz w:val="20"/>
                <w:szCs w:val="20"/>
              </w:rPr>
            </w:pPr>
          </w:p>
        </w:tc>
        <w:tc>
          <w:tcPr>
            <w:tcW w:w="0" w:type="auto"/>
            <w:gridSpan w:val="3"/>
            <w:vAlign w:val="center"/>
            <w:hideMark/>
          </w:tcPr>
          <w:p w14:paraId="683907B3" w14:textId="77777777" w:rsidR="00000000" w:rsidRDefault="00C01C43">
            <w:pPr>
              <w:rPr>
                <w:rFonts w:eastAsia="Times New Roman"/>
                <w:sz w:val="20"/>
                <w:szCs w:val="20"/>
              </w:rPr>
            </w:pPr>
          </w:p>
        </w:tc>
      </w:tr>
      <w:tr w:rsidR="00000000" w14:paraId="74002FB5" w14:textId="77777777">
        <w:trPr>
          <w:divId w:val="210658901"/>
        </w:trPr>
        <w:tc>
          <w:tcPr>
            <w:tcW w:w="0" w:type="auto"/>
            <w:gridSpan w:val="3"/>
            <w:vAlign w:val="center"/>
            <w:hideMark/>
          </w:tcPr>
          <w:p w14:paraId="09D0CF1C" w14:textId="77777777" w:rsidR="00000000" w:rsidRDefault="00C01C43">
            <w:pPr>
              <w:rPr>
                <w:rFonts w:eastAsia="Times New Roman"/>
                <w:sz w:val="20"/>
                <w:szCs w:val="20"/>
              </w:rPr>
            </w:pPr>
          </w:p>
        </w:tc>
        <w:tc>
          <w:tcPr>
            <w:tcW w:w="0" w:type="auto"/>
            <w:gridSpan w:val="3"/>
            <w:vAlign w:val="center"/>
            <w:hideMark/>
          </w:tcPr>
          <w:p w14:paraId="2AA61859" w14:textId="77777777" w:rsidR="00000000" w:rsidRDefault="00C01C43">
            <w:pPr>
              <w:rPr>
                <w:rFonts w:eastAsia="Times New Roman"/>
                <w:sz w:val="20"/>
                <w:szCs w:val="20"/>
              </w:rPr>
            </w:pPr>
          </w:p>
        </w:tc>
        <w:tc>
          <w:tcPr>
            <w:tcW w:w="0" w:type="auto"/>
            <w:gridSpan w:val="3"/>
            <w:vAlign w:val="center"/>
            <w:hideMark/>
          </w:tcPr>
          <w:p w14:paraId="4100EA7E" w14:textId="77777777" w:rsidR="00000000" w:rsidRDefault="00C01C43">
            <w:pPr>
              <w:rPr>
                <w:rFonts w:eastAsia="Times New Roman"/>
                <w:sz w:val="20"/>
                <w:szCs w:val="20"/>
              </w:rPr>
            </w:pPr>
          </w:p>
        </w:tc>
        <w:tc>
          <w:tcPr>
            <w:tcW w:w="0" w:type="auto"/>
            <w:gridSpan w:val="3"/>
            <w:vAlign w:val="center"/>
            <w:hideMark/>
          </w:tcPr>
          <w:p w14:paraId="5B30CDA5" w14:textId="77777777" w:rsidR="00000000" w:rsidRDefault="00C01C43">
            <w:pPr>
              <w:rPr>
                <w:rFonts w:eastAsia="Times New Roman"/>
                <w:sz w:val="20"/>
                <w:szCs w:val="20"/>
              </w:rPr>
            </w:pPr>
          </w:p>
        </w:tc>
        <w:tc>
          <w:tcPr>
            <w:tcW w:w="0" w:type="auto"/>
            <w:gridSpan w:val="3"/>
            <w:vAlign w:val="center"/>
            <w:hideMark/>
          </w:tcPr>
          <w:p w14:paraId="7A4E2607" w14:textId="77777777" w:rsidR="00000000" w:rsidRDefault="00C01C43">
            <w:pPr>
              <w:rPr>
                <w:rFonts w:eastAsia="Times New Roman"/>
                <w:sz w:val="20"/>
                <w:szCs w:val="20"/>
              </w:rPr>
            </w:pPr>
          </w:p>
        </w:tc>
        <w:tc>
          <w:tcPr>
            <w:tcW w:w="0" w:type="auto"/>
            <w:gridSpan w:val="3"/>
            <w:vAlign w:val="center"/>
            <w:hideMark/>
          </w:tcPr>
          <w:p w14:paraId="2315DABF" w14:textId="77777777" w:rsidR="00000000" w:rsidRDefault="00C01C43">
            <w:pPr>
              <w:rPr>
                <w:rFonts w:eastAsia="Times New Roman"/>
                <w:sz w:val="20"/>
                <w:szCs w:val="20"/>
              </w:rPr>
            </w:pPr>
          </w:p>
        </w:tc>
        <w:tc>
          <w:tcPr>
            <w:tcW w:w="0" w:type="auto"/>
            <w:gridSpan w:val="3"/>
            <w:vAlign w:val="center"/>
            <w:hideMark/>
          </w:tcPr>
          <w:p w14:paraId="1875A323" w14:textId="77777777" w:rsidR="00000000" w:rsidRDefault="00C01C43">
            <w:pPr>
              <w:rPr>
                <w:rFonts w:eastAsia="Times New Roman"/>
                <w:sz w:val="20"/>
                <w:szCs w:val="20"/>
              </w:rPr>
            </w:pPr>
          </w:p>
        </w:tc>
      </w:tr>
      <w:tr w:rsidR="00000000" w14:paraId="2B23B115" w14:textId="77777777">
        <w:trPr>
          <w:divId w:val="210658901"/>
        </w:trPr>
        <w:tc>
          <w:tcPr>
            <w:tcW w:w="0" w:type="auto"/>
            <w:gridSpan w:val="3"/>
            <w:shd w:val="clear" w:color="auto" w:fill="FFFFFF"/>
            <w:tcMar>
              <w:top w:w="30" w:type="dxa"/>
              <w:left w:w="20" w:type="dxa"/>
              <w:bottom w:w="30" w:type="dxa"/>
              <w:right w:w="20" w:type="dxa"/>
            </w:tcMar>
            <w:vAlign w:val="bottom"/>
            <w:hideMark/>
          </w:tcPr>
          <w:p w14:paraId="46332339" w14:textId="77777777" w:rsidR="00000000" w:rsidRDefault="00C01C43">
            <w:pPr>
              <w:rPr>
                <w:rFonts w:eastAsia="Times New Roman"/>
              </w:rPr>
            </w:pPr>
            <w:r>
              <w:rPr>
                <w:rFonts w:ascii="Arial" w:eastAsia="Times New Roman" w:hAnsi="Arial" w:cs="Arial"/>
                <w:color w:val="000000"/>
                <w:sz w:val="20"/>
                <w:szCs w:val="20"/>
              </w:rPr>
              <w:t>2021</w:t>
            </w:r>
          </w:p>
        </w:tc>
        <w:tc>
          <w:tcPr>
            <w:tcW w:w="0" w:type="auto"/>
            <w:gridSpan w:val="3"/>
            <w:shd w:val="clear" w:color="auto" w:fill="FFFFFF"/>
            <w:tcMar>
              <w:top w:w="30" w:type="dxa"/>
              <w:left w:w="20" w:type="dxa"/>
              <w:bottom w:w="30" w:type="dxa"/>
              <w:right w:w="20" w:type="dxa"/>
            </w:tcMar>
            <w:vAlign w:val="bottom"/>
            <w:hideMark/>
          </w:tcPr>
          <w:p w14:paraId="32DB0DE9" w14:textId="77777777" w:rsidR="00000000" w:rsidRDefault="00C01C43">
            <w:pPr>
              <w:jc w:val="center"/>
              <w:rPr>
                <w:rFonts w:eastAsia="Times New Roman"/>
              </w:rPr>
            </w:pPr>
            <w:r>
              <w:rPr>
                <w:rFonts w:ascii="Arial" w:eastAsia="Times New Roman" w:hAnsi="Arial" w:cs="Arial"/>
                <w:color w:val="000000"/>
                <w:sz w:val="20"/>
                <w:szCs w:val="20"/>
              </w:rPr>
              <w:t>KRW</w:t>
            </w:r>
          </w:p>
        </w:tc>
        <w:tc>
          <w:tcPr>
            <w:tcW w:w="0" w:type="auto"/>
            <w:gridSpan w:val="2"/>
            <w:shd w:val="clear" w:color="auto" w:fill="FFFFFF"/>
            <w:tcMar>
              <w:top w:w="30" w:type="dxa"/>
              <w:left w:w="20" w:type="dxa"/>
              <w:bottom w:w="30" w:type="dxa"/>
              <w:right w:w="0" w:type="dxa"/>
            </w:tcMar>
            <w:vAlign w:val="bottom"/>
            <w:hideMark/>
          </w:tcPr>
          <w:p w14:paraId="18B17312" w14:textId="77777777" w:rsidR="00000000" w:rsidRDefault="00C01C43">
            <w:pPr>
              <w:jc w:val="right"/>
              <w:rPr>
                <w:rFonts w:eastAsia="Times New Roman"/>
              </w:rPr>
            </w:pPr>
            <w:r>
              <w:rPr>
                <w:rFonts w:ascii="Arial" w:eastAsia="Times New Roman" w:hAnsi="Arial" w:cs="Arial"/>
                <w:color w:val="000000"/>
                <w:sz w:val="20"/>
                <w:szCs w:val="20"/>
              </w:rPr>
              <w:t>(21,066.6)</w:t>
            </w:r>
          </w:p>
        </w:tc>
        <w:tc>
          <w:tcPr>
            <w:tcW w:w="0" w:type="auto"/>
            <w:shd w:val="clear" w:color="auto" w:fill="FFFFFF"/>
            <w:tcMar>
              <w:top w:w="30" w:type="dxa"/>
              <w:left w:w="0" w:type="dxa"/>
              <w:bottom w:w="30" w:type="dxa"/>
              <w:right w:w="20" w:type="dxa"/>
            </w:tcMar>
            <w:vAlign w:val="bottom"/>
            <w:hideMark/>
          </w:tcPr>
          <w:p w14:paraId="6A9841B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1D206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7202D6" w14:textId="77777777" w:rsidR="00000000" w:rsidRDefault="00C01C43">
            <w:pPr>
              <w:jc w:val="right"/>
              <w:rPr>
                <w:rFonts w:eastAsia="Times New Roman"/>
              </w:rPr>
            </w:pPr>
            <w:r>
              <w:rPr>
                <w:rFonts w:ascii="Arial" w:eastAsia="Times New Roman" w:hAnsi="Arial" w:cs="Arial"/>
                <w:color w:val="000000"/>
                <w:sz w:val="20"/>
                <w:szCs w:val="20"/>
              </w:rPr>
              <w:t>1,149.519 </w:t>
            </w:r>
          </w:p>
        </w:tc>
        <w:tc>
          <w:tcPr>
            <w:tcW w:w="0" w:type="auto"/>
            <w:shd w:val="clear" w:color="auto" w:fill="FFFFFF"/>
            <w:tcMar>
              <w:top w:w="30" w:type="dxa"/>
              <w:left w:w="0" w:type="dxa"/>
              <w:bottom w:w="30" w:type="dxa"/>
              <w:right w:w="20" w:type="dxa"/>
            </w:tcMar>
            <w:vAlign w:val="bottom"/>
            <w:hideMark/>
          </w:tcPr>
          <w:p w14:paraId="26E3B4B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8BCC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8DFDA5" w14:textId="77777777" w:rsidR="00000000" w:rsidRDefault="00C01C43">
            <w:pPr>
              <w:jc w:val="right"/>
              <w:rPr>
                <w:rFonts w:eastAsia="Times New Roman"/>
              </w:rPr>
            </w:pPr>
            <w:r>
              <w:rPr>
                <w:rFonts w:ascii="Arial" w:eastAsia="Times New Roman" w:hAnsi="Arial" w:cs="Arial"/>
                <w:color w:val="000000"/>
                <w:sz w:val="20"/>
                <w:szCs w:val="20"/>
              </w:rPr>
              <w:t>(1.1)</w:t>
            </w:r>
          </w:p>
        </w:tc>
        <w:tc>
          <w:tcPr>
            <w:tcW w:w="0" w:type="auto"/>
            <w:shd w:val="clear" w:color="auto" w:fill="FFFFFF"/>
            <w:tcMar>
              <w:top w:w="30" w:type="dxa"/>
              <w:left w:w="0" w:type="dxa"/>
              <w:bottom w:w="30" w:type="dxa"/>
              <w:right w:w="20" w:type="dxa"/>
            </w:tcMar>
            <w:vAlign w:val="bottom"/>
            <w:hideMark/>
          </w:tcPr>
          <w:p w14:paraId="7048925B" w14:textId="77777777" w:rsidR="00000000" w:rsidRDefault="00C01C43">
            <w:pPr>
              <w:jc w:val="right"/>
              <w:rPr>
                <w:rFonts w:eastAsia="Times New Roman"/>
              </w:rPr>
            </w:pPr>
          </w:p>
        </w:tc>
      </w:tr>
      <w:tr w:rsidR="00000000" w14:paraId="1FCE2C1A" w14:textId="77777777">
        <w:trPr>
          <w:divId w:val="210658901"/>
        </w:trPr>
        <w:tc>
          <w:tcPr>
            <w:tcW w:w="0" w:type="auto"/>
            <w:gridSpan w:val="3"/>
            <w:shd w:val="clear" w:color="auto" w:fill="CCEEFF"/>
            <w:tcMar>
              <w:top w:w="30" w:type="dxa"/>
              <w:left w:w="20" w:type="dxa"/>
              <w:bottom w:w="30" w:type="dxa"/>
              <w:right w:w="20" w:type="dxa"/>
            </w:tcMar>
            <w:vAlign w:val="bottom"/>
            <w:hideMark/>
          </w:tcPr>
          <w:p w14:paraId="134D4E92" w14:textId="77777777" w:rsidR="00000000" w:rsidRDefault="00C01C43">
            <w:pPr>
              <w:rPr>
                <w:rFonts w:eastAsia="Times New Roman"/>
              </w:rPr>
            </w:pPr>
            <w:r>
              <w:rPr>
                <w:rFonts w:ascii="Arial" w:eastAsia="Times New Roman" w:hAnsi="Arial" w:cs="Arial"/>
                <w:color w:val="000000"/>
                <w:sz w:val="20"/>
                <w:szCs w:val="20"/>
              </w:rPr>
              <w:t>2021</w:t>
            </w:r>
          </w:p>
        </w:tc>
        <w:tc>
          <w:tcPr>
            <w:tcW w:w="0" w:type="auto"/>
            <w:gridSpan w:val="3"/>
            <w:shd w:val="clear" w:color="auto" w:fill="CCEEFF"/>
            <w:tcMar>
              <w:top w:w="30" w:type="dxa"/>
              <w:left w:w="20" w:type="dxa"/>
              <w:bottom w:w="30" w:type="dxa"/>
              <w:right w:w="20" w:type="dxa"/>
            </w:tcMar>
            <w:vAlign w:val="bottom"/>
            <w:hideMark/>
          </w:tcPr>
          <w:p w14:paraId="17CBE5A6" w14:textId="77777777" w:rsidR="00000000" w:rsidRDefault="00C01C43">
            <w:pPr>
              <w:jc w:val="center"/>
              <w:rPr>
                <w:rFonts w:eastAsia="Times New Roman"/>
              </w:rPr>
            </w:pPr>
            <w:r>
              <w:rPr>
                <w:rFonts w:ascii="Arial" w:eastAsia="Times New Roman" w:hAnsi="Arial" w:cs="Arial"/>
                <w:color w:val="000000"/>
                <w:sz w:val="20"/>
                <w:szCs w:val="20"/>
              </w:rPr>
              <w:t>MXN</w:t>
            </w:r>
          </w:p>
        </w:tc>
        <w:tc>
          <w:tcPr>
            <w:tcW w:w="0" w:type="auto"/>
            <w:gridSpan w:val="2"/>
            <w:shd w:val="clear" w:color="auto" w:fill="CCEEFF"/>
            <w:tcMar>
              <w:top w:w="30" w:type="dxa"/>
              <w:left w:w="20" w:type="dxa"/>
              <w:bottom w:w="30" w:type="dxa"/>
              <w:right w:w="0" w:type="dxa"/>
            </w:tcMar>
            <w:vAlign w:val="bottom"/>
            <w:hideMark/>
          </w:tcPr>
          <w:p w14:paraId="0435C409" w14:textId="77777777" w:rsidR="00000000" w:rsidRDefault="00C01C43">
            <w:pPr>
              <w:jc w:val="right"/>
              <w:rPr>
                <w:rFonts w:eastAsia="Times New Roman"/>
              </w:rPr>
            </w:pPr>
            <w:r>
              <w:rPr>
                <w:rFonts w:ascii="Arial" w:eastAsia="Times New Roman" w:hAnsi="Arial" w:cs="Arial"/>
                <w:color w:val="000000"/>
                <w:sz w:val="20"/>
                <w:szCs w:val="20"/>
              </w:rPr>
              <w:t>77.4 </w:t>
            </w:r>
          </w:p>
        </w:tc>
        <w:tc>
          <w:tcPr>
            <w:tcW w:w="0" w:type="auto"/>
            <w:shd w:val="clear" w:color="auto" w:fill="CCEEFF"/>
            <w:tcMar>
              <w:top w:w="30" w:type="dxa"/>
              <w:left w:w="0" w:type="dxa"/>
              <w:bottom w:w="30" w:type="dxa"/>
              <w:right w:w="20" w:type="dxa"/>
            </w:tcMar>
            <w:vAlign w:val="bottom"/>
            <w:hideMark/>
          </w:tcPr>
          <w:p w14:paraId="1DAE3FA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CB930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D3317A" w14:textId="77777777" w:rsidR="00000000" w:rsidRDefault="00C01C43">
            <w:pPr>
              <w:jc w:val="right"/>
              <w:rPr>
                <w:rFonts w:eastAsia="Times New Roman"/>
              </w:rPr>
            </w:pPr>
            <w:r>
              <w:rPr>
                <w:rFonts w:ascii="Arial" w:eastAsia="Times New Roman" w:hAnsi="Arial" w:cs="Arial"/>
                <w:color w:val="000000"/>
                <w:sz w:val="20"/>
                <w:szCs w:val="20"/>
              </w:rPr>
              <w:t>20.946 </w:t>
            </w:r>
          </w:p>
        </w:tc>
        <w:tc>
          <w:tcPr>
            <w:tcW w:w="0" w:type="auto"/>
            <w:shd w:val="clear" w:color="auto" w:fill="CCEEFF"/>
            <w:tcMar>
              <w:top w:w="30" w:type="dxa"/>
              <w:left w:w="0" w:type="dxa"/>
              <w:bottom w:w="30" w:type="dxa"/>
              <w:right w:w="20" w:type="dxa"/>
            </w:tcMar>
            <w:vAlign w:val="bottom"/>
            <w:hideMark/>
          </w:tcPr>
          <w:p w14:paraId="2D1E044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7651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0E3E3C" w14:textId="77777777" w:rsidR="00000000" w:rsidRDefault="00C01C43">
            <w:pPr>
              <w:jc w:val="right"/>
              <w:rPr>
                <w:rFonts w:eastAsia="Times New Roman"/>
              </w:rPr>
            </w:pPr>
            <w:r>
              <w:rPr>
                <w:rFonts w:ascii="Arial" w:eastAsia="Times New Roman" w:hAnsi="Arial" w:cs="Arial"/>
                <w:color w:val="000000"/>
                <w:sz w:val="20"/>
                <w:szCs w:val="20"/>
              </w:rPr>
              <w:t>(0.2)</w:t>
            </w:r>
          </w:p>
        </w:tc>
        <w:tc>
          <w:tcPr>
            <w:tcW w:w="0" w:type="auto"/>
            <w:shd w:val="clear" w:color="auto" w:fill="CCEEFF"/>
            <w:tcMar>
              <w:top w:w="30" w:type="dxa"/>
              <w:left w:w="0" w:type="dxa"/>
              <w:bottom w:w="30" w:type="dxa"/>
              <w:right w:w="20" w:type="dxa"/>
            </w:tcMar>
            <w:vAlign w:val="bottom"/>
            <w:hideMark/>
          </w:tcPr>
          <w:p w14:paraId="477648A8" w14:textId="77777777" w:rsidR="00000000" w:rsidRDefault="00C01C43">
            <w:pPr>
              <w:jc w:val="right"/>
              <w:rPr>
                <w:rFonts w:eastAsia="Times New Roman"/>
              </w:rPr>
            </w:pPr>
          </w:p>
        </w:tc>
      </w:tr>
      <w:tr w:rsidR="00000000" w14:paraId="07DC35D9" w14:textId="77777777">
        <w:trPr>
          <w:divId w:val="210658901"/>
        </w:trPr>
        <w:tc>
          <w:tcPr>
            <w:tcW w:w="0" w:type="auto"/>
            <w:gridSpan w:val="3"/>
            <w:shd w:val="clear" w:color="auto" w:fill="FFFFFF"/>
            <w:tcMar>
              <w:top w:w="30" w:type="dxa"/>
              <w:left w:w="20" w:type="dxa"/>
              <w:bottom w:w="30" w:type="dxa"/>
              <w:right w:w="20" w:type="dxa"/>
            </w:tcMar>
            <w:vAlign w:val="bottom"/>
            <w:hideMark/>
          </w:tcPr>
          <w:p w14:paraId="437E9778" w14:textId="77777777" w:rsidR="00000000" w:rsidRDefault="00C01C43">
            <w:pPr>
              <w:rPr>
                <w:rFonts w:eastAsia="Times New Roman"/>
              </w:rPr>
            </w:pPr>
            <w:r>
              <w:rPr>
                <w:rFonts w:ascii="Arial" w:eastAsia="Times New Roman" w:hAnsi="Arial" w:cs="Arial"/>
                <w:color w:val="000000"/>
                <w:sz w:val="20"/>
                <w:szCs w:val="20"/>
              </w:rPr>
              <w:t>2021</w:t>
            </w:r>
          </w:p>
        </w:tc>
        <w:tc>
          <w:tcPr>
            <w:tcW w:w="0" w:type="auto"/>
            <w:gridSpan w:val="3"/>
            <w:shd w:val="clear" w:color="auto" w:fill="FFFFFF"/>
            <w:tcMar>
              <w:top w:w="30" w:type="dxa"/>
              <w:left w:w="20" w:type="dxa"/>
              <w:bottom w:w="30" w:type="dxa"/>
              <w:right w:w="20" w:type="dxa"/>
            </w:tcMar>
            <w:vAlign w:val="bottom"/>
            <w:hideMark/>
          </w:tcPr>
          <w:p w14:paraId="6A85AF02" w14:textId="77777777" w:rsidR="00000000" w:rsidRDefault="00C01C43">
            <w:pPr>
              <w:jc w:val="center"/>
              <w:rPr>
                <w:rFonts w:eastAsia="Times New Roman"/>
              </w:rPr>
            </w:pPr>
            <w:r>
              <w:rPr>
                <w:rFonts w:ascii="Arial" w:eastAsia="Times New Roman" w:hAnsi="Arial" w:cs="Arial"/>
                <w:color w:val="000000"/>
                <w:sz w:val="20"/>
                <w:szCs w:val="20"/>
              </w:rPr>
              <w:t>NOK</w:t>
            </w:r>
          </w:p>
        </w:tc>
        <w:tc>
          <w:tcPr>
            <w:tcW w:w="0" w:type="auto"/>
            <w:gridSpan w:val="2"/>
            <w:shd w:val="clear" w:color="auto" w:fill="FFFFFF"/>
            <w:tcMar>
              <w:top w:w="30" w:type="dxa"/>
              <w:left w:w="20" w:type="dxa"/>
              <w:bottom w:w="30" w:type="dxa"/>
              <w:right w:w="0" w:type="dxa"/>
            </w:tcMar>
            <w:vAlign w:val="bottom"/>
            <w:hideMark/>
          </w:tcPr>
          <w:p w14:paraId="2597C675" w14:textId="77777777" w:rsidR="00000000" w:rsidRDefault="00C01C43">
            <w:pPr>
              <w:jc w:val="right"/>
              <w:rPr>
                <w:rFonts w:eastAsia="Times New Roman"/>
              </w:rPr>
            </w:pPr>
            <w:r>
              <w:rPr>
                <w:rFonts w:ascii="Arial" w:eastAsia="Times New Roman" w:hAnsi="Arial" w:cs="Arial"/>
                <w:color w:val="000000"/>
                <w:sz w:val="20"/>
                <w:szCs w:val="20"/>
              </w:rPr>
              <w:t>(314.6)</w:t>
            </w:r>
          </w:p>
        </w:tc>
        <w:tc>
          <w:tcPr>
            <w:tcW w:w="0" w:type="auto"/>
            <w:shd w:val="clear" w:color="auto" w:fill="FFFFFF"/>
            <w:tcMar>
              <w:top w:w="30" w:type="dxa"/>
              <w:left w:w="0" w:type="dxa"/>
              <w:bottom w:w="30" w:type="dxa"/>
              <w:right w:w="20" w:type="dxa"/>
            </w:tcMar>
            <w:vAlign w:val="bottom"/>
            <w:hideMark/>
          </w:tcPr>
          <w:p w14:paraId="4AA52B1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7371E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E60650" w14:textId="77777777" w:rsidR="00000000" w:rsidRDefault="00C01C43">
            <w:pPr>
              <w:jc w:val="right"/>
              <w:rPr>
                <w:rFonts w:eastAsia="Times New Roman"/>
              </w:rPr>
            </w:pPr>
            <w:r>
              <w:rPr>
                <w:rFonts w:ascii="Arial" w:eastAsia="Times New Roman" w:hAnsi="Arial" w:cs="Arial"/>
                <w:color w:val="000000"/>
                <w:sz w:val="20"/>
                <w:szCs w:val="20"/>
              </w:rPr>
              <w:t>8.739 </w:t>
            </w:r>
          </w:p>
        </w:tc>
        <w:tc>
          <w:tcPr>
            <w:tcW w:w="0" w:type="auto"/>
            <w:shd w:val="clear" w:color="auto" w:fill="FFFFFF"/>
            <w:tcMar>
              <w:top w:w="30" w:type="dxa"/>
              <w:left w:w="0" w:type="dxa"/>
              <w:bottom w:w="30" w:type="dxa"/>
              <w:right w:w="20" w:type="dxa"/>
            </w:tcMar>
            <w:vAlign w:val="bottom"/>
            <w:hideMark/>
          </w:tcPr>
          <w:p w14:paraId="638CD88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C302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B011F9" w14:textId="77777777" w:rsidR="00000000" w:rsidRDefault="00C01C43">
            <w:pPr>
              <w:jc w:val="right"/>
              <w:rPr>
                <w:rFonts w:eastAsia="Times New Roman"/>
              </w:rPr>
            </w:pPr>
            <w:r>
              <w:rPr>
                <w:rFonts w:ascii="Arial" w:eastAsia="Times New Roman" w:hAnsi="Arial" w:cs="Arial"/>
                <w:color w:val="000000"/>
                <w:sz w:val="20"/>
                <w:szCs w:val="20"/>
              </w:rPr>
              <w:t>(2.6)</w:t>
            </w:r>
          </w:p>
        </w:tc>
        <w:tc>
          <w:tcPr>
            <w:tcW w:w="0" w:type="auto"/>
            <w:shd w:val="clear" w:color="auto" w:fill="FFFFFF"/>
            <w:tcMar>
              <w:top w:w="30" w:type="dxa"/>
              <w:left w:w="0" w:type="dxa"/>
              <w:bottom w:w="30" w:type="dxa"/>
              <w:right w:w="20" w:type="dxa"/>
            </w:tcMar>
            <w:vAlign w:val="bottom"/>
            <w:hideMark/>
          </w:tcPr>
          <w:p w14:paraId="31AE5413" w14:textId="77777777" w:rsidR="00000000" w:rsidRDefault="00C01C43">
            <w:pPr>
              <w:jc w:val="right"/>
              <w:rPr>
                <w:rFonts w:eastAsia="Times New Roman"/>
              </w:rPr>
            </w:pPr>
          </w:p>
        </w:tc>
      </w:tr>
      <w:tr w:rsidR="00000000" w14:paraId="136F9C4B" w14:textId="77777777">
        <w:trPr>
          <w:divId w:val="210658901"/>
        </w:trPr>
        <w:tc>
          <w:tcPr>
            <w:tcW w:w="0" w:type="auto"/>
            <w:gridSpan w:val="3"/>
            <w:vAlign w:val="center"/>
            <w:hideMark/>
          </w:tcPr>
          <w:p w14:paraId="260A6A40" w14:textId="77777777" w:rsidR="00000000" w:rsidRDefault="00C01C43">
            <w:pPr>
              <w:jc w:val="right"/>
              <w:rPr>
                <w:rFonts w:eastAsia="Times New Roman"/>
                <w:sz w:val="20"/>
                <w:szCs w:val="20"/>
              </w:rPr>
            </w:pPr>
          </w:p>
        </w:tc>
        <w:tc>
          <w:tcPr>
            <w:tcW w:w="0" w:type="auto"/>
            <w:gridSpan w:val="3"/>
            <w:vAlign w:val="center"/>
            <w:hideMark/>
          </w:tcPr>
          <w:p w14:paraId="789AD75D" w14:textId="77777777" w:rsidR="00000000" w:rsidRDefault="00C01C43">
            <w:pPr>
              <w:rPr>
                <w:rFonts w:eastAsia="Times New Roman"/>
                <w:sz w:val="20"/>
                <w:szCs w:val="20"/>
              </w:rPr>
            </w:pPr>
          </w:p>
        </w:tc>
        <w:tc>
          <w:tcPr>
            <w:tcW w:w="0" w:type="auto"/>
            <w:gridSpan w:val="3"/>
            <w:vAlign w:val="center"/>
            <w:hideMark/>
          </w:tcPr>
          <w:p w14:paraId="6744FAE0" w14:textId="77777777" w:rsidR="00000000" w:rsidRDefault="00C01C43">
            <w:pPr>
              <w:rPr>
                <w:rFonts w:eastAsia="Times New Roman"/>
                <w:sz w:val="20"/>
                <w:szCs w:val="20"/>
              </w:rPr>
            </w:pPr>
          </w:p>
        </w:tc>
        <w:tc>
          <w:tcPr>
            <w:tcW w:w="0" w:type="auto"/>
            <w:gridSpan w:val="3"/>
            <w:vAlign w:val="center"/>
            <w:hideMark/>
          </w:tcPr>
          <w:p w14:paraId="5C595963" w14:textId="77777777" w:rsidR="00000000" w:rsidRDefault="00C01C43">
            <w:pPr>
              <w:rPr>
                <w:rFonts w:eastAsia="Times New Roman"/>
                <w:sz w:val="20"/>
                <w:szCs w:val="20"/>
              </w:rPr>
            </w:pPr>
          </w:p>
        </w:tc>
        <w:tc>
          <w:tcPr>
            <w:tcW w:w="0" w:type="auto"/>
            <w:gridSpan w:val="3"/>
            <w:vAlign w:val="center"/>
            <w:hideMark/>
          </w:tcPr>
          <w:p w14:paraId="6AC70806" w14:textId="77777777" w:rsidR="00000000" w:rsidRDefault="00C01C43">
            <w:pPr>
              <w:rPr>
                <w:rFonts w:eastAsia="Times New Roman"/>
                <w:sz w:val="20"/>
                <w:szCs w:val="20"/>
              </w:rPr>
            </w:pPr>
          </w:p>
        </w:tc>
        <w:tc>
          <w:tcPr>
            <w:tcW w:w="0" w:type="auto"/>
            <w:gridSpan w:val="3"/>
            <w:vAlign w:val="center"/>
            <w:hideMark/>
          </w:tcPr>
          <w:p w14:paraId="708BBEF2" w14:textId="77777777" w:rsidR="00000000" w:rsidRDefault="00C01C43">
            <w:pPr>
              <w:rPr>
                <w:rFonts w:eastAsia="Times New Roman"/>
                <w:sz w:val="20"/>
                <w:szCs w:val="20"/>
              </w:rPr>
            </w:pPr>
          </w:p>
        </w:tc>
        <w:tc>
          <w:tcPr>
            <w:tcW w:w="0" w:type="auto"/>
            <w:gridSpan w:val="3"/>
            <w:vAlign w:val="center"/>
            <w:hideMark/>
          </w:tcPr>
          <w:p w14:paraId="3C2931FD" w14:textId="77777777" w:rsidR="00000000" w:rsidRDefault="00C01C43">
            <w:pPr>
              <w:rPr>
                <w:rFonts w:eastAsia="Times New Roman"/>
                <w:sz w:val="20"/>
                <w:szCs w:val="20"/>
              </w:rPr>
            </w:pPr>
          </w:p>
        </w:tc>
      </w:tr>
      <w:tr w:rsidR="00000000" w14:paraId="2A03919C" w14:textId="77777777">
        <w:trPr>
          <w:divId w:val="210658901"/>
        </w:trPr>
        <w:tc>
          <w:tcPr>
            <w:tcW w:w="0" w:type="auto"/>
            <w:gridSpan w:val="3"/>
            <w:shd w:val="clear" w:color="auto" w:fill="CCEEFF"/>
            <w:tcMar>
              <w:top w:w="30" w:type="dxa"/>
              <w:left w:w="20" w:type="dxa"/>
              <w:bottom w:w="30" w:type="dxa"/>
              <w:right w:w="20" w:type="dxa"/>
            </w:tcMar>
            <w:vAlign w:val="bottom"/>
            <w:hideMark/>
          </w:tcPr>
          <w:p w14:paraId="3BCB9382" w14:textId="77777777" w:rsidR="00000000" w:rsidRDefault="00C01C43">
            <w:pPr>
              <w:rPr>
                <w:rFonts w:eastAsia="Times New Roman"/>
              </w:rPr>
            </w:pPr>
            <w:r>
              <w:rPr>
                <w:rFonts w:ascii="Arial" w:eastAsia="Times New Roman" w:hAnsi="Arial" w:cs="Arial"/>
                <w:color w:val="000000"/>
                <w:sz w:val="20"/>
                <w:szCs w:val="20"/>
              </w:rPr>
              <w:t>2021</w:t>
            </w:r>
          </w:p>
        </w:tc>
        <w:tc>
          <w:tcPr>
            <w:tcW w:w="0" w:type="auto"/>
            <w:gridSpan w:val="3"/>
            <w:shd w:val="clear" w:color="auto" w:fill="CCEEFF"/>
            <w:tcMar>
              <w:top w:w="30" w:type="dxa"/>
              <w:left w:w="20" w:type="dxa"/>
              <w:bottom w:w="30" w:type="dxa"/>
              <w:right w:w="20" w:type="dxa"/>
            </w:tcMar>
            <w:vAlign w:val="bottom"/>
            <w:hideMark/>
          </w:tcPr>
          <w:p w14:paraId="0BE6A6CA" w14:textId="77777777" w:rsidR="00000000" w:rsidRDefault="00C01C43">
            <w:pPr>
              <w:jc w:val="center"/>
              <w:rPr>
                <w:rFonts w:eastAsia="Times New Roman"/>
              </w:rPr>
            </w:pPr>
            <w:r>
              <w:rPr>
                <w:rFonts w:ascii="Arial" w:eastAsia="Times New Roman" w:hAnsi="Arial" w:cs="Arial"/>
                <w:color w:val="000000"/>
                <w:sz w:val="20"/>
                <w:szCs w:val="20"/>
              </w:rPr>
              <w:t>PHP</w:t>
            </w:r>
          </w:p>
        </w:tc>
        <w:tc>
          <w:tcPr>
            <w:tcW w:w="0" w:type="auto"/>
            <w:gridSpan w:val="2"/>
            <w:shd w:val="clear" w:color="auto" w:fill="CCEEFF"/>
            <w:tcMar>
              <w:top w:w="30" w:type="dxa"/>
              <w:left w:w="20" w:type="dxa"/>
              <w:bottom w:w="30" w:type="dxa"/>
              <w:right w:w="0" w:type="dxa"/>
            </w:tcMar>
            <w:vAlign w:val="bottom"/>
            <w:hideMark/>
          </w:tcPr>
          <w:p w14:paraId="2A994E94" w14:textId="77777777" w:rsidR="00000000" w:rsidRDefault="00C01C43">
            <w:pPr>
              <w:jc w:val="right"/>
              <w:rPr>
                <w:rFonts w:eastAsia="Times New Roman"/>
              </w:rPr>
            </w:pPr>
            <w:r>
              <w:rPr>
                <w:rFonts w:ascii="Arial" w:eastAsia="Times New Roman" w:hAnsi="Arial" w:cs="Arial"/>
                <w:color w:val="000000"/>
                <w:sz w:val="20"/>
                <w:szCs w:val="20"/>
              </w:rPr>
              <w:t>(165.5)</w:t>
            </w:r>
          </w:p>
        </w:tc>
        <w:tc>
          <w:tcPr>
            <w:tcW w:w="0" w:type="auto"/>
            <w:shd w:val="clear" w:color="auto" w:fill="CCEEFF"/>
            <w:tcMar>
              <w:top w:w="30" w:type="dxa"/>
              <w:left w:w="0" w:type="dxa"/>
              <w:bottom w:w="30" w:type="dxa"/>
              <w:right w:w="20" w:type="dxa"/>
            </w:tcMar>
            <w:vAlign w:val="bottom"/>
            <w:hideMark/>
          </w:tcPr>
          <w:p w14:paraId="56684A4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F6365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8FC2C7" w14:textId="77777777" w:rsidR="00000000" w:rsidRDefault="00C01C43">
            <w:pPr>
              <w:jc w:val="right"/>
              <w:rPr>
                <w:rFonts w:eastAsia="Times New Roman"/>
              </w:rPr>
            </w:pPr>
            <w:r>
              <w:rPr>
                <w:rFonts w:ascii="Arial" w:eastAsia="Times New Roman" w:hAnsi="Arial" w:cs="Arial"/>
                <w:color w:val="000000"/>
                <w:sz w:val="20"/>
                <w:szCs w:val="20"/>
              </w:rPr>
              <w:t>51.122 </w:t>
            </w:r>
          </w:p>
        </w:tc>
        <w:tc>
          <w:tcPr>
            <w:tcW w:w="0" w:type="auto"/>
            <w:shd w:val="clear" w:color="auto" w:fill="CCEEFF"/>
            <w:tcMar>
              <w:top w:w="30" w:type="dxa"/>
              <w:left w:w="0" w:type="dxa"/>
              <w:bottom w:w="30" w:type="dxa"/>
              <w:right w:w="20" w:type="dxa"/>
            </w:tcMar>
            <w:vAlign w:val="bottom"/>
            <w:hideMark/>
          </w:tcPr>
          <w:p w14:paraId="2730536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FBE9F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4C4D66" w14:textId="77777777" w:rsidR="00000000" w:rsidRDefault="00C01C43">
            <w:pPr>
              <w:jc w:val="right"/>
              <w:rPr>
                <w:rFonts w:eastAsia="Times New Roman"/>
              </w:rPr>
            </w:pPr>
            <w:r>
              <w:rPr>
                <w:rFonts w:ascii="Arial" w:eastAsia="Times New Roman" w:hAnsi="Arial" w:cs="Arial"/>
                <w:color w:val="000000"/>
                <w:sz w:val="20"/>
                <w:szCs w:val="20"/>
              </w:rPr>
              <w:t>(0.2)</w:t>
            </w:r>
          </w:p>
        </w:tc>
        <w:tc>
          <w:tcPr>
            <w:tcW w:w="0" w:type="auto"/>
            <w:shd w:val="clear" w:color="auto" w:fill="CCEEFF"/>
            <w:tcMar>
              <w:top w:w="30" w:type="dxa"/>
              <w:left w:w="0" w:type="dxa"/>
              <w:bottom w:w="30" w:type="dxa"/>
              <w:right w:w="20" w:type="dxa"/>
            </w:tcMar>
            <w:vAlign w:val="bottom"/>
            <w:hideMark/>
          </w:tcPr>
          <w:p w14:paraId="74422E9F" w14:textId="77777777" w:rsidR="00000000" w:rsidRDefault="00C01C43">
            <w:pPr>
              <w:jc w:val="right"/>
              <w:rPr>
                <w:rFonts w:eastAsia="Times New Roman"/>
              </w:rPr>
            </w:pPr>
          </w:p>
        </w:tc>
      </w:tr>
      <w:tr w:rsidR="00000000" w14:paraId="3D37CD8C" w14:textId="77777777">
        <w:trPr>
          <w:divId w:val="210658901"/>
        </w:trPr>
        <w:tc>
          <w:tcPr>
            <w:tcW w:w="0" w:type="auto"/>
            <w:gridSpan w:val="3"/>
            <w:vAlign w:val="center"/>
            <w:hideMark/>
          </w:tcPr>
          <w:p w14:paraId="65F5CD49" w14:textId="77777777" w:rsidR="00000000" w:rsidRDefault="00C01C43">
            <w:pPr>
              <w:jc w:val="right"/>
              <w:rPr>
                <w:rFonts w:eastAsia="Times New Roman"/>
                <w:sz w:val="20"/>
                <w:szCs w:val="20"/>
              </w:rPr>
            </w:pPr>
          </w:p>
        </w:tc>
        <w:tc>
          <w:tcPr>
            <w:tcW w:w="0" w:type="auto"/>
            <w:gridSpan w:val="3"/>
            <w:vAlign w:val="center"/>
            <w:hideMark/>
          </w:tcPr>
          <w:p w14:paraId="21D14B87" w14:textId="77777777" w:rsidR="00000000" w:rsidRDefault="00C01C43">
            <w:pPr>
              <w:rPr>
                <w:rFonts w:eastAsia="Times New Roman"/>
                <w:sz w:val="20"/>
                <w:szCs w:val="20"/>
              </w:rPr>
            </w:pPr>
          </w:p>
        </w:tc>
        <w:tc>
          <w:tcPr>
            <w:tcW w:w="0" w:type="auto"/>
            <w:gridSpan w:val="3"/>
            <w:vAlign w:val="center"/>
            <w:hideMark/>
          </w:tcPr>
          <w:p w14:paraId="754B43FF" w14:textId="77777777" w:rsidR="00000000" w:rsidRDefault="00C01C43">
            <w:pPr>
              <w:rPr>
                <w:rFonts w:eastAsia="Times New Roman"/>
                <w:sz w:val="20"/>
                <w:szCs w:val="20"/>
              </w:rPr>
            </w:pPr>
          </w:p>
        </w:tc>
        <w:tc>
          <w:tcPr>
            <w:tcW w:w="0" w:type="auto"/>
            <w:gridSpan w:val="3"/>
            <w:vAlign w:val="center"/>
            <w:hideMark/>
          </w:tcPr>
          <w:p w14:paraId="637C7230" w14:textId="77777777" w:rsidR="00000000" w:rsidRDefault="00C01C43">
            <w:pPr>
              <w:rPr>
                <w:rFonts w:eastAsia="Times New Roman"/>
                <w:sz w:val="20"/>
                <w:szCs w:val="20"/>
              </w:rPr>
            </w:pPr>
          </w:p>
        </w:tc>
        <w:tc>
          <w:tcPr>
            <w:tcW w:w="0" w:type="auto"/>
            <w:gridSpan w:val="3"/>
            <w:vAlign w:val="center"/>
            <w:hideMark/>
          </w:tcPr>
          <w:p w14:paraId="383592A6" w14:textId="77777777" w:rsidR="00000000" w:rsidRDefault="00C01C43">
            <w:pPr>
              <w:rPr>
                <w:rFonts w:eastAsia="Times New Roman"/>
                <w:sz w:val="20"/>
                <w:szCs w:val="20"/>
              </w:rPr>
            </w:pPr>
          </w:p>
        </w:tc>
        <w:tc>
          <w:tcPr>
            <w:tcW w:w="0" w:type="auto"/>
            <w:gridSpan w:val="3"/>
            <w:vAlign w:val="center"/>
            <w:hideMark/>
          </w:tcPr>
          <w:p w14:paraId="7A47C3C4" w14:textId="77777777" w:rsidR="00000000" w:rsidRDefault="00C01C43">
            <w:pPr>
              <w:rPr>
                <w:rFonts w:eastAsia="Times New Roman"/>
                <w:sz w:val="20"/>
                <w:szCs w:val="20"/>
              </w:rPr>
            </w:pPr>
          </w:p>
        </w:tc>
        <w:tc>
          <w:tcPr>
            <w:tcW w:w="0" w:type="auto"/>
            <w:gridSpan w:val="3"/>
            <w:vAlign w:val="center"/>
            <w:hideMark/>
          </w:tcPr>
          <w:p w14:paraId="2E2E31C3" w14:textId="77777777" w:rsidR="00000000" w:rsidRDefault="00C01C43">
            <w:pPr>
              <w:rPr>
                <w:rFonts w:eastAsia="Times New Roman"/>
                <w:sz w:val="20"/>
                <w:szCs w:val="20"/>
              </w:rPr>
            </w:pPr>
          </w:p>
        </w:tc>
      </w:tr>
      <w:tr w:rsidR="00000000" w14:paraId="609605C7" w14:textId="77777777">
        <w:trPr>
          <w:divId w:val="210658901"/>
        </w:trPr>
        <w:tc>
          <w:tcPr>
            <w:tcW w:w="0" w:type="auto"/>
            <w:gridSpan w:val="3"/>
            <w:vAlign w:val="center"/>
            <w:hideMark/>
          </w:tcPr>
          <w:p w14:paraId="20D5472F" w14:textId="77777777" w:rsidR="00000000" w:rsidRDefault="00C01C43">
            <w:pPr>
              <w:rPr>
                <w:rFonts w:eastAsia="Times New Roman"/>
                <w:sz w:val="20"/>
                <w:szCs w:val="20"/>
              </w:rPr>
            </w:pPr>
          </w:p>
        </w:tc>
        <w:tc>
          <w:tcPr>
            <w:tcW w:w="0" w:type="auto"/>
            <w:gridSpan w:val="3"/>
            <w:vAlign w:val="center"/>
            <w:hideMark/>
          </w:tcPr>
          <w:p w14:paraId="311888F4" w14:textId="77777777" w:rsidR="00000000" w:rsidRDefault="00C01C43">
            <w:pPr>
              <w:rPr>
                <w:rFonts w:eastAsia="Times New Roman"/>
                <w:sz w:val="20"/>
                <w:szCs w:val="20"/>
              </w:rPr>
            </w:pPr>
          </w:p>
        </w:tc>
        <w:tc>
          <w:tcPr>
            <w:tcW w:w="0" w:type="auto"/>
            <w:gridSpan w:val="3"/>
            <w:vAlign w:val="center"/>
            <w:hideMark/>
          </w:tcPr>
          <w:p w14:paraId="154AB8EF" w14:textId="77777777" w:rsidR="00000000" w:rsidRDefault="00C01C43">
            <w:pPr>
              <w:rPr>
                <w:rFonts w:eastAsia="Times New Roman"/>
                <w:sz w:val="20"/>
                <w:szCs w:val="20"/>
              </w:rPr>
            </w:pPr>
          </w:p>
        </w:tc>
        <w:tc>
          <w:tcPr>
            <w:tcW w:w="0" w:type="auto"/>
            <w:gridSpan w:val="3"/>
            <w:vAlign w:val="center"/>
            <w:hideMark/>
          </w:tcPr>
          <w:p w14:paraId="6EA55674" w14:textId="77777777" w:rsidR="00000000" w:rsidRDefault="00C01C43">
            <w:pPr>
              <w:rPr>
                <w:rFonts w:eastAsia="Times New Roman"/>
                <w:sz w:val="20"/>
                <w:szCs w:val="20"/>
              </w:rPr>
            </w:pPr>
          </w:p>
        </w:tc>
        <w:tc>
          <w:tcPr>
            <w:tcW w:w="0" w:type="auto"/>
            <w:gridSpan w:val="3"/>
            <w:vAlign w:val="center"/>
            <w:hideMark/>
          </w:tcPr>
          <w:p w14:paraId="57F291BB" w14:textId="77777777" w:rsidR="00000000" w:rsidRDefault="00C01C43">
            <w:pPr>
              <w:rPr>
                <w:rFonts w:eastAsia="Times New Roman"/>
                <w:sz w:val="20"/>
                <w:szCs w:val="20"/>
              </w:rPr>
            </w:pPr>
          </w:p>
        </w:tc>
        <w:tc>
          <w:tcPr>
            <w:tcW w:w="0" w:type="auto"/>
            <w:gridSpan w:val="3"/>
            <w:vAlign w:val="center"/>
            <w:hideMark/>
          </w:tcPr>
          <w:p w14:paraId="0FCD9ADD" w14:textId="77777777" w:rsidR="00000000" w:rsidRDefault="00C01C43">
            <w:pPr>
              <w:rPr>
                <w:rFonts w:eastAsia="Times New Roman"/>
                <w:sz w:val="20"/>
                <w:szCs w:val="20"/>
              </w:rPr>
            </w:pPr>
          </w:p>
        </w:tc>
        <w:tc>
          <w:tcPr>
            <w:tcW w:w="0" w:type="auto"/>
            <w:gridSpan w:val="3"/>
            <w:vAlign w:val="center"/>
            <w:hideMark/>
          </w:tcPr>
          <w:p w14:paraId="5DBAC149" w14:textId="77777777" w:rsidR="00000000" w:rsidRDefault="00C01C43">
            <w:pPr>
              <w:rPr>
                <w:rFonts w:eastAsia="Times New Roman"/>
                <w:sz w:val="20"/>
                <w:szCs w:val="20"/>
              </w:rPr>
            </w:pPr>
          </w:p>
        </w:tc>
      </w:tr>
      <w:tr w:rsidR="00000000" w14:paraId="263D9A1C" w14:textId="77777777">
        <w:trPr>
          <w:divId w:val="210658901"/>
        </w:trPr>
        <w:tc>
          <w:tcPr>
            <w:tcW w:w="0" w:type="auto"/>
            <w:gridSpan w:val="3"/>
            <w:vAlign w:val="center"/>
            <w:hideMark/>
          </w:tcPr>
          <w:p w14:paraId="76689196" w14:textId="77777777" w:rsidR="00000000" w:rsidRDefault="00C01C43">
            <w:pPr>
              <w:rPr>
                <w:rFonts w:eastAsia="Times New Roman"/>
                <w:sz w:val="20"/>
                <w:szCs w:val="20"/>
              </w:rPr>
            </w:pPr>
          </w:p>
        </w:tc>
        <w:tc>
          <w:tcPr>
            <w:tcW w:w="0" w:type="auto"/>
            <w:gridSpan w:val="3"/>
            <w:vAlign w:val="center"/>
            <w:hideMark/>
          </w:tcPr>
          <w:p w14:paraId="24A60FB8" w14:textId="77777777" w:rsidR="00000000" w:rsidRDefault="00C01C43">
            <w:pPr>
              <w:rPr>
                <w:rFonts w:eastAsia="Times New Roman"/>
                <w:sz w:val="20"/>
                <w:szCs w:val="20"/>
              </w:rPr>
            </w:pPr>
          </w:p>
        </w:tc>
        <w:tc>
          <w:tcPr>
            <w:tcW w:w="0" w:type="auto"/>
            <w:gridSpan w:val="3"/>
            <w:vAlign w:val="center"/>
            <w:hideMark/>
          </w:tcPr>
          <w:p w14:paraId="11B5D2CC" w14:textId="77777777" w:rsidR="00000000" w:rsidRDefault="00C01C43">
            <w:pPr>
              <w:rPr>
                <w:rFonts w:eastAsia="Times New Roman"/>
                <w:sz w:val="20"/>
                <w:szCs w:val="20"/>
              </w:rPr>
            </w:pPr>
          </w:p>
        </w:tc>
        <w:tc>
          <w:tcPr>
            <w:tcW w:w="0" w:type="auto"/>
            <w:gridSpan w:val="3"/>
            <w:vAlign w:val="center"/>
            <w:hideMark/>
          </w:tcPr>
          <w:p w14:paraId="0764A47E" w14:textId="77777777" w:rsidR="00000000" w:rsidRDefault="00C01C43">
            <w:pPr>
              <w:rPr>
                <w:rFonts w:eastAsia="Times New Roman"/>
                <w:sz w:val="20"/>
                <w:szCs w:val="20"/>
              </w:rPr>
            </w:pPr>
          </w:p>
        </w:tc>
        <w:tc>
          <w:tcPr>
            <w:tcW w:w="0" w:type="auto"/>
            <w:gridSpan w:val="3"/>
            <w:vAlign w:val="center"/>
            <w:hideMark/>
          </w:tcPr>
          <w:p w14:paraId="3B073B15" w14:textId="77777777" w:rsidR="00000000" w:rsidRDefault="00C01C43">
            <w:pPr>
              <w:rPr>
                <w:rFonts w:eastAsia="Times New Roman"/>
                <w:sz w:val="20"/>
                <w:szCs w:val="20"/>
              </w:rPr>
            </w:pPr>
          </w:p>
        </w:tc>
        <w:tc>
          <w:tcPr>
            <w:tcW w:w="0" w:type="auto"/>
            <w:gridSpan w:val="3"/>
            <w:vAlign w:val="center"/>
            <w:hideMark/>
          </w:tcPr>
          <w:p w14:paraId="1F726F25" w14:textId="77777777" w:rsidR="00000000" w:rsidRDefault="00C01C43">
            <w:pPr>
              <w:rPr>
                <w:rFonts w:eastAsia="Times New Roman"/>
                <w:sz w:val="20"/>
                <w:szCs w:val="20"/>
              </w:rPr>
            </w:pPr>
          </w:p>
        </w:tc>
        <w:tc>
          <w:tcPr>
            <w:tcW w:w="0" w:type="auto"/>
            <w:gridSpan w:val="3"/>
            <w:vAlign w:val="center"/>
            <w:hideMark/>
          </w:tcPr>
          <w:p w14:paraId="041EA21B" w14:textId="77777777" w:rsidR="00000000" w:rsidRDefault="00C01C43">
            <w:pPr>
              <w:rPr>
                <w:rFonts w:eastAsia="Times New Roman"/>
                <w:sz w:val="20"/>
                <w:szCs w:val="20"/>
              </w:rPr>
            </w:pPr>
          </w:p>
        </w:tc>
      </w:tr>
      <w:tr w:rsidR="00000000" w14:paraId="217CA31D" w14:textId="77777777">
        <w:trPr>
          <w:divId w:val="210658901"/>
        </w:trPr>
        <w:tc>
          <w:tcPr>
            <w:tcW w:w="0" w:type="auto"/>
            <w:gridSpan w:val="3"/>
            <w:vAlign w:val="center"/>
            <w:hideMark/>
          </w:tcPr>
          <w:p w14:paraId="244DF5C5" w14:textId="77777777" w:rsidR="00000000" w:rsidRDefault="00C01C43">
            <w:pPr>
              <w:rPr>
                <w:rFonts w:eastAsia="Times New Roman"/>
                <w:sz w:val="20"/>
                <w:szCs w:val="20"/>
              </w:rPr>
            </w:pPr>
          </w:p>
        </w:tc>
        <w:tc>
          <w:tcPr>
            <w:tcW w:w="0" w:type="auto"/>
            <w:gridSpan w:val="3"/>
            <w:vAlign w:val="center"/>
            <w:hideMark/>
          </w:tcPr>
          <w:p w14:paraId="5DDA58FC" w14:textId="77777777" w:rsidR="00000000" w:rsidRDefault="00C01C43">
            <w:pPr>
              <w:rPr>
                <w:rFonts w:eastAsia="Times New Roman"/>
                <w:sz w:val="20"/>
                <w:szCs w:val="20"/>
              </w:rPr>
            </w:pPr>
          </w:p>
        </w:tc>
        <w:tc>
          <w:tcPr>
            <w:tcW w:w="0" w:type="auto"/>
            <w:gridSpan w:val="3"/>
            <w:vAlign w:val="center"/>
            <w:hideMark/>
          </w:tcPr>
          <w:p w14:paraId="1C94B442" w14:textId="77777777" w:rsidR="00000000" w:rsidRDefault="00C01C43">
            <w:pPr>
              <w:rPr>
                <w:rFonts w:eastAsia="Times New Roman"/>
                <w:sz w:val="20"/>
                <w:szCs w:val="20"/>
              </w:rPr>
            </w:pPr>
          </w:p>
        </w:tc>
        <w:tc>
          <w:tcPr>
            <w:tcW w:w="0" w:type="auto"/>
            <w:gridSpan w:val="3"/>
            <w:vAlign w:val="center"/>
            <w:hideMark/>
          </w:tcPr>
          <w:p w14:paraId="0FD4135C" w14:textId="77777777" w:rsidR="00000000" w:rsidRDefault="00C01C43">
            <w:pPr>
              <w:rPr>
                <w:rFonts w:eastAsia="Times New Roman"/>
                <w:sz w:val="20"/>
                <w:szCs w:val="20"/>
              </w:rPr>
            </w:pPr>
          </w:p>
        </w:tc>
        <w:tc>
          <w:tcPr>
            <w:tcW w:w="0" w:type="auto"/>
            <w:gridSpan w:val="3"/>
            <w:vAlign w:val="center"/>
            <w:hideMark/>
          </w:tcPr>
          <w:p w14:paraId="55F7598E" w14:textId="77777777" w:rsidR="00000000" w:rsidRDefault="00C01C43">
            <w:pPr>
              <w:rPr>
                <w:rFonts w:eastAsia="Times New Roman"/>
                <w:sz w:val="20"/>
                <w:szCs w:val="20"/>
              </w:rPr>
            </w:pPr>
          </w:p>
        </w:tc>
        <w:tc>
          <w:tcPr>
            <w:tcW w:w="0" w:type="auto"/>
            <w:gridSpan w:val="3"/>
            <w:vAlign w:val="center"/>
            <w:hideMark/>
          </w:tcPr>
          <w:p w14:paraId="0D339214" w14:textId="77777777" w:rsidR="00000000" w:rsidRDefault="00C01C43">
            <w:pPr>
              <w:rPr>
                <w:rFonts w:eastAsia="Times New Roman"/>
                <w:sz w:val="20"/>
                <w:szCs w:val="20"/>
              </w:rPr>
            </w:pPr>
          </w:p>
        </w:tc>
        <w:tc>
          <w:tcPr>
            <w:tcW w:w="0" w:type="auto"/>
            <w:gridSpan w:val="3"/>
            <w:vAlign w:val="center"/>
            <w:hideMark/>
          </w:tcPr>
          <w:p w14:paraId="0E77B58D" w14:textId="77777777" w:rsidR="00000000" w:rsidRDefault="00C01C43">
            <w:pPr>
              <w:rPr>
                <w:rFonts w:eastAsia="Times New Roman"/>
                <w:sz w:val="20"/>
                <w:szCs w:val="20"/>
              </w:rPr>
            </w:pPr>
          </w:p>
        </w:tc>
      </w:tr>
      <w:tr w:rsidR="00000000" w14:paraId="23A02B04" w14:textId="77777777">
        <w:trPr>
          <w:divId w:val="210658901"/>
        </w:trPr>
        <w:tc>
          <w:tcPr>
            <w:tcW w:w="0" w:type="auto"/>
            <w:gridSpan w:val="3"/>
            <w:shd w:val="clear" w:color="auto" w:fill="FFFFFF"/>
            <w:tcMar>
              <w:top w:w="30" w:type="dxa"/>
              <w:left w:w="20" w:type="dxa"/>
              <w:bottom w:w="30" w:type="dxa"/>
              <w:right w:w="20" w:type="dxa"/>
            </w:tcMar>
            <w:vAlign w:val="bottom"/>
            <w:hideMark/>
          </w:tcPr>
          <w:p w14:paraId="458A4E8D" w14:textId="77777777" w:rsidR="00000000" w:rsidRDefault="00C01C43">
            <w:pPr>
              <w:rPr>
                <w:rFonts w:eastAsia="Times New Roman"/>
              </w:rPr>
            </w:pPr>
            <w:r>
              <w:rPr>
                <w:rFonts w:ascii="Arial" w:eastAsia="Times New Roman" w:hAnsi="Arial" w:cs="Arial"/>
                <w:color w:val="000000"/>
                <w:sz w:val="20"/>
                <w:szCs w:val="20"/>
              </w:rPr>
              <w:t>2021</w:t>
            </w:r>
          </w:p>
        </w:tc>
        <w:tc>
          <w:tcPr>
            <w:tcW w:w="0" w:type="auto"/>
            <w:gridSpan w:val="3"/>
            <w:shd w:val="clear" w:color="auto" w:fill="FFFFFF"/>
            <w:tcMar>
              <w:top w:w="30" w:type="dxa"/>
              <w:left w:w="20" w:type="dxa"/>
              <w:bottom w:w="30" w:type="dxa"/>
              <w:right w:w="20" w:type="dxa"/>
            </w:tcMar>
            <w:vAlign w:val="bottom"/>
            <w:hideMark/>
          </w:tcPr>
          <w:p w14:paraId="65F447D8" w14:textId="77777777" w:rsidR="00000000" w:rsidRDefault="00C01C43">
            <w:pPr>
              <w:jc w:val="center"/>
              <w:rPr>
                <w:rFonts w:eastAsia="Times New Roman"/>
              </w:rPr>
            </w:pPr>
            <w:r>
              <w:rPr>
                <w:rFonts w:ascii="Arial" w:eastAsia="Times New Roman" w:hAnsi="Arial" w:cs="Arial"/>
                <w:color w:val="000000"/>
                <w:sz w:val="20"/>
                <w:szCs w:val="20"/>
              </w:rPr>
              <w:t>ZAR</w:t>
            </w:r>
          </w:p>
        </w:tc>
        <w:tc>
          <w:tcPr>
            <w:tcW w:w="0" w:type="auto"/>
            <w:gridSpan w:val="2"/>
            <w:shd w:val="clear" w:color="auto" w:fill="FFFFFF"/>
            <w:tcMar>
              <w:top w:w="30" w:type="dxa"/>
              <w:left w:w="20" w:type="dxa"/>
              <w:bottom w:w="30" w:type="dxa"/>
              <w:right w:w="0" w:type="dxa"/>
            </w:tcMar>
            <w:vAlign w:val="bottom"/>
            <w:hideMark/>
          </w:tcPr>
          <w:p w14:paraId="67751464" w14:textId="77777777" w:rsidR="00000000" w:rsidRDefault="00C01C43">
            <w:pPr>
              <w:jc w:val="right"/>
              <w:rPr>
                <w:rFonts w:eastAsia="Times New Roman"/>
              </w:rPr>
            </w:pPr>
            <w:r>
              <w:rPr>
                <w:rFonts w:ascii="Arial" w:eastAsia="Times New Roman" w:hAnsi="Arial" w:cs="Arial"/>
                <w:color w:val="000000"/>
                <w:sz w:val="20"/>
                <w:szCs w:val="20"/>
              </w:rPr>
              <w:t>(125.3)</w:t>
            </w:r>
          </w:p>
        </w:tc>
        <w:tc>
          <w:tcPr>
            <w:tcW w:w="0" w:type="auto"/>
            <w:shd w:val="clear" w:color="auto" w:fill="FFFFFF"/>
            <w:tcMar>
              <w:top w:w="30" w:type="dxa"/>
              <w:left w:w="0" w:type="dxa"/>
              <w:bottom w:w="30" w:type="dxa"/>
              <w:right w:w="20" w:type="dxa"/>
            </w:tcMar>
            <w:vAlign w:val="bottom"/>
            <w:hideMark/>
          </w:tcPr>
          <w:p w14:paraId="119C21E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CC7F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207260" w14:textId="77777777" w:rsidR="00000000" w:rsidRDefault="00C01C43">
            <w:pPr>
              <w:jc w:val="right"/>
              <w:rPr>
                <w:rFonts w:eastAsia="Times New Roman"/>
              </w:rPr>
            </w:pPr>
            <w:r>
              <w:rPr>
                <w:rFonts w:ascii="Arial" w:eastAsia="Times New Roman" w:hAnsi="Arial" w:cs="Arial"/>
                <w:color w:val="000000"/>
                <w:sz w:val="20"/>
                <w:szCs w:val="20"/>
              </w:rPr>
              <w:t>16.466 </w:t>
            </w:r>
          </w:p>
        </w:tc>
        <w:tc>
          <w:tcPr>
            <w:tcW w:w="0" w:type="auto"/>
            <w:shd w:val="clear" w:color="auto" w:fill="FFFFFF"/>
            <w:tcMar>
              <w:top w:w="30" w:type="dxa"/>
              <w:left w:w="0" w:type="dxa"/>
              <w:bottom w:w="30" w:type="dxa"/>
              <w:right w:w="20" w:type="dxa"/>
            </w:tcMar>
            <w:vAlign w:val="bottom"/>
            <w:hideMark/>
          </w:tcPr>
          <w:p w14:paraId="0BD09B5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39FC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76AE2E" w14:textId="77777777" w:rsidR="00000000" w:rsidRDefault="00C01C43">
            <w:pPr>
              <w:jc w:val="right"/>
              <w:rPr>
                <w:rFonts w:eastAsia="Times New Roman"/>
              </w:rPr>
            </w:pPr>
            <w:r>
              <w:rPr>
                <w:rFonts w:ascii="Arial" w:eastAsia="Times New Roman" w:hAnsi="Arial" w:cs="Arial"/>
                <w:color w:val="000000"/>
                <w:sz w:val="20"/>
                <w:szCs w:val="20"/>
              </w:rPr>
              <w:t>(1.1)</w:t>
            </w:r>
          </w:p>
        </w:tc>
        <w:tc>
          <w:tcPr>
            <w:tcW w:w="0" w:type="auto"/>
            <w:shd w:val="clear" w:color="auto" w:fill="FFFFFF"/>
            <w:tcMar>
              <w:top w:w="30" w:type="dxa"/>
              <w:left w:w="0" w:type="dxa"/>
              <w:bottom w:w="30" w:type="dxa"/>
              <w:right w:w="20" w:type="dxa"/>
            </w:tcMar>
            <w:vAlign w:val="bottom"/>
            <w:hideMark/>
          </w:tcPr>
          <w:p w14:paraId="1B04D65B" w14:textId="77777777" w:rsidR="00000000" w:rsidRDefault="00C01C43">
            <w:pPr>
              <w:jc w:val="right"/>
              <w:rPr>
                <w:rFonts w:eastAsia="Times New Roman"/>
              </w:rPr>
            </w:pPr>
          </w:p>
        </w:tc>
      </w:tr>
      <w:tr w:rsidR="00000000" w14:paraId="2E8C71CE" w14:textId="77777777">
        <w:trPr>
          <w:divId w:val="210658901"/>
        </w:trPr>
        <w:tc>
          <w:tcPr>
            <w:tcW w:w="0" w:type="auto"/>
            <w:gridSpan w:val="3"/>
            <w:vAlign w:val="center"/>
            <w:hideMark/>
          </w:tcPr>
          <w:p w14:paraId="529EF6A5" w14:textId="77777777" w:rsidR="00000000" w:rsidRDefault="00C01C43">
            <w:pPr>
              <w:jc w:val="right"/>
              <w:rPr>
                <w:rFonts w:eastAsia="Times New Roman"/>
                <w:sz w:val="20"/>
                <w:szCs w:val="20"/>
              </w:rPr>
            </w:pPr>
          </w:p>
        </w:tc>
        <w:tc>
          <w:tcPr>
            <w:tcW w:w="0" w:type="auto"/>
            <w:gridSpan w:val="3"/>
            <w:vAlign w:val="center"/>
            <w:hideMark/>
          </w:tcPr>
          <w:p w14:paraId="3768E8A4" w14:textId="77777777" w:rsidR="00000000" w:rsidRDefault="00C01C43">
            <w:pPr>
              <w:rPr>
                <w:rFonts w:eastAsia="Times New Roman"/>
                <w:sz w:val="20"/>
                <w:szCs w:val="20"/>
              </w:rPr>
            </w:pPr>
          </w:p>
        </w:tc>
        <w:tc>
          <w:tcPr>
            <w:tcW w:w="0" w:type="auto"/>
            <w:gridSpan w:val="3"/>
            <w:vAlign w:val="center"/>
            <w:hideMark/>
          </w:tcPr>
          <w:p w14:paraId="4EB1A71B" w14:textId="77777777" w:rsidR="00000000" w:rsidRDefault="00C01C43">
            <w:pPr>
              <w:rPr>
                <w:rFonts w:eastAsia="Times New Roman"/>
                <w:sz w:val="20"/>
                <w:szCs w:val="20"/>
              </w:rPr>
            </w:pPr>
          </w:p>
        </w:tc>
        <w:tc>
          <w:tcPr>
            <w:tcW w:w="0" w:type="auto"/>
            <w:gridSpan w:val="3"/>
            <w:vAlign w:val="center"/>
            <w:hideMark/>
          </w:tcPr>
          <w:p w14:paraId="1064943F" w14:textId="77777777" w:rsidR="00000000" w:rsidRDefault="00C01C43">
            <w:pPr>
              <w:rPr>
                <w:rFonts w:eastAsia="Times New Roman"/>
                <w:sz w:val="20"/>
                <w:szCs w:val="20"/>
              </w:rPr>
            </w:pPr>
          </w:p>
        </w:tc>
        <w:tc>
          <w:tcPr>
            <w:tcW w:w="0" w:type="auto"/>
            <w:gridSpan w:val="3"/>
            <w:vAlign w:val="center"/>
            <w:hideMark/>
          </w:tcPr>
          <w:p w14:paraId="7D97FBC4" w14:textId="77777777" w:rsidR="00000000" w:rsidRDefault="00C01C43">
            <w:pPr>
              <w:rPr>
                <w:rFonts w:eastAsia="Times New Roman"/>
                <w:sz w:val="20"/>
                <w:szCs w:val="20"/>
              </w:rPr>
            </w:pPr>
          </w:p>
        </w:tc>
        <w:tc>
          <w:tcPr>
            <w:tcW w:w="0" w:type="auto"/>
            <w:gridSpan w:val="3"/>
            <w:vAlign w:val="center"/>
            <w:hideMark/>
          </w:tcPr>
          <w:p w14:paraId="4AA287F6" w14:textId="77777777" w:rsidR="00000000" w:rsidRDefault="00C01C43">
            <w:pPr>
              <w:rPr>
                <w:rFonts w:eastAsia="Times New Roman"/>
                <w:sz w:val="20"/>
                <w:szCs w:val="20"/>
              </w:rPr>
            </w:pPr>
          </w:p>
        </w:tc>
        <w:tc>
          <w:tcPr>
            <w:tcW w:w="0" w:type="auto"/>
            <w:gridSpan w:val="3"/>
            <w:vAlign w:val="center"/>
            <w:hideMark/>
          </w:tcPr>
          <w:p w14:paraId="5846C8A6" w14:textId="77777777" w:rsidR="00000000" w:rsidRDefault="00C01C43">
            <w:pPr>
              <w:rPr>
                <w:rFonts w:eastAsia="Times New Roman"/>
                <w:sz w:val="20"/>
                <w:szCs w:val="20"/>
              </w:rPr>
            </w:pPr>
          </w:p>
        </w:tc>
      </w:tr>
      <w:tr w:rsidR="00000000" w14:paraId="1D744077" w14:textId="77777777">
        <w:trPr>
          <w:divId w:val="210658901"/>
        </w:trPr>
        <w:tc>
          <w:tcPr>
            <w:tcW w:w="0" w:type="auto"/>
            <w:gridSpan w:val="3"/>
            <w:vAlign w:val="center"/>
            <w:hideMark/>
          </w:tcPr>
          <w:p w14:paraId="5CF6BC15" w14:textId="77777777" w:rsidR="00000000" w:rsidRDefault="00C01C43">
            <w:pPr>
              <w:rPr>
                <w:rFonts w:eastAsia="Times New Roman"/>
                <w:sz w:val="20"/>
                <w:szCs w:val="20"/>
              </w:rPr>
            </w:pPr>
          </w:p>
        </w:tc>
        <w:tc>
          <w:tcPr>
            <w:tcW w:w="0" w:type="auto"/>
            <w:gridSpan w:val="3"/>
            <w:vAlign w:val="center"/>
            <w:hideMark/>
          </w:tcPr>
          <w:p w14:paraId="009A6014" w14:textId="77777777" w:rsidR="00000000" w:rsidRDefault="00C01C43">
            <w:pPr>
              <w:rPr>
                <w:rFonts w:eastAsia="Times New Roman"/>
                <w:sz w:val="20"/>
                <w:szCs w:val="20"/>
              </w:rPr>
            </w:pPr>
          </w:p>
        </w:tc>
        <w:tc>
          <w:tcPr>
            <w:tcW w:w="0" w:type="auto"/>
            <w:gridSpan w:val="3"/>
            <w:vAlign w:val="center"/>
            <w:hideMark/>
          </w:tcPr>
          <w:p w14:paraId="3D6488B4" w14:textId="77777777" w:rsidR="00000000" w:rsidRDefault="00C01C43">
            <w:pPr>
              <w:rPr>
                <w:rFonts w:eastAsia="Times New Roman"/>
                <w:sz w:val="20"/>
                <w:szCs w:val="20"/>
              </w:rPr>
            </w:pPr>
          </w:p>
        </w:tc>
        <w:tc>
          <w:tcPr>
            <w:tcW w:w="0" w:type="auto"/>
            <w:gridSpan w:val="3"/>
            <w:vAlign w:val="center"/>
            <w:hideMark/>
          </w:tcPr>
          <w:p w14:paraId="54DD2606" w14:textId="77777777" w:rsidR="00000000" w:rsidRDefault="00C01C43">
            <w:pPr>
              <w:rPr>
                <w:rFonts w:eastAsia="Times New Roman"/>
                <w:sz w:val="20"/>
                <w:szCs w:val="20"/>
              </w:rPr>
            </w:pPr>
          </w:p>
        </w:tc>
        <w:tc>
          <w:tcPr>
            <w:tcW w:w="0" w:type="auto"/>
            <w:gridSpan w:val="3"/>
            <w:vAlign w:val="center"/>
            <w:hideMark/>
          </w:tcPr>
          <w:p w14:paraId="4308A82B" w14:textId="77777777" w:rsidR="00000000" w:rsidRDefault="00C01C43">
            <w:pPr>
              <w:rPr>
                <w:rFonts w:eastAsia="Times New Roman"/>
                <w:sz w:val="20"/>
                <w:szCs w:val="20"/>
              </w:rPr>
            </w:pPr>
          </w:p>
        </w:tc>
        <w:tc>
          <w:tcPr>
            <w:tcW w:w="0" w:type="auto"/>
            <w:gridSpan w:val="3"/>
            <w:vAlign w:val="center"/>
            <w:hideMark/>
          </w:tcPr>
          <w:p w14:paraId="3E285A5B" w14:textId="77777777" w:rsidR="00000000" w:rsidRDefault="00C01C43">
            <w:pPr>
              <w:rPr>
                <w:rFonts w:eastAsia="Times New Roman"/>
                <w:sz w:val="20"/>
                <w:szCs w:val="20"/>
              </w:rPr>
            </w:pPr>
          </w:p>
        </w:tc>
        <w:tc>
          <w:tcPr>
            <w:tcW w:w="0" w:type="auto"/>
            <w:gridSpan w:val="3"/>
            <w:vAlign w:val="center"/>
            <w:hideMark/>
          </w:tcPr>
          <w:p w14:paraId="2D1F1BA4" w14:textId="77777777" w:rsidR="00000000" w:rsidRDefault="00C01C43">
            <w:pPr>
              <w:rPr>
                <w:rFonts w:eastAsia="Times New Roman"/>
                <w:sz w:val="20"/>
                <w:szCs w:val="20"/>
              </w:rPr>
            </w:pPr>
          </w:p>
        </w:tc>
      </w:tr>
      <w:tr w:rsidR="00000000" w14:paraId="20ED64AC" w14:textId="77777777">
        <w:trPr>
          <w:divId w:val="210658901"/>
        </w:trPr>
        <w:tc>
          <w:tcPr>
            <w:tcW w:w="0" w:type="auto"/>
            <w:gridSpan w:val="3"/>
            <w:vAlign w:val="center"/>
            <w:hideMark/>
          </w:tcPr>
          <w:p w14:paraId="0FD9DF90" w14:textId="77777777" w:rsidR="00000000" w:rsidRDefault="00C01C43">
            <w:pPr>
              <w:rPr>
                <w:rFonts w:eastAsia="Times New Roman"/>
                <w:sz w:val="20"/>
                <w:szCs w:val="20"/>
              </w:rPr>
            </w:pPr>
          </w:p>
        </w:tc>
        <w:tc>
          <w:tcPr>
            <w:tcW w:w="0" w:type="auto"/>
            <w:gridSpan w:val="3"/>
            <w:vAlign w:val="center"/>
            <w:hideMark/>
          </w:tcPr>
          <w:p w14:paraId="346251FB" w14:textId="77777777" w:rsidR="00000000" w:rsidRDefault="00C01C43">
            <w:pPr>
              <w:rPr>
                <w:rFonts w:eastAsia="Times New Roman"/>
                <w:sz w:val="20"/>
                <w:szCs w:val="20"/>
              </w:rPr>
            </w:pPr>
          </w:p>
        </w:tc>
        <w:tc>
          <w:tcPr>
            <w:tcW w:w="0" w:type="auto"/>
            <w:gridSpan w:val="3"/>
            <w:vAlign w:val="center"/>
            <w:hideMark/>
          </w:tcPr>
          <w:p w14:paraId="3AEFECA4" w14:textId="77777777" w:rsidR="00000000" w:rsidRDefault="00C01C43">
            <w:pPr>
              <w:rPr>
                <w:rFonts w:eastAsia="Times New Roman"/>
                <w:sz w:val="20"/>
                <w:szCs w:val="20"/>
              </w:rPr>
            </w:pPr>
          </w:p>
        </w:tc>
        <w:tc>
          <w:tcPr>
            <w:tcW w:w="0" w:type="auto"/>
            <w:gridSpan w:val="3"/>
            <w:vAlign w:val="center"/>
            <w:hideMark/>
          </w:tcPr>
          <w:p w14:paraId="21561CFB" w14:textId="77777777" w:rsidR="00000000" w:rsidRDefault="00C01C43">
            <w:pPr>
              <w:rPr>
                <w:rFonts w:eastAsia="Times New Roman"/>
                <w:sz w:val="20"/>
                <w:szCs w:val="20"/>
              </w:rPr>
            </w:pPr>
          </w:p>
        </w:tc>
        <w:tc>
          <w:tcPr>
            <w:tcW w:w="0" w:type="auto"/>
            <w:gridSpan w:val="3"/>
            <w:vAlign w:val="center"/>
            <w:hideMark/>
          </w:tcPr>
          <w:p w14:paraId="7FA29502" w14:textId="77777777" w:rsidR="00000000" w:rsidRDefault="00C01C43">
            <w:pPr>
              <w:rPr>
                <w:rFonts w:eastAsia="Times New Roman"/>
                <w:sz w:val="20"/>
                <w:szCs w:val="20"/>
              </w:rPr>
            </w:pPr>
          </w:p>
        </w:tc>
        <w:tc>
          <w:tcPr>
            <w:tcW w:w="0" w:type="auto"/>
            <w:gridSpan w:val="3"/>
            <w:vAlign w:val="center"/>
            <w:hideMark/>
          </w:tcPr>
          <w:p w14:paraId="1B3B670A" w14:textId="77777777" w:rsidR="00000000" w:rsidRDefault="00C01C43">
            <w:pPr>
              <w:rPr>
                <w:rFonts w:eastAsia="Times New Roman"/>
                <w:sz w:val="20"/>
                <w:szCs w:val="20"/>
              </w:rPr>
            </w:pPr>
          </w:p>
        </w:tc>
        <w:tc>
          <w:tcPr>
            <w:tcW w:w="0" w:type="auto"/>
            <w:gridSpan w:val="3"/>
            <w:vAlign w:val="center"/>
            <w:hideMark/>
          </w:tcPr>
          <w:p w14:paraId="50ECA11B" w14:textId="77777777" w:rsidR="00000000" w:rsidRDefault="00C01C43">
            <w:pPr>
              <w:rPr>
                <w:rFonts w:eastAsia="Times New Roman"/>
                <w:sz w:val="20"/>
                <w:szCs w:val="20"/>
              </w:rPr>
            </w:pPr>
          </w:p>
        </w:tc>
      </w:tr>
      <w:tr w:rsidR="00000000" w14:paraId="4941DD84" w14:textId="77777777">
        <w:trPr>
          <w:divId w:val="210658901"/>
        </w:trPr>
        <w:tc>
          <w:tcPr>
            <w:tcW w:w="0" w:type="auto"/>
            <w:gridSpan w:val="3"/>
            <w:vAlign w:val="center"/>
            <w:hideMark/>
          </w:tcPr>
          <w:p w14:paraId="4E3BE87C" w14:textId="77777777" w:rsidR="00000000" w:rsidRDefault="00C01C43">
            <w:pPr>
              <w:rPr>
                <w:rFonts w:eastAsia="Times New Roman"/>
                <w:sz w:val="20"/>
                <w:szCs w:val="20"/>
              </w:rPr>
            </w:pPr>
          </w:p>
        </w:tc>
        <w:tc>
          <w:tcPr>
            <w:tcW w:w="0" w:type="auto"/>
            <w:gridSpan w:val="3"/>
            <w:vAlign w:val="center"/>
            <w:hideMark/>
          </w:tcPr>
          <w:p w14:paraId="6B52BA41" w14:textId="77777777" w:rsidR="00000000" w:rsidRDefault="00C01C43">
            <w:pPr>
              <w:rPr>
                <w:rFonts w:eastAsia="Times New Roman"/>
                <w:sz w:val="20"/>
                <w:szCs w:val="20"/>
              </w:rPr>
            </w:pPr>
          </w:p>
        </w:tc>
        <w:tc>
          <w:tcPr>
            <w:tcW w:w="0" w:type="auto"/>
            <w:gridSpan w:val="3"/>
            <w:vAlign w:val="center"/>
            <w:hideMark/>
          </w:tcPr>
          <w:p w14:paraId="5FC04E51" w14:textId="77777777" w:rsidR="00000000" w:rsidRDefault="00C01C43">
            <w:pPr>
              <w:rPr>
                <w:rFonts w:eastAsia="Times New Roman"/>
                <w:sz w:val="20"/>
                <w:szCs w:val="20"/>
              </w:rPr>
            </w:pPr>
          </w:p>
        </w:tc>
        <w:tc>
          <w:tcPr>
            <w:tcW w:w="0" w:type="auto"/>
            <w:gridSpan w:val="3"/>
            <w:vAlign w:val="center"/>
            <w:hideMark/>
          </w:tcPr>
          <w:p w14:paraId="6F895942" w14:textId="77777777" w:rsidR="00000000" w:rsidRDefault="00C01C43">
            <w:pPr>
              <w:rPr>
                <w:rFonts w:eastAsia="Times New Roman"/>
                <w:sz w:val="20"/>
                <w:szCs w:val="20"/>
              </w:rPr>
            </w:pPr>
          </w:p>
        </w:tc>
        <w:tc>
          <w:tcPr>
            <w:tcW w:w="0" w:type="auto"/>
            <w:gridSpan w:val="3"/>
            <w:vAlign w:val="center"/>
            <w:hideMark/>
          </w:tcPr>
          <w:p w14:paraId="03321F08" w14:textId="77777777" w:rsidR="00000000" w:rsidRDefault="00C01C43">
            <w:pPr>
              <w:rPr>
                <w:rFonts w:eastAsia="Times New Roman"/>
                <w:sz w:val="20"/>
                <w:szCs w:val="20"/>
              </w:rPr>
            </w:pPr>
          </w:p>
        </w:tc>
        <w:tc>
          <w:tcPr>
            <w:tcW w:w="0" w:type="auto"/>
            <w:gridSpan w:val="3"/>
            <w:vAlign w:val="center"/>
            <w:hideMark/>
          </w:tcPr>
          <w:p w14:paraId="34DD38AB" w14:textId="77777777" w:rsidR="00000000" w:rsidRDefault="00C01C43">
            <w:pPr>
              <w:rPr>
                <w:rFonts w:eastAsia="Times New Roman"/>
                <w:sz w:val="20"/>
                <w:szCs w:val="20"/>
              </w:rPr>
            </w:pPr>
          </w:p>
        </w:tc>
        <w:tc>
          <w:tcPr>
            <w:tcW w:w="0" w:type="auto"/>
            <w:gridSpan w:val="3"/>
            <w:vAlign w:val="center"/>
            <w:hideMark/>
          </w:tcPr>
          <w:p w14:paraId="25D3CBE5" w14:textId="77777777" w:rsidR="00000000" w:rsidRDefault="00C01C43">
            <w:pPr>
              <w:rPr>
                <w:rFonts w:eastAsia="Times New Roman"/>
                <w:sz w:val="20"/>
                <w:szCs w:val="20"/>
              </w:rPr>
            </w:pPr>
          </w:p>
        </w:tc>
      </w:tr>
      <w:tr w:rsidR="00000000" w14:paraId="1EF05109" w14:textId="77777777">
        <w:trPr>
          <w:divId w:val="210658901"/>
        </w:trPr>
        <w:tc>
          <w:tcPr>
            <w:tcW w:w="0" w:type="auto"/>
            <w:gridSpan w:val="3"/>
            <w:vAlign w:val="center"/>
            <w:hideMark/>
          </w:tcPr>
          <w:p w14:paraId="7EDBFC2C" w14:textId="77777777" w:rsidR="00000000" w:rsidRDefault="00C01C43">
            <w:pPr>
              <w:rPr>
                <w:rFonts w:eastAsia="Times New Roman"/>
                <w:sz w:val="20"/>
                <w:szCs w:val="20"/>
              </w:rPr>
            </w:pPr>
          </w:p>
        </w:tc>
        <w:tc>
          <w:tcPr>
            <w:tcW w:w="0" w:type="auto"/>
            <w:gridSpan w:val="3"/>
            <w:vAlign w:val="center"/>
            <w:hideMark/>
          </w:tcPr>
          <w:p w14:paraId="5866216A" w14:textId="77777777" w:rsidR="00000000" w:rsidRDefault="00C01C43">
            <w:pPr>
              <w:rPr>
                <w:rFonts w:eastAsia="Times New Roman"/>
                <w:sz w:val="20"/>
                <w:szCs w:val="20"/>
              </w:rPr>
            </w:pPr>
          </w:p>
        </w:tc>
        <w:tc>
          <w:tcPr>
            <w:tcW w:w="0" w:type="auto"/>
            <w:gridSpan w:val="3"/>
            <w:vAlign w:val="center"/>
            <w:hideMark/>
          </w:tcPr>
          <w:p w14:paraId="611CBC0B" w14:textId="77777777" w:rsidR="00000000" w:rsidRDefault="00C01C43">
            <w:pPr>
              <w:rPr>
                <w:rFonts w:eastAsia="Times New Roman"/>
                <w:sz w:val="20"/>
                <w:szCs w:val="20"/>
              </w:rPr>
            </w:pPr>
          </w:p>
        </w:tc>
        <w:tc>
          <w:tcPr>
            <w:tcW w:w="0" w:type="auto"/>
            <w:gridSpan w:val="3"/>
            <w:vAlign w:val="center"/>
            <w:hideMark/>
          </w:tcPr>
          <w:p w14:paraId="2666D85A" w14:textId="77777777" w:rsidR="00000000" w:rsidRDefault="00C01C43">
            <w:pPr>
              <w:rPr>
                <w:rFonts w:eastAsia="Times New Roman"/>
                <w:sz w:val="20"/>
                <w:szCs w:val="20"/>
              </w:rPr>
            </w:pPr>
          </w:p>
        </w:tc>
        <w:tc>
          <w:tcPr>
            <w:tcW w:w="0" w:type="auto"/>
            <w:gridSpan w:val="3"/>
            <w:vAlign w:val="center"/>
            <w:hideMark/>
          </w:tcPr>
          <w:p w14:paraId="5286ACD1" w14:textId="77777777" w:rsidR="00000000" w:rsidRDefault="00C01C43">
            <w:pPr>
              <w:rPr>
                <w:rFonts w:eastAsia="Times New Roman"/>
                <w:sz w:val="20"/>
                <w:szCs w:val="20"/>
              </w:rPr>
            </w:pPr>
          </w:p>
        </w:tc>
        <w:tc>
          <w:tcPr>
            <w:tcW w:w="0" w:type="auto"/>
            <w:gridSpan w:val="3"/>
            <w:vAlign w:val="center"/>
            <w:hideMark/>
          </w:tcPr>
          <w:p w14:paraId="13A0A9A4" w14:textId="77777777" w:rsidR="00000000" w:rsidRDefault="00C01C43">
            <w:pPr>
              <w:rPr>
                <w:rFonts w:eastAsia="Times New Roman"/>
                <w:sz w:val="20"/>
                <w:szCs w:val="20"/>
              </w:rPr>
            </w:pPr>
          </w:p>
        </w:tc>
        <w:tc>
          <w:tcPr>
            <w:tcW w:w="0" w:type="auto"/>
            <w:gridSpan w:val="3"/>
            <w:vAlign w:val="center"/>
            <w:hideMark/>
          </w:tcPr>
          <w:p w14:paraId="1598B8A5" w14:textId="77777777" w:rsidR="00000000" w:rsidRDefault="00C01C43">
            <w:pPr>
              <w:rPr>
                <w:rFonts w:eastAsia="Times New Roman"/>
                <w:sz w:val="20"/>
                <w:szCs w:val="20"/>
              </w:rPr>
            </w:pPr>
          </w:p>
        </w:tc>
      </w:tr>
      <w:tr w:rsidR="00000000" w14:paraId="43D817B6" w14:textId="77777777">
        <w:trPr>
          <w:divId w:val="210658901"/>
        </w:trPr>
        <w:tc>
          <w:tcPr>
            <w:tcW w:w="0" w:type="auto"/>
            <w:gridSpan w:val="15"/>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04617780" w14:textId="77777777" w:rsidR="00000000" w:rsidRDefault="00C01C43">
            <w:pPr>
              <w:rPr>
                <w:rFonts w:eastAsia="Times New Roman"/>
              </w:rPr>
            </w:pPr>
            <w:r>
              <w:rPr>
                <w:rFonts w:ascii="Arial" w:eastAsia="Times New Roman" w:hAnsi="Arial" w:cs="Arial"/>
                <w:color w:val="000000"/>
                <w:sz w:val="20"/>
                <w:szCs w:val="20"/>
              </w:rPr>
              <w:t>Total foreign currency exchange derivative contracts</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A3229F1" w14:textId="77777777" w:rsidR="00000000" w:rsidRDefault="00C01C4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17FBE1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AD6E3F" w14:textId="77777777" w:rsidR="00000000" w:rsidRDefault="00C01C43">
            <w:pPr>
              <w:jc w:val="right"/>
              <w:rPr>
                <w:rFonts w:eastAsia="Times New Roman"/>
              </w:rPr>
            </w:pPr>
            <w:r>
              <w:rPr>
                <w:rFonts w:ascii="Arial" w:eastAsia="Times New Roman" w:hAnsi="Arial" w:cs="Arial"/>
                <w:color w:val="000000"/>
                <w:sz w:val="20"/>
                <w:szCs w:val="20"/>
              </w:rPr>
              <w:t>(12.3)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6B4F90" w14:textId="77777777" w:rsidR="00000000" w:rsidRDefault="00C01C43">
            <w:pPr>
              <w:jc w:val="right"/>
              <w:rPr>
                <w:rFonts w:eastAsia="Times New Roman"/>
              </w:rPr>
            </w:pPr>
          </w:p>
        </w:tc>
      </w:tr>
    </w:tbl>
    <w:p w14:paraId="54127722" w14:textId="77777777" w:rsidR="00000000" w:rsidRDefault="00C01C43">
      <w:pPr>
        <w:jc w:val="both"/>
        <w:divId w:val="1736584081"/>
        <w:rPr>
          <w:rFonts w:eastAsia="Times New Roman"/>
        </w:rPr>
      </w:pPr>
      <w:r>
        <w:rPr>
          <w:rFonts w:ascii="Arial" w:eastAsia="Times New Roman" w:hAnsi="Arial" w:cs="Arial"/>
          <w:color w:val="000000"/>
          <w:sz w:val="20"/>
          <w:szCs w:val="20"/>
        </w:rPr>
        <w:t>The total fair value of these contracts as of December 31, 2020, was a liability of $12.3 million and will be settled in 2021. At December </w:t>
      </w:r>
      <w:r>
        <w:rPr>
          <w:rFonts w:ascii="Arial" w:eastAsia="Times New Roman" w:hAnsi="Arial" w:cs="Arial"/>
          <w:color w:val="000000"/>
          <w:sz w:val="20"/>
          <w:szCs w:val="20"/>
        </w:rPr>
        <w:t>31, 2019, the fair value of our foreign currency exchange derivatives was a liability of $9.5 million, the majority of which were settled in 2020. Refer to "Note 4. Derivative Instruments" within "Part IV. Item 15. Notes to the Consolidated Financial State</w:t>
      </w:r>
      <w:r>
        <w:rPr>
          <w:rFonts w:ascii="Arial" w:eastAsia="Times New Roman" w:hAnsi="Arial" w:cs="Arial"/>
          <w:color w:val="000000"/>
          <w:sz w:val="20"/>
          <w:szCs w:val="20"/>
        </w:rPr>
        <w:t>ments" included in this 2020 10-K Report for additional details.</w:t>
      </w:r>
    </w:p>
    <w:p w14:paraId="63714145" w14:textId="77777777" w:rsidR="00000000" w:rsidRDefault="00C01C43">
      <w:pPr>
        <w:jc w:val="both"/>
        <w:divId w:val="1738284658"/>
        <w:rPr>
          <w:rFonts w:eastAsia="Times New Roman"/>
        </w:rPr>
      </w:pPr>
      <w:r>
        <w:rPr>
          <w:rFonts w:ascii="Arial" w:eastAsia="Times New Roman" w:hAnsi="Arial" w:cs="Arial"/>
          <w:b/>
          <w:bCs/>
          <w:color w:val="000000"/>
          <w:sz w:val="20"/>
          <w:szCs w:val="20"/>
        </w:rPr>
        <w:t>Interest Rate Risk</w:t>
      </w:r>
    </w:p>
    <w:p w14:paraId="0AE1DFD1" w14:textId="77777777" w:rsidR="00000000" w:rsidRDefault="00C01C43">
      <w:pPr>
        <w:jc w:val="both"/>
        <w:divId w:val="375666840"/>
        <w:rPr>
          <w:rFonts w:eastAsia="Times New Roman"/>
        </w:rPr>
      </w:pPr>
      <w:r>
        <w:rPr>
          <w:rFonts w:ascii="Arial" w:eastAsia="Times New Roman" w:hAnsi="Arial" w:cs="Arial"/>
          <w:color w:val="000000"/>
          <w:sz w:val="20"/>
          <w:szCs w:val="20"/>
        </w:rPr>
        <w:t>Borrowings under our Credit Facility and Term Loans related to base rate loans or Eurodollar rate loans bear floating interest rates plus applicable margins. As of December</w:t>
      </w:r>
      <w:r>
        <w:rPr>
          <w:rFonts w:ascii="Arial" w:eastAsia="Times New Roman" w:hAnsi="Arial" w:cs="Arial"/>
          <w:color w:val="000000"/>
          <w:sz w:val="20"/>
          <w:szCs w:val="20"/>
        </w:rPr>
        <w:t> 31, 2020, the applicable margins for base rate loans and Eurodollar rate loans were 0.75% and 1.75%, respectively. As of December 31, 2020, we had no outstanding borrowings under our Credit Facility and $503.2 million in Term Loans. As of December 31, 202</w:t>
      </w:r>
      <w:r>
        <w:rPr>
          <w:rFonts w:ascii="Arial" w:eastAsia="Times New Roman" w:hAnsi="Arial" w:cs="Arial"/>
          <w:color w:val="000000"/>
          <w:sz w:val="20"/>
          <w:szCs w:val="20"/>
        </w:rPr>
        <w:t>0, the aggregate outstanding balance of our finance lease obligations was $18.2 million which bear interest at annual rates ranging from 1.0% to 5.9%. Our other remaining outstanding debt of $3.3 million, as of December 31, 2020, primarily relates to loans</w:t>
      </w:r>
      <w:r>
        <w:rPr>
          <w:rFonts w:ascii="Arial" w:eastAsia="Times New Roman" w:hAnsi="Arial" w:cs="Arial"/>
          <w:color w:val="000000"/>
          <w:sz w:val="20"/>
          <w:szCs w:val="20"/>
        </w:rPr>
        <w:t xml:space="preserve"> payable in varying amounts throughout 2028 and bear interest at annual rates ranging from zero to 3.5%. The weighted average interest rate on our short-term debt was 3.4% as of December 31, 2020. A 1% fluctuation in the interest rate on our outstanding de</w:t>
      </w:r>
      <w:r>
        <w:rPr>
          <w:rFonts w:ascii="Arial" w:eastAsia="Times New Roman" w:hAnsi="Arial" w:cs="Arial"/>
          <w:color w:val="000000"/>
          <w:sz w:val="20"/>
          <w:szCs w:val="20"/>
        </w:rPr>
        <w:t>bt would result in a $5.0 million change in interest expense during the next twelve months.</w:t>
      </w:r>
    </w:p>
    <w:p w14:paraId="1654100C" w14:textId="77777777" w:rsidR="00000000" w:rsidRDefault="00C01C43">
      <w:pPr>
        <w:jc w:val="both"/>
        <w:divId w:val="702441057"/>
        <w:rPr>
          <w:rFonts w:eastAsia="Times New Roman"/>
        </w:rPr>
      </w:pPr>
      <w:r>
        <w:rPr>
          <w:rFonts w:ascii="Arial" w:eastAsia="Times New Roman" w:hAnsi="Arial" w:cs="Arial"/>
          <w:color w:val="000000"/>
          <w:sz w:val="20"/>
          <w:szCs w:val="20"/>
        </w:rPr>
        <w:t>In March 2020, we entered into a $300 million, one-month LIBOR, floating-for-fixed interest rate non-amortizing swap with a maturity date in March 2025 (the "Swap")</w:t>
      </w:r>
      <w:r>
        <w:rPr>
          <w:rFonts w:ascii="Arial" w:eastAsia="Times New Roman" w:hAnsi="Arial" w:cs="Arial"/>
          <w:color w:val="000000"/>
          <w:sz w:val="20"/>
          <w:szCs w:val="20"/>
        </w:rPr>
        <w:t>. The Swap agreement effectively locks in the variable interest cash flows we will pay for a portion of our Eurodollar rate loans at 0.55%. The fair value of the interest rate swap contract as of December 31, 2020 was a liability of $3.7 million.</w:t>
      </w:r>
    </w:p>
    <w:p w14:paraId="31F85BE6" w14:textId="77777777" w:rsidR="00000000" w:rsidRDefault="00C01C43">
      <w:pPr>
        <w:jc w:val="both"/>
        <w:divId w:val="877088174"/>
        <w:rPr>
          <w:rFonts w:eastAsia="Times New Roman"/>
        </w:rPr>
      </w:pPr>
      <w:r>
        <w:rPr>
          <w:rFonts w:ascii="Arial" w:eastAsia="Times New Roman" w:hAnsi="Arial" w:cs="Arial"/>
          <w:color w:val="000000"/>
          <w:sz w:val="20"/>
          <w:szCs w:val="20"/>
        </w:rPr>
        <w:t>The follo</w:t>
      </w:r>
      <w:r>
        <w:rPr>
          <w:rFonts w:ascii="Arial" w:eastAsia="Times New Roman" w:hAnsi="Arial" w:cs="Arial"/>
          <w:color w:val="000000"/>
          <w:sz w:val="20"/>
          <w:szCs w:val="20"/>
        </w:rPr>
        <w:t>wing table presents the contractual weighted average interest rates and expected cash flows by maturity dates as of December 31, 2020 (in millions, except weighted average interest rates):</w:t>
      </w:r>
    </w:p>
    <w:tbl>
      <w:tblPr>
        <w:tblW w:w="5000" w:type="pct"/>
        <w:tblCellMar>
          <w:top w:w="15" w:type="dxa"/>
          <w:left w:w="15" w:type="dxa"/>
          <w:bottom w:w="15" w:type="dxa"/>
          <w:right w:w="15" w:type="dxa"/>
        </w:tblCellMar>
        <w:tblLook w:val="04A0" w:firstRow="1" w:lastRow="0" w:firstColumn="1" w:lastColumn="0" w:noHBand="0" w:noVBand="1"/>
      </w:tblPr>
      <w:tblGrid>
        <w:gridCol w:w="39"/>
        <w:gridCol w:w="2617"/>
        <w:gridCol w:w="38"/>
        <w:gridCol w:w="132"/>
        <w:gridCol w:w="632"/>
        <w:gridCol w:w="198"/>
        <w:gridCol w:w="132"/>
        <w:gridCol w:w="632"/>
        <w:gridCol w:w="198"/>
        <w:gridCol w:w="132"/>
        <w:gridCol w:w="632"/>
        <w:gridCol w:w="198"/>
        <w:gridCol w:w="132"/>
        <w:gridCol w:w="632"/>
        <w:gridCol w:w="198"/>
        <w:gridCol w:w="132"/>
        <w:gridCol w:w="633"/>
        <w:gridCol w:w="198"/>
        <w:gridCol w:w="132"/>
        <w:gridCol w:w="633"/>
        <w:gridCol w:w="36"/>
      </w:tblGrid>
      <w:tr w:rsidR="00000000" w14:paraId="0C40D1F5" w14:textId="77777777">
        <w:trPr>
          <w:divId w:val="1524780825"/>
        </w:trPr>
        <w:tc>
          <w:tcPr>
            <w:tcW w:w="50" w:type="pct"/>
            <w:vAlign w:val="center"/>
            <w:hideMark/>
          </w:tcPr>
          <w:p w14:paraId="1FEA6198" w14:textId="77777777" w:rsidR="00000000" w:rsidRDefault="00C01C43">
            <w:pPr>
              <w:jc w:val="both"/>
              <w:rPr>
                <w:rFonts w:eastAsia="Times New Roman"/>
              </w:rPr>
            </w:pPr>
          </w:p>
        </w:tc>
        <w:tc>
          <w:tcPr>
            <w:tcW w:w="1743" w:type="pct"/>
            <w:vAlign w:val="center"/>
            <w:hideMark/>
          </w:tcPr>
          <w:p w14:paraId="7DAED24A" w14:textId="77777777" w:rsidR="00000000" w:rsidRDefault="00C01C43">
            <w:pPr>
              <w:rPr>
                <w:rFonts w:eastAsia="Times New Roman"/>
                <w:sz w:val="20"/>
                <w:szCs w:val="20"/>
              </w:rPr>
            </w:pPr>
          </w:p>
        </w:tc>
        <w:tc>
          <w:tcPr>
            <w:tcW w:w="5" w:type="pct"/>
            <w:vAlign w:val="center"/>
            <w:hideMark/>
          </w:tcPr>
          <w:p w14:paraId="36C66B6D" w14:textId="77777777" w:rsidR="00000000" w:rsidRDefault="00C01C43">
            <w:pPr>
              <w:rPr>
                <w:rFonts w:eastAsia="Times New Roman"/>
                <w:sz w:val="20"/>
                <w:szCs w:val="20"/>
              </w:rPr>
            </w:pPr>
          </w:p>
        </w:tc>
        <w:tc>
          <w:tcPr>
            <w:tcW w:w="50" w:type="pct"/>
            <w:vAlign w:val="center"/>
            <w:hideMark/>
          </w:tcPr>
          <w:p w14:paraId="751408E4" w14:textId="77777777" w:rsidR="00000000" w:rsidRDefault="00C01C43">
            <w:pPr>
              <w:rPr>
                <w:rFonts w:eastAsia="Times New Roman"/>
                <w:sz w:val="20"/>
                <w:szCs w:val="20"/>
              </w:rPr>
            </w:pPr>
          </w:p>
        </w:tc>
        <w:tc>
          <w:tcPr>
            <w:tcW w:w="478" w:type="pct"/>
            <w:vAlign w:val="center"/>
            <w:hideMark/>
          </w:tcPr>
          <w:p w14:paraId="1CA5F9EF" w14:textId="77777777" w:rsidR="00000000" w:rsidRDefault="00C01C43">
            <w:pPr>
              <w:rPr>
                <w:rFonts w:eastAsia="Times New Roman"/>
                <w:sz w:val="20"/>
                <w:szCs w:val="20"/>
              </w:rPr>
            </w:pPr>
          </w:p>
        </w:tc>
        <w:tc>
          <w:tcPr>
            <w:tcW w:w="5" w:type="pct"/>
            <w:vAlign w:val="center"/>
            <w:hideMark/>
          </w:tcPr>
          <w:p w14:paraId="2671F6E7" w14:textId="77777777" w:rsidR="00000000" w:rsidRDefault="00C01C43">
            <w:pPr>
              <w:rPr>
                <w:rFonts w:eastAsia="Times New Roman"/>
                <w:sz w:val="20"/>
                <w:szCs w:val="20"/>
              </w:rPr>
            </w:pPr>
          </w:p>
        </w:tc>
        <w:tc>
          <w:tcPr>
            <w:tcW w:w="50" w:type="pct"/>
            <w:vAlign w:val="center"/>
            <w:hideMark/>
          </w:tcPr>
          <w:p w14:paraId="7D19D4C8" w14:textId="77777777" w:rsidR="00000000" w:rsidRDefault="00C01C43">
            <w:pPr>
              <w:rPr>
                <w:rFonts w:eastAsia="Times New Roman"/>
                <w:sz w:val="20"/>
                <w:szCs w:val="20"/>
              </w:rPr>
            </w:pPr>
          </w:p>
        </w:tc>
        <w:tc>
          <w:tcPr>
            <w:tcW w:w="478" w:type="pct"/>
            <w:vAlign w:val="center"/>
            <w:hideMark/>
          </w:tcPr>
          <w:p w14:paraId="6304E6D4" w14:textId="77777777" w:rsidR="00000000" w:rsidRDefault="00C01C43">
            <w:pPr>
              <w:rPr>
                <w:rFonts w:eastAsia="Times New Roman"/>
                <w:sz w:val="20"/>
                <w:szCs w:val="20"/>
              </w:rPr>
            </w:pPr>
          </w:p>
        </w:tc>
        <w:tc>
          <w:tcPr>
            <w:tcW w:w="5" w:type="pct"/>
            <w:vAlign w:val="center"/>
            <w:hideMark/>
          </w:tcPr>
          <w:p w14:paraId="4E183BB1" w14:textId="77777777" w:rsidR="00000000" w:rsidRDefault="00C01C43">
            <w:pPr>
              <w:rPr>
                <w:rFonts w:eastAsia="Times New Roman"/>
                <w:sz w:val="20"/>
                <w:szCs w:val="20"/>
              </w:rPr>
            </w:pPr>
          </w:p>
        </w:tc>
        <w:tc>
          <w:tcPr>
            <w:tcW w:w="50" w:type="pct"/>
            <w:vAlign w:val="center"/>
            <w:hideMark/>
          </w:tcPr>
          <w:p w14:paraId="12B6C5A1" w14:textId="77777777" w:rsidR="00000000" w:rsidRDefault="00C01C43">
            <w:pPr>
              <w:rPr>
                <w:rFonts w:eastAsia="Times New Roman"/>
                <w:sz w:val="20"/>
                <w:szCs w:val="20"/>
              </w:rPr>
            </w:pPr>
          </w:p>
        </w:tc>
        <w:tc>
          <w:tcPr>
            <w:tcW w:w="478" w:type="pct"/>
            <w:vAlign w:val="center"/>
            <w:hideMark/>
          </w:tcPr>
          <w:p w14:paraId="08C85A2E" w14:textId="77777777" w:rsidR="00000000" w:rsidRDefault="00C01C43">
            <w:pPr>
              <w:rPr>
                <w:rFonts w:eastAsia="Times New Roman"/>
                <w:sz w:val="20"/>
                <w:szCs w:val="20"/>
              </w:rPr>
            </w:pPr>
          </w:p>
        </w:tc>
        <w:tc>
          <w:tcPr>
            <w:tcW w:w="5" w:type="pct"/>
            <w:vAlign w:val="center"/>
            <w:hideMark/>
          </w:tcPr>
          <w:p w14:paraId="09383C07" w14:textId="77777777" w:rsidR="00000000" w:rsidRDefault="00C01C43">
            <w:pPr>
              <w:rPr>
                <w:rFonts w:eastAsia="Times New Roman"/>
                <w:sz w:val="20"/>
                <w:szCs w:val="20"/>
              </w:rPr>
            </w:pPr>
          </w:p>
        </w:tc>
        <w:tc>
          <w:tcPr>
            <w:tcW w:w="50" w:type="pct"/>
            <w:vAlign w:val="center"/>
            <w:hideMark/>
          </w:tcPr>
          <w:p w14:paraId="4D639D8D" w14:textId="77777777" w:rsidR="00000000" w:rsidRDefault="00C01C43">
            <w:pPr>
              <w:rPr>
                <w:rFonts w:eastAsia="Times New Roman"/>
                <w:sz w:val="20"/>
                <w:szCs w:val="20"/>
              </w:rPr>
            </w:pPr>
          </w:p>
        </w:tc>
        <w:tc>
          <w:tcPr>
            <w:tcW w:w="478" w:type="pct"/>
            <w:vAlign w:val="center"/>
            <w:hideMark/>
          </w:tcPr>
          <w:p w14:paraId="01A00F3B" w14:textId="77777777" w:rsidR="00000000" w:rsidRDefault="00C01C43">
            <w:pPr>
              <w:rPr>
                <w:rFonts w:eastAsia="Times New Roman"/>
                <w:sz w:val="20"/>
                <w:szCs w:val="20"/>
              </w:rPr>
            </w:pPr>
          </w:p>
        </w:tc>
        <w:tc>
          <w:tcPr>
            <w:tcW w:w="5" w:type="pct"/>
            <w:vAlign w:val="center"/>
            <w:hideMark/>
          </w:tcPr>
          <w:p w14:paraId="7474F836" w14:textId="77777777" w:rsidR="00000000" w:rsidRDefault="00C01C43">
            <w:pPr>
              <w:rPr>
                <w:rFonts w:eastAsia="Times New Roman"/>
                <w:sz w:val="20"/>
                <w:szCs w:val="20"/>
              </w:rPr>
            </w:pPr>
          </w:p>
        </w:tc>
        <w:tc>
          <w:tcPr>
            <w:tcW w:w="50" w:type="pct"/>
            <w:vAlign w:val="center"/>
            <w:hideMark/>
          </w:tcPr>
          <w:p w14:paraId="46632F25" w14:textId="77777777" w:rsidR="00000000" w:rsidRDefault="00C01C43">
            <w:pPr>
              <w:rPr>
                <w:rFonts w:eastAsia="Times New Roman"/>
                <w:sz w:val="20"/>
                <w:szCs w:val="20"/>
              </w:rPr>
            </w:pPr>
          </w:p>
        </w:tc>
        <w:tc>
          <w:tcPr>
            <w:tcW w:w="478" w:type="pct"/>
            <w:vAlign w:val="center"/>
            <w:hideMark/>
          </w:tcPr>
          <w:p w14:paraId="661489A9" w14:textId="77777777" w:rsidR="00000000" w:rsidRDefault="00C01C43">
            <w:pPr>
              <w:rPr>
                <w:rFonts w:eastAsia="Times New Roman"/>
                <w:sz w:val="20"/>
                <w:szCs w:val="20"/>
              </w:rPr>
            </w:pPr>
          </w:p>
        </w:tc>
        <w:tc>
          <w:tcPr>
            <w:tcW w:w="5" w:type="pct"/>
            <w:vAlign w:val="center"/>
            <w:hideMark/>
          </w:tcPr>
          <w:p w14:paraId="3CF215D3" w14:textId="77777777" w:rsidR="00000000" w:rsidRDefault="00C01C43">
            <w:pPr>
              <w:rPr>
                <w:rFonts w:eastAsia="Times New Roman"/>
                <w:sz w:val="20"/>
                <w:szCs w:val="20"/>
              </w:rPr>
            </w:pPr>
          </w:p>
        </w:tc>
        <w:tc>
          <w:tcPr>
            <w:tcW w:w="50" w:type="pct"/>
            <w:vAlign w:val="center"/>
            <w:hideMark/>
          </w:tcPr>
          <w:p w14:paraId="2E3C1C0A" w14:textId="77777777" w:rsidR="00000000" w:rsidRDefault="00C01C43">
            <w:pPr>
              <w:rPr>
                <w:rFonts w:eastAsia="Times New Roman"/>
                <w:sz w:val="20"/>
                <w:szCs w:val="20"/>
              </w:rPr>
            </w:pPr>
          </w:p>
        </w:tc>
        <w:tc>
          <w:tcPr>
            <w:tcW w:w="478" w:type="pct"/>
            <w:vAlign w:val="center"/>
            <w:hideMark/>
          </w:tcPr>
          <w:p w14:paraId="530C840C" w14:textId="77777777" w:rsidR="00000000" w:rsidRDefault="00C01C43">
            <w:pPr>
              <w:rPr>
                <w:rFonts w:eastAsia="Times New Roman"/>
                <w:sz w:val="20"/>
                <w:szCs w:val="20"/>
              </w:rPr>
            </w:pPr>
          </w:p>
        </w:tc>
        <w:tc>
          <w:tcPr>
            <w:tcW w:w="5" w:type="pct"/>
            <w:vAlign w:val="center"/>
            <w:hideMark/>
          </w:tcPr>
          <w:p w14:paraId="2232A717" w14:textId="77777777" w:rsidR="00000000" w:rsidRDefault="00C01C43">
            <w:pPr>
              <w:rPr>
                <w:rFonts w:eastAsia="Times New Roman"/>
                <w:sz w:val="20"/>
                <w:szCs w:val="20"/>
              </w:rPr>
            </w:pPr>
          </w:p>
        </w:tc>
      </w:tr>
      <w:tr w:rsidR="00000000" w14:paraId="3CF0F979" w14:textId="77777777">
        <w:trPr>
          <w:divId w:val="1524780825"/>
        </w:trPr>
        <w:tc>
          <w:tcPr>
            <w:tcW w:w="0" w:type="auto"/>
            <w:gridSpan w:val="21"/>
            <w:tcBorders>
              <w:top w:val="single" w:sz="8" w:space="0" w:color="000000"/>
            </w:tcBorders>
            <w:tcMar>
              <w:top w:w="30" w:type="dxa"/>
              <w:left w:w="20" w:type="dxa"/>
              <w:bottom w:w="30" w:type="dxa"/>
              <w:right w:w="20" w:type="dxa"/>
            </w:tcMar>
            <w:vAlign w:val="bottom"/>
            <w:hideMark/>
          </w:tcPr>
          <w:p w14:paraId="2DC36B1D" w14:textId="77777777" w:rsidR="00000000" w:rsidRDefault="00C01C43">
            <w:pPr>
              <w:jc w:val="center"/>
              <w:rPr>
                <w:rFonts w:eastAsia="Times New Roman"/>
              </w:rPr>
            </w:pPr>
            <w:r>
              <w:rPr>
                <w:rFonts w:ascii="Arial" w:eastAsia="Times New Roman" w:hAnsi="Arial" w:cs="Arial"/>
                <w:b/>
                <w:bCs/>
                <w:color w:val="000000"/>
                <w:sz w:val="16"/>
                <w:szCs w:val="16"/>
              </w:rPr>
              <w:t>Expected Maturity Date</w:t>
            </w:r>
          </w:p>
        </w:tc>
      </w:tr>
      <w:tr w:rsidR="00000000" w14:paraId="6533C22E" w14:textId="77777777">
        <w:trPr>
          <w:divId w:val="1524780825"/>
        </w:trPr>
        <w:tc>
          <w:tcPr>
            <w:tcW w:w="0" w:type="auto"/>
            <w:gridSpan w:val="3"/>
            <w:tcBorders>
              <w:top w:val="single" w:sz="8" w:space="0" w:color="000000"/>
            </w:tcBorders>
            <w:tcMar>
              <w:top w:w="30" w:type="dxa"/>
              <w:left w:w="20" w:type="dxa"/>
              <w:bottom w:w="30" w:type="dxa"/>
              <w:right w:w="20" w:type="dxa"/>
            </w:tcMar>
            <w:vAlign w:val="bottom"/>
            <w:hideMark/>
          </w:tcPr>
          <w:p w14:paraId="039F6ACE" w14:textId="77777777" w:rsidR="00000000" w:rsidRDefault="00C01C43">
            <w:pPr>
              <w:rPr>
                <w:rFonts w:eastAsia="Times New Roman"/>
              </w:rPr>
            </w:pPr>
            <w:r>
              <w:rPr>
                <w:rFonts w:ascii="Arial" w:eastAsia="Times New Roman" w:hAnsi="Arial" w:cs="Arial"/>
                <w:b/>
                <w:bCs/>
                <w:color w:val="000000"/>
                <w:sz w:val="16"/>
                <w:szCs w:val="16"/>
              </w:rPr>
              <w:t>Interest Rate Swap</w:t>
            </w:r>
          </w:p>
        </w:tc>
        <w:tc>
          <w:tcPr>
            <w:tcW w:w="0" w:type="auto"/>
            <w:gridSpan w:val="3"/>
            <w:tcBorders>
              <w:top w:val="single" w:sz="8" w:space="0" w:color="000000"/>
            </w:tcBorders>
            <w:tcMar>
              <w:top w:w="30" w:type="dxa"/>
              <w:left w:w="20" w:type="dxa"/>
              <w:bottom w:w="30" w:type="dxa"/>
              <w:right w:w="20" w:type="dxa"/>
            </w:tcMar>
            <w:vAlign w:val="bottom"/>
            <w:hideMark/>
          </w:tcPr>
          <w:p w14:paraId="15D11E21" w14:textId="77777777" w:rsidR="00000000" w:rsidRDefault="00C01C43">
            <w:pPr>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27DA1CC" w14:textId="77777777" w:rsidR="00000000" w:rsidRDefault="00C01C43">
            <w:pPr>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8B4BF5C" w14:textId="77777777" w:rsidR="00000000" w:rsidRDefault="00C01C43">
            <w:pPr>
              <w:jc w:val="center"/>
              <w:rPr>
                <w:rFonts w:eastAsia="Times New Roman"/>
              </w:rPr>
            </w:pPr>
            <w:r>
              <w:rPr>
                <w:rFonts w:ascii="Arial" w:eastAsia="Times New Roman" w:hAnsi="Arial" w:cs="Arial"/>
                <w:b/>
                <w:bCs/>
                <w:color w:val="000000"/>
                <w:sz w:val="16"/>
                <w:szCs w:val="16"/>
              </w:rPr>
              <w:t>2023</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91E2BBA" w14:textId="77777777" w:rsidR="00000000" w:rsidRDefault="00C01C43">
            <w:pPr>
              <w:jc w:val="center"/>
              <w:rPr>
                <w:rFonts w:eastAsia="Times New Roman"/>
              </w:rPr>
            </w:pPr>
            <w:r>
              <w:rPr>
                <w:rFonts w:ascii="Arial" w:eastAsia="Times New Roman" w:hAnsi="Arial" w:cs="Arial"/>
                <w:b/>
                <w:bCs/>
                <w:color w:val="000000"/>
                <w:sz w:val="16"/>
                <w:szCs w:val="16"/>
              </w:rPr>
              <w:t>2024</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580496D" w14:textId="77777777" w:rsidR="00000000" w:rsidRDefault="00C01C43">
            <w:pPr>
              <w:jc w:val="center"/>
              <w:rPr>
                <w:rFonts w:eastAsia="Times New Roman"/>
              </w:rPr>
            </w:pPr>
            <w:r>
              <w:rPr>
                <w:rFonts w:ascii="Arial" w:eastAsia="Times New Roman" w:hAnsi="Arial" w:cs="Arial"/>
                <w:b/>
                <w:bCs/>
                <w:color w:val="000000"/>
                <w:sz w:val="16"/>
                <w:szCs w:val="16"/>
              </w:rPr>
              <w:t>2025</w:t>
            </w:r>
          </w:p>
        </w:tc>
        <w:tc>
          <w:tcPr>
            <w:tcW w:w="0" w:type="auto"/>
            <w:gridSpan w:val="3"/>
            <w:tcBorders>
              <w:top w:val="single" w:sz="8" w:space="0" w:color="000000"/>
            </w:tcBorders>
            <w:tcMar>
              <w:top w:w="30" w:type="dxa"/>
              <w:left w:w="20" w:type="dxa"/>
              <w:bottom w:w="30" w:type="dxa"/>
              <w:right w:w="20" w:type="dxa"/>
            </w:tcMar>
            <w:vAlign w:val="bottom"/>
            <w:hideMark/>
          </w:tcPr>
          <w:p w14:paraId="458D9FAE" w14:textId="77777777" w:rsidR="00000000" w:rsidRDefault="00C01C43">
            <w:pPr>
              <w:jc w:val="center"/>
              <w:rPr>
                <w:rFonts w:eastAsia="Times New Roman"/>
              </w:rPr>
            </w:pPr>
            <w:r>
              <w:rPr>
                <w:rFonts w:ascii="Arial" w:eastAsia="Times New Roman" w:hAnsi="Arial" w:cs="Arial"/>
                <w:b/>
                <w:bCs/>
                <w:color w:val="000000"/>
                <w:sz w:val="16"/>
                <w:szCs w:val="16"/>
              </w:rPr>
              <w:t>Fair Value</w:t>
            </w:r>
          </w:p>
        </w:tc>
      </w:tr>
      <w:tr w:rsidR="00000000" w14:paraId="39486EE5" w14:textId="77777777">
        <w:trPr>
          <w:divId w:val="15247808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DAD551A" w14:textId="77777777" w:rsidR="00000000" w:rsidRDefault="00C01C43">
            <w:pPr>
              <w:rPr>
                <w:rFonts w:eastAsia="Times New Roman"/>
              </w:rPr>
            </w:pPr>
            <w:r>
              <w:rPr>
                <w:rFonts w:ascii="Arial" w:eastAsia="Times New Roman" w:hAnsi="Arial" w:cs="Arial"/>
                <w:color w:val="000000"/>
                <w:sz w:val="20"/>
                <w:szCs w:val="20"/>
              </w:rPr>
              <w:t>Notional Value: $300</w:t>
            </w:r>
          </w:p>
        </w:tc>
        <w:tc>
          <w:tcPr>
            <w:tcW w:w="0" w:type="auto"/>
            <w:gridSpan w:val="15"/>
            <w:tcBorders>
              <w:top w:val="single" w:sz="8" w:space="0" w:color="000000"/>
            </w:tcBorders>
            <w:shd w:val="clear" w:color="auto" w:fill="CCEEFF"/>
            <w:tcMar>
              <w:top w:w="0" w:type="dxa"/>
              <w:left w:w="20" w:type="dxa"/>
              <w:bottom w:w="0" w:type="dxa"/>
              <w:right w:w="20" w:type="dxa"/>
            </w:tcMar>
            <w:vAlign w:val="center"/>
            <w:hideMark/>
          </w:tcPr>
          <w:p w14:paraId="4DA6799F" w14:textId="77777777" w:rsidR="00000000" w:rsidRDefault="00C01C4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94A4E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87DB9D" w14:textId="77777777" w:rsidR="00000000" w:rsidRDefault="00C01C43">
            <w:pPr>
              <w:jc w:val="right"/>
              <w:rPr>
                <w:rFonts w:eastAsia="Times New Roman"/>
              </w:rPr>
            </w:pPr>
            <w:r>
              <w:rPr>
                <w:rFonts w:ascii="Arial" w:eastAsia="Times New Roman" w:hAnsi="Arial" w:cs="Arial"/>
                <w:color w:val="000000"/>
                <w:sz w:val="20"/>
                <w:szCs w:val="20"/>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00BC65" w14:textId="77777777" w:rsidR="00000000" w:rsidRDefault="00C01C43">
            <w:pPr>
              <w:jc w:val="right"/>
              <w:rPr>
                <w:rFonts w:eastAsia="Times New Roman"/>
              </w:rPr>
            </w:pPr>
          </w:p>
        </w:tc>
      </w:tr>
      <w:tr w:rsidR="00000000" w14:paraId="61A7F2AA" w14:textId="77777777">
        <w:trPr>
          <w:divId w:val="1524780825"/>
        </w:trPr>
        <w:tc>
          <w:tcPr>
            <w:tcW w:w="0" w:type="auto"/>
            <w:gridSpan w:val="3"/>
            <w:shd w:val="clear" w:color="auto" w:fill="FFFFFF"/>
            <w:tcMar>
              <w:top w:w="30" w:type="dxa"/>
              <w:left w:w="20" w:type="dxa"/>
              <w:bottom w:w="30" w:type="dxa"/>
              <w:right w:w="20" w:type="dxa"/>
            </w:tcMar>
            <w:vAlign w:val="bottom"/>
            <w:hideMark/>
          </w:tcPr>
          <w:p w14:paraId="2AD318DD" w14:textId="77777777" w:rsidR="00000000" w:rsidRDefault="00C01C43">
            <w:pPr>
              <w:divId w:val="918708148"/>
              <w:rPr>
                <w:rFonts w:eastAsia="Times New Roman"/>
              </w:rPr>
            </w:pPr>
            <w:r>
              <w:rPr>
                <w:rFonts w:ascii="Arial" w:eastAsia="Times New Roman" w:hAnsi="Arial" w:cs="Arial"/>
                <w:color w:val="000000"/>
                <w:sz w:val="20"/>
                <w:szCs w:val="20"/>
              </w:rPr>
              <w:t>Variable to Fixed</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p>
        </w:tc>
        <w:tc>
          <w:tcPr>
            <w:tcW w:w="0" w:type="auto"/>
            <w:shd w:val="clear" w:color="auto" w:fill="FFFFFF"/>
            <w:tcMar>
              <w:top w:w="30" w:type="dxa"/>
              <w:left w:w="20" w:type="dxa"/>
              <w:bottom w:w="30" w:type="dxa"/>
              <w:right w:w="0" w:type="dxa"/>
            </w:tcMar>
            <w:vAlign w:val="bottom"/>
            <w:hideMark/>
          </w:tcPr>
          <w:p w14:paraId="7F6DAFAC"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DF94E13" w14:textId="77777777" w:rsidR="00000000" w:rsidRDefault="00C01C43">
            <w:pPr>
              <w:jc w:val="right"/>
              <w:rPr>
                <w:rFonts w:eastAsia="Times New Roman"/>
              </w:rPr>
            </w:pPr>
            <w:r>
              <w:rPr>
                <w:rFonts w:ascii="Arial" w:eastAsia="Times New Roman" w:hAnsi="Arial" w:cs="Arial"/>
                <w:color w:val="000000"/>
                <w:sz w:val="20"/>
                <w:szCs w:val="20"/>
              </w:rPr>
              <w:t>(1.3)</w:t>
            </w:r>
          </w:p>
        </w:tc>
        <w:tc>
          <w:tcPr>
            <w:tcW w:w="0" w:type="auto"/>
            <w:shd w:val="clear" w:color="auto" w:fill="FFFFFF"/>
            <w:tcMar>
              <w:top w:w="30" w:type="dxa"/>
              <w:left w:w="0" w:type="dxa"/>
              <w:bottom w:w="30" w:type="dxa"/>
              <w:right w:w="20" w:type="dxa"/>
            </w:tcMar>
            <w:vAlign w:val="bottom"/>
            <w:hideMark/>
          </w:tcPr>
          <w:p w14:paraId="5034FAA7" w14:textId="77777777" w:rsidR="00000000" w:rsidRDefault="00C01C4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B80CB03"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6F8EC9C" w14:textId="77777777" w:rsidR="00000000" w:rsidRDefault="00C01C43">
            <w:pPr>
              <w:jc w:val="right"/>
              <w:rPr>
                <w:rFonts w:eastAsia="Times New Roman"/>
              </w:rPr>
            </w:pPr>
            <w:r>
              <w:rPr>
                <w:rFonts w:ascii="Arial" w:eastAsia="Times New Roman" w:hAnsi="Arial" w:cs="Arial"/>
                <w:color w:val="000000"/>
                <w:sz w:val="20"/>
                <w:szCs w:val="20"/>
              </w:rPr>
              <w:t>(1.2)</w:t>
            </w:r>
          </w:p>
        </w:tc>
        <w:tc>
          <w:tcPr>
            <w:tcW w:w="0" w:type="auto"/>
            <w:shd w:val="clear" w:color="auto" w:fill="FFFFFF"/>
            <w:tcMar>
              <w:top w:w="30" w:type="dxa"/>
              <w:left w:w="0" w:type="dxa"/>
              <w:bottom w:w="30" w:type="dxa"/>
              <w:right w:w="20" w:type="dxa"/>
            </w:tcMar>
            <w:vAlign w:val="bottom"/>
            <w:hideMark/>
          </w:tcPr>
          <w:p w14:paraId="0699F132" w14:textId="77777777" w:rsidR="00000000" w:rsidRDefault="00C01C4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AC6BA71"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4EB727F" w14:textId="77777777" w:rsidR="00000000" w:rsidRDefault="00C01C43">
            <w:pPr>
              <w:jc w:val="right"/>
              <w:rPr>
                <w:rFonts w:eastAsia="Times New Roman"/>
              </w:rPr>
            </w:pPr>
            <w:r>
              <w:rPr>
                <w:rFonts w:ascii="Arial" w:eastAsia="Times New Roman" w:hAnsi="Arial" w:cs="Arial"/>
                <w:color w:val="000000"/>
                <w:sz w:val="20"/>
                <w:szCs w:val="20"/>
              </w:rPr>
              <w:t>(0.9)</w:t>
            </w:r>
          </w:p>
        </w:tc>
        <w:tc>
          <w:tcPr>
            <w:tcW w:w="0" w:type="auto"/>
            <w:shd w:val="clear" w:color="auto" w:fill="FFFFFF"/>
            <w:tcMar>
              <w:top w:w="30" w:type="dxa"/>
              <w:left w:w="0" w:type="dxa"/>
              <w:bottom w:w="30" w:type="dxa"/>
              <w:right w:w="20" w:type="dxa"/>
            </w:tcMar>
            <w:vAlign w:val="bottom"/>
            <w:hideMark/>
          </w:tcPr>
          <w:p w14:paraId="279425C4" w14:textId="77777777" w:rsidR="00000000" w:rsidRDefault="00C01C4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9798972"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69AD1ED" w14:textId="77777777" w:rsidR="00000000" w:rsidRDefault="00C01C43">
            <w:pPr>
              <w:jc w:val="right"/>
              <w:rPr>
                <w:rFonts w:eastAsia="Times New Roman"/>
              </w:rPr>
            </w:pPr>
            <w:r>
              <w:rPr>
                <w:rFonts w:ascii="Arial" w:eastAsia="Times New Roman" w:hAnsi="Arial" w:cs="Arial"/>
                <w:color w:val="000000"/>
                <w:sz w:val="20"/>
                <w:szCs w:val="20"/>
              </w:rPr>
              <w:t>(0.3)</w:t>
            </w:r>
          </w:p>
        </w:tc>
        <w:tc>
          <w:tcPr>
            <w:tcW w:w="0" w:type="auto"/>
            <w:shd w:val="clear" w:color="auto" w:fill="FFFFFF"/>
            <w:tcMar>
              <w:top w:w="30" w:type="dxa"/>
              <w:left w:w="0" w:type="dxa"/>
              <w:bottom w:w="30" w:type="dxa"/>
              <w:right w:w="20" w:type="dxa"/>
            </w:tcMar>
            <w:vAlign w:val="bottom"/>
            <w:hideMark/>
          </w:tcPr>
          <w:p w14:paraId="3C744026" w14:textId="77777777" w:rsidR="00000000" w:rsidRDefault="00C01C4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2CDBD7B"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9EB030E" w14:textId="77777777" w:rsidR="00000000" w:rsidRDefault="00C01C43">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07E1151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F2E780" w14:textId="77777777" w:rsidR="00000000" w:rsidRDefault="00C01C43">
            <w:pPr>
              <w:jc w:val="right"/>
              <w:rPr>
                <w:rFonts w:eastAsia="Times New Roman"/>
                <w:sz w:val="20"/>
                <w:szCs w:val="20"/>
              </w:rPr>
            </w:pPr>
          </w:p>
        </w:tc>
      </w:tr>
      <w:tr w:rsidR="00000000" w14:paraId="0D8ED5C2" w14:textId="77777777">
        <w:trPr>
          <w:divId w:val="1524780825"/>
        </w:trPr>
        <w:tc>
          <w:tcPr>
            <w:tcW w:w="0" w:type="auto"/>
            <w:gridSpan w:val="3"/>
            <w:shd w:val="clear" w:color="auto" w:fill="CCEEFF"/>
            <w:tcMar>
              <w:top w:w="30" w:type="dxa"/>
              <w:left w:w="260" w:type="dxa"/>
              <w:bottom w:w="30" w:type="dxa"/>
              <w:right w:w="20" w:type="dxa"/>
            </w:tcMar>
            <w:vAlign w:val="bottom"/>
            <w:hideMark/>
          </w:tcPr>
          <w:p w14:paraId="03154372" w14:textId="77777777" w:rsidR="00000000" w:rsidRDefault="00C01C43">
            <w:pPr>
              <w:rPr>
                <w:rFonts w:eastAsia="Times New Roman"/>
              </w:rPr>
            </w:pPr>
            <w:r>
              <w:rPr>
                <w:rFonts w:ascii="Arial" w:eastAsia="Times New Roman" w:hAnsi="Arial" w:cs="Arial"/>
                <w:color w:val="000000"/>
                <w:sz w:val="20"/>
                <w:szCs w:val="20"/>
              </w:rPr>
              <w:t>Average pay rate</w:t>
            </w:r>
          </w:p>
        </w:tc>
        <w:tc>
          <w:tcPr>
            <w:tcW w:w="0" w:type="auto"/>
            <w:gridSpan w:val="2"/>
            <w:shd w:val="clear" w:color="auto" w:fill="CCEEFF"/>
            <w:tcMar>
              <w:top w:w="30" w:type="dxa"/>
              <w:left w:w="20" w:type="dxa"/>
              <w:bottom w:w="30" w:type="dxa"/>
              <w:right w:w="0" w:type="dxa"/>
            </w:tcMar>
            <w:vAlign w:val="bottom"/>
            <w:hideMark/>
          </w:tcPr>
          <w:p w14:paraId="61C91E2A" w14:textId="77777777" w:rsidR="00000000" w:rsidRDefault="00C01C43">
            <w:pPr>
              <w:jc w:val="right"/>
              <w:rPr>
                <w:rFonts w:eastAsia="Times New Roman"/>
              </w:rPr>
            </w:pPr>
            <w:r>
              <w:rPr>
                <w:rFonts w:ascii="Arial" w:eastAsia="Times New Roman" w:hAnsi="Arial" w:cs="Arial"/>
                <w:color w:val="000000"/>
                <w:sz w:val="20"/>
                <w:szCs w:val="20"/>
              </w:rPr>
              <w:t>0.55 </w:t>
            </w:r>
          </w:p>
        </w:tc>
        <w:tc>
          <w:tcPr>
            <w:tcW w:w="0" w:type="auto"/>
            <w:shd w:val="clear" w:color="auto" w:fill="CCEEFF"/>
            <w:tcMar>
              <w:top w:w="30" w:type="dxa"/>
              <w:left w:w="0" w:type="dxa"/>
              <w:bottom w:w="30" w:type="dxa"/>
              <w:right w:w="20" w:type="dxa"/>
            </w:tcMar>
            <w:vAlign w:val="bottom"/>
            <w:hideMark/>
          </w:tcPr>
          <w:p w14:paraId="7B972279"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70127E68" w14:textId="77777777" w:rsidR="00000000" w:rsidRDefault="00C01C43">
            <w:pPr>
              <w:jc w:val="right"/>
              <w:rPr>
                <w:rFonts w:eastAsia="Times New Roman"/>
              </w:rPr>
            </w:pPr>
            <w:r>
              <w:rPr>
                <w:rFonts w:ascii="Arial" w:eastAsia="Times New Roman" w:hAnsi="Arial" w:cs="Arial"/>
                <w:color w:val="000000"/>
                <w:sz w:val="20"/>
                <w:szCs w:val="20"/>
              </w:rPr>
              <w:t>0.55 </w:t>
            </w:r>
          </w:p>
        </w:tc>
        <w:tc>
          <w:tcPr>
            <w:tcW w:w="0" w:type="auto"/>
            <w:shd w:val="clear" w:color="auto" w:fill="CCEEFF"/>
            <w:tcMar>
              <w:top w:w="30" w:type="dxa"/>
              <w:left w:w="0" w:type="dxa"/>
              <w:bottom w:w="30" w:type="dxa"/>
              <w:right w:w="20" w:type="dxa"/>
            </w:tcMar>
            <w:vAlign w:val="bottom"/>
            <w:hideMark/>
          </w:tcPr>
          <w:p w14:paraId="10883EC4"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55DC96BB" w14:textId="77777777" w:rsidR="00000000" w:rsidRDefault="00C01C43">
            <w:pPr>
              <w:jc w:val="right"/>
              <w:rPr>
                <w:rFonts w:eastAsia="Times New Roman"/>
              </w:rPr>
            </w:pPr>
            <w:r>
              <w:rPr>
                <w:rFonts w:ascii="Arial" w:eastAsia="Times New Roman" w:hAnsi="Arial" w:cs="Arial"/>
                <w:color w:val="000000"/>
                <w:sz w:val="20"/>
                <w:szCs w:val="20"/>
              </w:rPr>
              <w:t>0.55 </w:t>
            </w:r>
          </w:p>
        </w:tc>
        <w:tc>
          <w:tcPr>
            <w:tcW w:w="0" w:type="auto"/>
            <w:shd w:val="clear" w:color="auto" w:fill="CCEEFF"/>
            <w:tcMar>
              <w:top w:w="30" w:type="dxa"/>
              <w:left w:w="0" w:type="dxa"/>
              <w:bottom w:w="30" w:type="dxa"/>
              <w:right w:w="20" w:type="dxa"/>
            </w:tcMar>
            <w:vAlign w:val="bottom"/>
            <w:hideMark/>
          </w:tcPr>
          <w:p w14:paraId="0A8F6040"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396C2256" w14:textId="77777777" w:rsidR="00000000" w:rsidRDefault="00C01C43">
            <w:pPr>
              <w:jc w:val="right"/>
              <w:rPr>
                <w:rFonts w:eastAsia="Times New Roman"/>
              </w:rPr>
            </w:pPr>
            <w:r>
              <w:rPr>
                <w:rFonts w:ascii="Arial" w:eastAsia="Times New Roman" w:hAnsi="Arial" w:cs="Arial"/>
                <w:color w:val="000000"/>
                <w:sz w:val="20"/>
                <w:szCs w:val="20"/>
              </w:rPr>
              <w:t>0.55 </w:t>
            </w:r>
          </w:p>
        </w:tc>
        <w:tc>
          <w:tcPr>
            <w:tcW w:w="0" w:type="auto"/>
            <w:shd w:val="clear" w:color="auto" w:fill="CCEEFF"/>
            <w:tcMar>
              <w:top w:w="30" w:type="dxa"/>
              <w:left w:w="0" w:type="dxa"/>
              <w:bottom w:w="30" w:type="dxa"/>
              <w:right w:w="20" w:type="dxa"/>
            </w:tcMar>
            <w:vAlign w:val="bottom"/>
            <w:hideMark/>
          </w:tcPr>
          <w:p w14:paraId="046E01BB"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0B45172A" w14:textId="77777777" w:rsidR="00000000" w:rsidRDefault="00C01C43">
            <w:pPr>
              <w:jc w:val="right"/>
              <w:rPr>
                <w:rFonts w:eastAsia="Times New Roman"/>
              </w:rPr>
            </w:pPr>
            <w:r>
              <w:rPr>
                <w:rFonts w:ascii="Arial" w:eastAsia="Times New Roman" w:hAnsi="Arial" w:cs="Arial"/>
                <w:color w:val="000000"/>
                <w:sz w:val="20"/>
                <w:szCs w:val="20"/>
              </w:rPr>
              <w:t>0.55 </w:t>
            </w:r>
          </w:p>
        </w:tc>
        <w:tc>
          <w:tcPr>
            <w:tcW w:w="0" w:type="auto"/>
            <w:shd w:val="clear" w:color="auto" w:fill="CCEEFF"/>
            <w:tcMar>
              <w:top w:w="30" w:type="dxa"/>
              <w:left w:w="0" w:type="dxa"/>
              <w:bottom w:w="30" w:type="dxa"/>
              <w:right w:w="20" w:type="dxa"/>
            </w:tcMar>
            <w:vAlign w:val="bottom"/>
            <w:hideMark/>
          </w:tcPr>
          <w:p w14:paraId="74964A85"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4B5CD39" w14:textId="77777777" w:rsidR="00000000" w:rsidRDefault="00C01C43">
            <w:pPr>
              <w:jc w:val="right"/>
              <w:rPr>
                <w:rFonts w:eastAsia="Times New Roman"/>
              </w:rPr>
            </w:pPr>
          </w:p>
        </w:tc>
      </w:tr>
      <w:tr w:rsidR="00000000" w14:paraId="105DA73D" w14:textId="77777777">
        <w:trPr>
          <w:divId w:val="1524780825"/>
        </w:trPr>
        <w:tc>
          <w:tcPr>
            <w:tcW w:w="0" w:type="auto"/>
            <w:gridSpan w:val="3"/>
            <w:tcBorders>
              <w:bottom w:val="single" w:sz="8" w:space="0" w:color="000000"/>
            </w:tcBorders>
            <w:shd w:val="clear" w:color="auto" w:fill="FFFFFF"/>
            <w:tcMar>
              <w:top w:w="30" w:type="dxa"/>
              <w:left w:w="260" w:type="dxa"/>
              <w:bottom w:w="30" w:type="dxa"/>
              <w:right w:w="20" w:type="dxa"/>
            </w:tcMar>
            <w:vAlign w:val="bottom"/>
            <w:hideMark/>
          </w:tcPr>
          <w:p w14:paraId="3BAB22FB" w14:textId="77777777" w:rsidR="00000000" w:rsidRDefault="00C01C43">
            <w:pPr>
              <w:rPr>
                <w:rFonts w:eastAsia="Times New Roman"/>
              </w:rPr>
            </w:pPr>
            <w:r>
              <w:rPr>
                <w:rFonts w:ascii="Arial" w:eastAsia="Times New Roman" w:hAnsi="Arial" w:cs="Arial"/>
                <w:color w:val="000000"/>
                <w:sz w:val="20"/>
                <w:szCs w:val="20"/>
              </w:rPr>
              <w:t>Average receive rate</w:t>
            </w: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14:paraId="2F69D72B" w14:textId="77777777" w:rsidR="00000000" w:rsidRDefault="00C01C43">
            <w:pPr>
              <w:jc w:val="right"/>
              <w:rPr>
                <w:rFonts w:eastAsia="Times New Roman"/>
              </w:rPr>
            </w:pPr>
            <w:r>
              <w:rPr>
                <w:rFonts w:ascii="Arial" w:eastAsia="Times New Roman" w:hAnsi="Arial" w:cs="Arial"/>
                <w:color w:val="000000"/>
                <w:sz w:val="20"/>
                <w:szCs w:val="20"/>
              </w:rPr>
              <w:t>0.13 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14:paraId="0A705A40"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14:paraId="1343039F" w14:textId="77777777" w:rsidR="00000000" w:rsidRDefault="00C01C43">
            <w:pPr>
              <w:jc w:val="right"/>
              <w:rPr>
                <w:rFonts w:eastAsia="Times New Roman"/>
              </w:rPr>
            </w:pPr>
            <w:r>
              <w:rPr>
                <w:rFonts w:ascii="Arial" w:eastAsia="Times New Roman" w:hAnsi="Arial" w:cs="Arial"/>
                <w:color w:val="000000"/>
                <w:sz w:val="20"/>
                <w:szCs w:val="20"/>
              </w:rPr>
              <w:t>0.16 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14:paraId="0CEEB159"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14:paraId="3C165ADB" w14:textId="77777777" w:rsidR="00000000" w:rsidRDefault="00C01C43">
            <w:pPr>
              <w:jc w:val="right"/>
              <w:rPr>
                <w:rFonts w:eastAsia="Times New Roman"/>
              </w:rPr>
            </w:pPr>
            <w:r>
              <w:rPr>
                <w:rFonts w:ascii="Arial" w:eastAsia="Times New Roman" w:hAnsi="Arial" w:cs="Arial"/>
                <w:color w:val="000000"/>
                <w:sz w:val="20"/>
                <w:szCs w:val="20"/>
              </w:rPr>
              <w:t>0.24 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14:paraId="40A84DE3"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14:paraId="13C0DE80" w14:textId="77777777" w:rsidR="00000000" w:rsidRDefault="00C01C43">
            <w:pPr>
              <w:jc w:val="right"/>
              <w:rPr>
                <w:rFonts w:eastAsia="Times New Roman"/>
              </w:rPr>
            </w:pPr>
            <w:r>
              <w:rPr>
                <w:rFonts w:ascii="Arial" w:eastAsia="Times New Roman" w:hAnsi="Arial" w:cs="Arial"/>
                <w:color w:val="000000"/>
                <w:sz w:val="20"/>
                <w:szCs w:val="20"/>
              </w:rPr>
              <w:t>0.44 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14:paraId="69249097"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14:paraId="3ACBE49F" w14:textId="77777777" w:rsidR="00000000" w:rsidRDefault="00C01C43">
            <w:pPr>
              <w:jc w:val="right"/>
              <w:rPr>
                <w:rFonts w:eastAsia="Times New Roman"/>
              </w:rPr>
            </w:pPr>
            <w:r>
              <w:rPr>
                <w:rFonts w:ascii="Arial" w:eastAsia="Times New Roman" w:hAnsi="Arial" w:cs="Arial"/>
                <w:color w:val="000000"/>
                <w:sz w:val="20"/>
                <w:szCs w:val="20"/>
              </w:rPr>
              <w:t>0.64 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14:paraId="3B0E7397"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14:paraId="34753ACD" w14:textId="77777777" w:rsidR="00000000" w:rsidRDefault="00C01C43">
            <w:pPr>
              <w:jc w:val="right"/>
              <w:rPr>
                <w:rFonts w:eastAsia="Times New Roman"/>
              </w:rPr>
            </w:pPr>
          </w:p>
        </w:tc>
      </w:tr>
    </w:tbl>
    <w:p w14:paraId="73E57DB0" w14:textId="77777777" w:rsidR="00000000" w:rsidRDefault="00C01C43">
      <w:pPr>
        <w:jc w:val="both"/>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 xml:space="preserve"> </w:t>
      </w:r>
      <w:r>
        <w:rPr>
          <w:rFonts w:ascii="Arial" w:eastAsia="Times New Roman" w:hAnsi="Arial" w:cs="Arial"/>
          <w:color w:val="000000"/>
          <w:sz w:val="16"/>
          <w:szCs w:val="16"/>
        </w:rPr>
        <w:t>Represents discounted net cash flow receipts or (p</w:t>
      </w:r>
      <w:r>
        <w:rPr>
          <w:rFonts w:ascii="Arial" w:eastAsia="Times New Roman" w:hAnsi="Arial" w:cs="Arial"/>
          <w:color w:val="000000"/>
          <w:sz w:val="16"/>
          <w:szCs w:val="16"/>
        </w:rPr>
        <w:t>ayments).</w:t>
      </w:r>
    </w:p>
    <w:p w14:paraId="4613C16C" w14:textId="77777777" w:rsidR="00000000" w:rsidRDefault="00C01C43">
      <w:pPr>
        <w:jc w:val="center"/>
        <w:divId w:val="355010557"/>
        <w:rPr>
          <w:rFonts w:eastAsia="Times New Roman"/>
        </w:rPr>
      </w:pPr>
      <w:r>
        <w:rPr>
          <w:rFonts w:ascii="Arial" w:eastAsia="Times New Roman" w:hAnsi="Arial" w:cs="Arial"/>
          <w:color w:val="000000"/>
          <w:sz w:val="16"/>
          <w:szCs w:val="16"/>
        </w:rPr>
        <w:t>38</w:t>
      </w:r>
    </w:p>
    <w:p w14:paraId="7EF02911" w14:textId="77777777" w:rsidR="00000000" w:rsidRDefault="00C01C43">
      <w:pPr>
        <w:rPr>
          <w:rFonts w:eastAsia="Times New Roman"/>
        </w:rPr>
      </w:pPr>
      <w:r>
        <w:rPr>
          <w:rFonts w:eastAsia="Times New Roman"/>
        </w:rPr>
        <w:pict w14:anchorId="4839CC39">
          <v:rect id="_x0000_i1067" style="width:0;height:1.5pt" o:hralign="center" o:hrstd="t" o:hr="t" fillcolor="#a0a0a0" stroked="f"/>
        </w:pict>
      </w:r>
    </w:p>
    <w:p w14:paraId="5E647366" w14:textId="77777777" w:rsidR="00000000" w:rsidRDefault="00C01C43">
      <w:pPr>
        <w:divId w:val="1541162007"/>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4EAC0491" w14:textId="77777777" w:rsidR="00000000" w:rsidRDefault="00C01C43">
      <w:pPr>
        <w:jc w:val="both"/>
        <w:rPr>
          <w:rFonts w:eastAsia="Times New Roman"/>
        </w:rPr>
      </w:pPr>
    </w:p>
    <w:p w14:paraId="383819D3" w14:textId="77777777" w:rsidR="00000000" w:rsidRDefault="00C01C43">
      <w:pPr>
        <w:jc w:val="both"/>
        <w:divId w:val="1183739971"/>
        <w:rPr>
          <w:rFonts w:eastAsia="Times New Roman"/>
        </w:rPr>
      </w:pPr>
      <w:r>
        <w:rPr>
          <w:rFonts w:ascii="Arial" w:eastAsia="Times New Roman" w:hAnsi="Arial" w:cs="Arial"/>
          <w:b/>
          <w:bCs/>
          <w:color w:val="000000"/>
        </w:rPr>
        <w:t>Item 8. Financial</w:t>
      </w:r>
      <w:r>
        <w:rPr>
          <w:rFonts w:ascii="Arial" w:eastAsia="Times New Roman" w:hAnsi="Arial" w:cs="Arial"/>
          <w:color w:val="000000"/>
        </w:rPr>
        <w:t xml:space="preserve"> </w:t>
      </w:r>
      <w:r>
        <w:rPr>
          <w:rFonts w:ascii="Arial" w:eastAsia="Times New Roman" w:hAnsi="Arial" w:cs="Arial"/>
          <w:b/>
          <w:bCs/>
          <w:color w:val="000000"/>
        </w:rPr>
        <w:t>Statements and Supplementary Data</w:t>
      </w:r>
    </w:p>
    <w:p w14:paraId="5B4383C0" w14:textId="77777777" w:rsidR="00000000" w:rsidRDefault="00C01C43">
      <w:pPr>
        <w:jc w:val="both"/>
        <w:divId w:val="1995836883"/>
        <w:rPr>
          <w:rFonts w:eastAsia="Times New Roman"/>
        </w:rPr>
      </w:pPr>
      <w:r>
        <w:rPr>
          <w:rFonts w:ascii="Arial" w:eastAsia="Times New Roman" w:hAnsi="Arial" w:cs="Arial"/>
          <w:color w:val="000000"/>
          <w:sz w:val="20"/>
          <w:szCs w:val="20"/>
        </w:rPr>
        <w:t>The financial statements, together with the report thereon of PricewaterhouseCoopers LLP dated February 26, 2021, and the Selected Quarterly Financial Data (Unaudited), are set forth in Item 15 of this 2020 10</w:t>
      </w:r>
      <w:r>
        <w:rPr>
          <w:rFonts w:ascii="Arial" w:eastAsia="Times New Roman" w:hAnsi="Arial" w:cs="Arial"/>
          <w:color w:val="000000"/>
          <w:sz w:val="20"/>
          <w:szCs w:val="20"/>
        </w:rPr>
        <w:noBreakHyphen/>
        <w:t>K Report.</w:t>
      </w:r>
    </w:p>
    <w:p w14:paraId="48223D42" w14:textId="77777777" w:rsidR="00000000" w:rsidRDefault="00C01C43">
      <w:pPr>
        <w:jc w:val="both"/>
        <w:divId w:val="1629585206"/>
        <w:rPr>
          <w:rFonts w:eastAsia="Times New Roman"/>
        </w:rPr>
      </w:pPr>
      <w:r>
        <w:rPr>
          <w:rFonts w:ascii="Arial" w:eastAsia="Times New Roman" w:hAnsi="Arial" w:cs="Arial"/>
          <w:b/>
          <w:bCs/>
          <w:color w:val="000000"/>
        </w:rPr>
        <w:t>Item 9. Changes</w:t>
      </w:r>
      <w:r>
        <w:rPr>
          <w:rFonts w:ascii="Arial" w:eastAsia="Times New Roman" w:hAnsi="Arial" w:cs="Arial"/>
          <w:color w:val="000000"/>
        </w:rPr>
        <w:t xml:space="preserve"> </w:t>
      </w:r>
      <w:r>
        <w:rPr>
          <w:rFonts w:ascii="Arial" w:eastAsia="Times New Roman" w:hAnsi="Arial" w:cs="Arial"/>
          <w:b/>
          <w:bCs/>
          <w:color w:val="000000"/>
        </w:rPr>
        <w:t>in and Disagreements</w:t>
      </w:r>
      <w:r>
        <w:rPr>
          <w:rFonts w:ascii="Arial" w:eastAsia="Times New Roman" w:hAnsi="Arial" w:cs="Arial"/>
          <w:b/>
          <w:bCs/>
          <w:color w:val="000000"/>
        </w:rPr>
        <w:t xml:space="preserve"> with Accountants on Accounting and Financial Disclosure</w:t>
      </w:r>
    </w:p>
    <w:p w14:paraId="6494E504" w14:textId="77777777" w:rsidR="00000000" w:rsidRDefault="00C01C43">
      <w:pPr>
        <w:jc w:val="both"/>
        <w:rPr>
          <w:rFonts w:eastAsia="Times New Roman"/>
        </w:rPr>
      </w:pPr>
      <w:r>
        <w:rPr>
          <w:rFonts w:ascii="Arial" w:eastAsia="Times New Roman" w:hAnsi="Arial" w:cs="Arial"/>
          <w:color w:val="000000"/>
          <w:sz w:val="20"/>
          <w:szCs w:val="20"/>
        </w:rPr>
        <w:t>None.</w:t>
      </w:r>
    </w:p>
    <w:p w14:paraId="3F22B4B4" w14:textId="77777777" w:rsidR="00000000" w:rsidRDefault="00C01C43">
      <w:pPr>
        <w:jc w:val="both"/>
        <w:divId w:val="1741977611"/>
        <w:rPr>
          <w:rFonts w:eastAsia="Times New Roman"/>
        </w:rPr>
      </w:pPr>
    </w:p>
    <w:p w14:paraId="317B2699" w14:textId="77777777" w:rsidR="00000000" w:rsidRDefault="00C01C43">
      <w:pPr>
        <w:jc w:val="both"/>
        <w:divId w:val="1614481746"/>
        <w:rPr>
          <w:rFonts w:eastAsia="Times New Roman"/>
        </w:rPr>
      </w:pPr>
      <w:r>
        <w:rPr>
          <w:rFonts w:ascii="Arial" w:eastAsia="Times New Roman" w:hAnsi="Arial" w:cs="Arial"/>
          <w:b/>
          <w:bCs/>
          <w:color w:val="000000"/>
        </w:rPr>
        <w:t>Item 9A. Controls</w:t>
      </w:r>
      <w:r>
        <w:rPr>
          <w:rFonts w:ascii="Arial" w:eastAsia="Times New Roman" w:hAnsi="Arial" w:cs="Arial"/>
          <w:color w:val="000000"/>
        </w:rPr>
        <w:t xml:space="preserve"> </w:t>
      </w:r>
      <w:r>
        <w:rPr>
          <w:rFonts w:ascii="Arial" w:eastAsia="Times New Roman" w:hAnsi="Arial" w:cs="Arial"/>
          <w:b/>
          <w:bCs/>
          <w:color w:val="000000"/>
        </w:rPr>
        <w:t>and Procedures</w:t>
      </w:r>
    </w:p>
    <w:p w14:paraId="5C8480D0" w14:textId="77777777" w:rsidR="00000000" w:rsidRDefault="00C01C43">
      <w:pPr>
        <w:jc w:val="both"/>
        <w:rPr>
          <w:rFonts w:eastAsia="Times New Roman"/>
        </w:rPr>
      </w:pPr>
      <w:r>
        <w:rPr>
          <w:rFonts w:ascii="Arial" w:eastAsia="Times New Roman" w:hAnsi="Arial" w:cs="Arial"/>
          <w:b/>
          <w:bCs/>
          <w:color w:val="000000"/>
          <w:sz w:val="20"/>
          <w:szCs w:val="20"/>
        </w:rPr>
        <w:t>Management’s Evaluation of Disclosure Controls and Procedures</w:t>
      </w:r>
    </w:p>
    <w:p w14:paraId="624EA578" w14:textId="77777777" w:rsidR="00000000" w:rsidRDefault="00C01C43">
      <w:pPr>
        <w:jc w:val="both"/>
        <w:divId w:val="647444825"/>
        <w:rPr>
          <w:rFonts w:eastAsia="Times New Roman"/>
        </w:rPr>
      </w:pPr>
      <w:r>
        <w:rPr>
          <w:rFonts w:ascii="Arial" w:eastAsia="Times New Roman" w:hAnsi="Arial" w:cs="Arial"/>
          <w:color w:val="000000"/>
          <w:sz w:val="20"/>
          <w:szCs w:val="20"/>
        </w:rPr>
        <w:t>We maintain disclosure controls and procedures that are designed to ensure that information requ</w:t>
      </w:r>
      <w:r>
        <w:rPr>
          <w:rFonts w:ascii="Arial" w:eastAsia="Times New Roman" w:hAnsi="Arial" w:cs="Arial"/>
          <w:color w:val="000000"/>
          <w:sz w:val="20"/>
          <w:szCs w:val="20"/>
        </w:rPr>
        <w:t>ired to be disclosed in the reports that we file or submit under the Exchange Act is recorded, processed, summarized and reported within the time periods specified in the SEC’s rules and forms, and that such information is accumulated and communicated to o</w:t>
      </w:r>
      <w:r>
        <w:rPr>
          <w:rFonts w:ascii="Arial" w:eastAsia="Times New Roman" w:hAnsi="Arial" w:cs="Arial"/>
          <w:color w:val="000000"/>
          <w:sz w:val="20"/>
          <w:szCs w:val="20"/>
        </w:rPr>
        <w:t>ur management, including our Chief Executive Officer (“CEO”) and our Chief Financial Officer (“CFO”), as appropriate, to allow timely decisions regarding required financial disclosure.</w:t>
      </w:r>
    </w:p>
    <w:p w14:paraId="7E2EDABC" w14:textId="77777777" w:rsidR="00000000" w:rsidRDefault="00C01C43">
      <w:pPr>
        <w:jc w:val="both"/>
        <w:rPr>
          <w:rFonts w:eastAsia="Times New Roman"/>
        </w:rPr>
      </w:pPr>
      <w:r>
        <w:rPr>
          <w:rFonts w:ascii="Arial" w:eastAsia="Times New Roman" w:hAnsi="Arial" w:cs="Arial"/>
          <w:color w:val="000000"/>
          <w:sz w:val="20"/>
          <w:szCs w:val="20"/>
        </w:rPr>
        <w:t xml:space="preserve">As of the end of the period covered by this 10-K Report, we evaluated, </w:t>
      </w:r>
      <w:r>
        <w:rPr>
          <w:rFonts w:ascii="Arial" w:eastAsia="Times New Roman" w:hAnsi="Arial" w:cs="Arial"/>
          <w:color w:val="000000"/>
          <w:sz w:val="20"/>
          <w:szCs w:val="20"/>
        </w:rPr>
        <w:t>under the supervision and with the participation of our CEO and CFO, the effectiveness of the design and operation of our disclosure controls and procedures pursuant to Exchange Act Rule 13a-15(e). Based upon this evaluation, the CEO and CFO concluded that</w:t>
      </w:r>
      <w:r>
        <w:rPr>
          <w:rFonts w:ascii="Arial" w:eastAsia="Times New Roman" w:hAnsi="Arial" w:cs="Arial"/>
          <w:color w:val="000000"/>
          <w:sz w:val="20"/>
          <w:szCs w:val="20"/>
        </w:rPr>
        <w:t xml:space="preserve"> our disclosure controls and procedures were effective at a reasonable assurance level as of December 31, 2020.</w:t>
      </w:r>
    </w:p>
    <w:p w14:paraId="668A5EF2" w14:textId="77777777" w:rsidR="00000000" w:rsidRDefault="00C01C43">
      <w:pPr>
        <w:jc w:val="both"/>
        <w:rPr>
          <w:rFonts w:eastAsia="Times New Roman"/>
        </w:rPr>
      </w:pPr>
    </w:p>
    <w:p w14:paraId="65696578" w14:textId="77777777" w:rsidR="00000000" w:rsidRDefault="00C01C43">
      <w:pPr>
        <w:jc w:val="both"/>
        <w:rPr>
          <w:rFonts w:eastAsia="Times New Roman"/>
        </w:rPr>
      </w:pPr>
      <w:r>
        <w:rPr>
          <w:rFonts w:ascii="Arial" w:eastAsia="Times New Roman" w:hAnsi="Arial" w:cs="Arial"/>
          <w:b/>
          <w:bCs/>
          <w:color w:val="000000"/>
          <w:sz w:val="20"/>
          <w:szCs w:val="20"/>
        </w:rPr>
        <w:t>Management’s Report on Internal Control over Financial Reporting</w:t>
      </w:r>
    </w:p>
    <w:p w14:paraId="17669A97" w14:textId="77777777" w:rsidR="00000000" w:rsidRDefault="00C01C43">
      <w:pPr>
        <w:jc w:val="both"/>
        <w:divId w:val="728576780"/>
        <w:rPr>
          <w:rFonts w:eastAsia="Times New Roman"/>
        </w:rPr>
      </w:pPr>
      <w:r>
        <w:rPr>
          <w:rFonts w:ascii="Arial" w:eastAsia="Times New Roman" w:hAnsi="Arial" w:cs="Arial"/>
          <w:color w:val="000000"/>
          <w:sz w:val="20"/>
          <w:szCs w:val="20"/>
        </w:rPr>
        <w:t>Our management is responsible for establishing and maintaining adequate inter</w:t>
      </w:r>
      <w:r>
        <w:rPr>
          <w:rFonts w:ascii="Arial" w:eastAsia="Times New Roman" w:hAnsi="Arial" w:cs="Arial"/>
          <w:color w:val="000000"/>
          <w:sz w:val="20"/>
          <w:szCs w:val="20"/>
        </w:rPr>
        <w:t>nal control over financial reporting, as such term is defined in Exchange Act Rule 13a</w:t>
      </w:r>
      <w:r>
        <w:rPr>
          <w:rFonts w:ascii="Arial" w:eastAsia="Times New Roman" w:hAnsi="Arial" w:cs="Arial"/>
          <w:color w:val="000000"/>
          <w:sz w:val="20"/>
          <w:szCs w:val="20"/>
        </w:rPr>
        <w:noBreakHyphen/>
        <w:t>15(f). Our internal control over financial reporting is a process designed to provide reasonable assurance regarding the reliability of financial reporting and the prepa</w:t>
      </w:r>
      <w:r>
        <w:rPr>
          <w:rFonts w:ascii="Arial" w:eastAsia="Times New Roman" w:hAnsi="Arial" w:cs="Arial"/>
          <w:color w:val="000000"/>
          <w:sz w:val="20"/>
          <w:szCs w:val="20"/>
        </w:rPr>
        <w:t>ration of financial statements for external purposes in accordance with accounting principles generally accepted in the United States of America. Our internal control over financial reporting includes those policies and procedures that (i) pertain to the m</w:t>
      </w:r>
      <w:r>
        <w:rPr>
          <w:rFonts w:ascii="Arial" w:eastAsia="Times New Roman" w:hAnsi="Arial" w:cs="Arial"/>
          <w:color w:val="000000"/>
          <w:sz w:val="20"/>
          <w:szCs w:val="20"/>
        </w:rPr>
        <w:t xml:space="preserve">aintenance of records that, in reasonable detail, accurately and fairly reflect the transactions and dispositions of our assets; (ii) provide reasonable assurance that transactions are recorded as necessary to permit preparation of financial statements in </w:t>
      </w:r>
      <w:r>
        <w:rPr>
          <w:rFonts w:ascii="Arial" w:eastAsia="Times New Roman" w:hAnsi="Arial" w:cs="Arial"/>
          <w:color w:val="000000"/>
          <w:sz w:val="20"/>
          <w:szCs w:val="20"/>
        </w:rPr>
        <w:t>accordance with accounting principles generally accepted in the United States of America, and that receipts and expenditures are being made only in accordance with authorizations of management and our directors; and (iii) provide reasonable assurance regar</w:t>
      </w:r>
      <w:r>
        <w:rPr>
          <w:rFonts w:ascii="Arial" w:eastAsia="Times New Roman" w:hAnsi="Arial" w:cs="Arial"/>
          <w:color w:val="000000"/>
          <w:sz w:val="20"/>
          <w:szCs w:val="20"/>
        </w:rPr>
        <w:t>ding prevention or timely detection of the unauthorized acquisition, use or disposition of assets that could have a material effect on the financial statements.</w:t>
      </w:r>
    </w:p>
    <w:p w14:paraId="56455F35" w14:textId="77777777" w:rsidR="00000000" w:rsidRDefault="00C01C43">
      <w:pPr>
        <w:jc w:val="both"/>
        <w:divId w:val="1939436169"/>
        <w:rPr>
          <w:rFonts w:eastAsia="Times New Roman"/>
        </w:rPr>
      </w:pPr>
      <w:r>
        <w:rPr>
          <w:rFonts w:ascii="Arial" w:eastAsia="Times New Roman" w:hAnsi="Arial" w:cs="Arial"/>
          <w:color w:val="000000"/>
          <w:sz w:val="20"/>
          <w:szCs w:val="20"/>
        </w:rPr>
        <w:t xml:space="preserve">Because of its inherent limitations, internal control over financial reporting may not prevent </w:t>
      </w:r>
      <w:r>
        <w:rPr>
          <w:rFonts w:ascii="Arial" w:eastAsia="Times New Roman" w:hAnsi="Arial" w:cs="Arial"/>
          <w:color w:val="000000"/>
          <w:sz w:val="20"/>
          <w:szCs w:val="20"/>
        </w:rPr>
        <w:t>or detect misstatements. Also, projections of any evaluation of effectiveness to future periods are subject to the risk that controls may become inadequate because of changes in conditions, or that the degree of compliance with the policies or procedures m</w:t>
      </w:r>
      <w:r>
        <w:rPr>
          <w:rFonts w:ascii="Arial" w:eastAsia="Times New Roman" w:hAnsi="Arial" w:cs="Arial"/>
          <w:color w:val="000000"/>
          <w:sz w:val="20"/>
          <w:szCs w:val="20"/>
        </w:rPr>
        <w:t>ay deteriorate.</w:t>
      </w:r>
    </w:p>
    <w:p w14:paraId="3E62519D" w14:textId="77777777" w:rsidR="00000000" w:rsidRDefault="00C01C43">
      <w:pPr>
        <w:jc w:val="both"/>
        <w:divId w:val="244539245"/>
        <w:rPr>
          <w:rFonts w:eastAsia="Times New Roman"/>
        </w:rPr>
      </w:pPr>
      <w:r>
        <w:rPr>
          <w:rFonts w:ascii="Arial" w:eastAsia="Times New Roman" w:hAnsi="Arial" w:cs="Arial"/>
          <w:color w:val="000000"/>
          <w:sz w:val="20"/>
          <w:szCs w:val="20"/>
        </w:rPr>
        <w:t>Management has assessed the effectiveness of our internal control over financial reporting as of December 31, 2020 using the framework specified in Internal Control – Integrated Framework (2013) issued by the Committee of Sponsoring Organiz</w:t>
      </w:r>
      <w:r>
        <w:rPr>
          <w:rFonts w:ascii="Arial" w:eastAsia="Times New Roman" w:hAnsi="Arial" w:cs="Arial"/>
          <w:color w:val="000000"/>
          <w:sz w:val="20"/>
          <w:szCs w:val="20"/>
        </w:rPr>
        <w:t>ations of the Treadway Commission (COSO). Based on such assessment, management has concluded that our internal control over financial reporting was effective as of December 31, 2020.</w:t>
      </w:r>
    </w:p>
    <w:p w14:paraId="5CE1DA50" w14:textId="77777777" w:rsidR="00000000" w:rsidRDefault="00C01C43">
      <w:pPr>
        <w:jc w:val="both"/>
        <w:divId w:val="203252487"/>
        <w:rPr>
          <w:rFonts w:eastAsia="Times New Roman"/>
        </w:rPr>
      </w:pPr>
      <w:r>
        <w:rPr>
          <w:rFonts w:ascii="Arial" w:eastAsia="Times New Roman" w:hAnsi="Arial" w:cs="Arial"/>
          <w:color w:val="000000"/>
          <w:sz w:val="20"/>
          <w:szCs w:val="20"/>
        </w:rPr>
        <w:t xml:space="preserve">The effectiveness of our internal control over financial reporting as of </w:t>
      </w:r>
      <w:r>
        <w:rPr>
          <w:rFonts w:ascii="Arial" w:eastAsia="Times New Roman" w:hAnsi="Arial" w:cs="Arial"/>
          <w:color w:val="000000"/>
          <w:sz w:val="20"/>
          <w:szCs w:val="20"/>
        </w:rPr>
        <w:t>December 31, 2020 has been audited by PricewaterhouseCoopers LLP, an independent registered public accounting firm, as stated in their report appearing herein.</w:t>
      </w:r>
    </w:p>
    <w:p w14:paraId="5F810694" w14:textId="77777777" w:rsidR="00000000" w:rsidRDefault="00C01C43">
      <w:pPr>
        <w:jc w:val="both"/>
        <w:divId w:val="966590974"/>
        <w:rPr>
          <w:rFonts w:eastAsia="Times New Roman"/>
        </w:rPr>
      </w:pPr>
      <w:r>
        <w:rPr>
          <w:rFonts w:ascii="Arial" w:eastAsia="Times New Roman" w:hAnsi="Arial" w:cs="Arial"/>
          <w:b/>
          <w:bCs/>
          <w:color w:val="000000"/>
          <w:sz w:val="20"/>
          <w:szCs w:val="20"/>
        </w:rPr>
        <w:t>Changes in Internal Control over Financial Reporting</w:t>
      </w:r>
    </w:p>
    <w:p w14:paraId="73E63B99" w14:textId="77777777" w:rsidR="00000000" w:rsidRDefault="00C01C43">
      <w:pPr>
        <w:jc w:val="both"/>
        <w:divId w:val="2028291684"/>
        <w:rPr>
          <w:rFonts w:eastAsia="Times New Roman"/>
        </w:rPr>
      </w:pPr>
      <w:r>
        <w:rPr>
          <w:rFonts w:ascii="Arial" w:eastAsia="Times New Roman" w:hAnsi="Arial" w:cs="Arial"/>
          <w:color w:val="000000"/>
          <w:sz w:val="20"/>
          <w:szCs w:val="20"/>
        </w:rPr>
        <w:t>There were no changes in our internal control over financial reporting that materially affected, or are reasonably likely to materially affect, our internal control over financial reporting during the quarter ended December 31, 2020.</w:t>
      </w:r>
    </w:p>
    <w:p w14:paraId="628942A2" w14:textId="77777777" w:rsidR="00000000" w:rsidRDefault="00C01C43">
      <w:pPr>
        <w:jc w:val="center"/>
        <w:divId w:val="2040279805"/>
        <w:rPr>
          <w:rFonts w:eastAsia="Times New Roman"/>
        </w:rPr>
      </w:pPr>
      <w:r>
        <w:rPr>
          <w:rFonts w:ascii="Arial" w:eastAsia="Times New Roman" w:hAnsi="Arial" w:cs="Arial"/>
          <w:color w:val="000000"/>
          <w:sz w:val="16"/>
          <w:szCs w:val="16"/>
        </w:rPr>
        <w:t>39</w:t>
      </w:r>
    </w:p>
    <w:p w14:paraId="46CE29FA" w14:textId="77777777" w:rsidR="00000000" w:rsidRDefault="00C01C43">
      <w:pPr>
        <w:rPr>
          <w:rFonts w:eastAsia="Times New Roman"/>
        </w:rPr>
      </w:pPr>
      <w:r>
        <w:rPr>
          <w:rFonts w:eastAsia="Times New Roman"/>
        </w:rPr>
        <w:pict w14:anchorId="6C5C9500">
          <v:rect id="_x0000_i1068" style="width:0;height:1.5pt" o:hralign="center" o:hrstd="t" o:hr="t" fillcolor="#a0a0a0" stroked="f"/>
        </w:pict>
      </w:r>
    </w:p>
    <w:p w14:paraId="6E2D2F96" w14:textId="77777777" w:rsidR="00000000" w:rsidRDefault="00C01C43">
      <w:pPr>
        <w:divId w:val="254361726"/>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5687908A" w14:textId="77777777" w:rsidR="00000000" w:rsidRDefault="00C01C43">
      <w:pPr>
        <w:jc w:val="both"/>
        <w:rPr>
          <w:rFonts w:eastAsia="Times New Roman"/>
        </w:rPr>
      </w:pPr>
    </w:p>
    <w:p w14:paraId="29C0F280" w14:textId="77777777" w:rsidR="00000000" w:rsidRDefault="00C01C43">
      <w:pPr>
        <w:jc w:val="both"/>
        <w:divId w:val="1991053123"/>
        <w:rPr>
          <w:rFonts w:eastAsia="Times New Roman"/>
        </w:rPr>
      </w:pPr>
      <w:r>
        <w:rPr>
          <w:rFonts w:ascii="Arial" w:eastAsia="Times New Roman" w:hAnsi="Arial" w:cs="Arial"/>
          <w:b/>
          <w:bCs/>
          <w:color w:val="000000"/>
          <w:sz w:val="20"/>
          <w:szCs w:val="20"/>
        </w:rPr>
        <w:t>Effectiveness of Internal Control</w:t>
      </w:r>
    </w:p>
    <w:p w14:paraId="6A23CF58" w14:textId="77777777" w:rsidR="00000000" w:rsidRDefault="00C01C43">
      <w:pPr>
        <w:jc w:val="both"/>
        <w:rPr>
          <w:rFonts w:eastAsia="Times New Roman"/>
        </w:rPr>
      </w:pPr>
      <w:r>
        <w:rPr>
          <w:rFonts w:ascii="Arial" w:eastAsia="Times New Roman" w:hAnsi="Arial" w:cs="Arial"/>
          <w:color w:val="000000"/>
          <w:sz w:val="20"/>
          <w:szCs w:val="20"/>
        </w:rPr>
        <w:t>It should be noted that any system of controls, however well designed and operated, can provide only reasonable, and not absol</w:t>
      </w:r>
      <w:r>
        <w:rPr>
          <w:rFonts w:ascii="Arial" w:eastAsia="Times New Roman" w:hAnsi="Arial" w:cs="Arial"/>
          <w:color w:val="000000"/>
          <w:sz w:val="20"/>
          <w:szCs w:val="20"/>
        </w:rPr>
        <w:t>ute, assurance that the objectives of the system will be met. In addition, the design of any control system is based in part upon certain assumptions about the likelihood of future events. Because of these and other inherent limitations of control systems,</w:t>
      </w:r>
      <w:r>
        <w:rPr>
          <w:rFonts w:ascii="Arial" w:eastAsia="Times New Roman" w:hAnsi="Arial" w:cs="Arial"/>
          <w:color w:val="000000"/>
          <w:sz w:val="20"/>
          <w:szCs w:val="20"/>
        </w:rPr>
        <w:t xml:space="preserve"> there is only the reasonable assurance that our controls will succeed in achieving their goals under all potential future conditions.</w:t>
      </w:r>
    </w:p>
    <w:p w14:paraId="7AD661AB" w14:textId="77777777" w:rsidR="00000000" w:rsidRDefault="00C01C43">
      <w:pPr>
        <w:jc w:val="both"/>
        <w:divId w:val="248393900"/>
        <w:rPr>
          <w:rFonts w:eastAsia="Times New Roman"/>
        </w:rPr>
      </w:pPr>
    </w:p>
    <w:p w14:paraId="0D6DE33F" w14:textId="77777777" w:rsidR="00000000" w:rsidRDefault="00C01C43">
      <w:pPr>
        <w:jc w:val="both"/>
        <w:divId w:val="1516112878"/>
        <w:rPr>
          <w:rFonts w:eastAsia="Times New Roman"/>
        </w:rPr>
      </w:pPr>
      <w:r>
        <w:rPr>
          <w:rFonts w:ascii="Arial" w:eastAsia="Times New Roman" w:hAnsi="Arial" w:cs="Arial"/>
          <w:b/>
          <w:bCs/>
          <w:color w:val="000000"/>
        </w:rPr>
        <w:t>Item 9B. Other Information</w:t>
      </w:r>
    </w:p>
    <w:p w14:paraId="4BB3A0C2" w14:textId="77777777" w:rsidR="00000000" w:rsidRDefault="00C01C43">
      <w:pPr>
        <w:jc w:val="both"/>
        <w:divId w:val="862985399"/>
        <w:rPr>
          <w:rFonts w:eastAsia="Times New Roman"/>
        </w:rPr>
      </w:pPr>
      <w:r>
        <w:rPr>
          <w:rFonts w:ascii="Arial" w:eastAsia="Times New Roman" w:hAnsi="Arial" w:cs="Arial"/>
          <w:color w:val="000000"/>
          <w:sz w:val="20"/>
          <w:szCs w:val="20"/>
        </w:rPr>
        <w:t>None.</w:t>
      </w:r>
    </w:p>
    <w:p w14:paraId="452B0725" w14:textId="77777777" w:rsidR="00000000" w:rsidRDefault="00C01C43">
      <w:pPr>
        <w:jc w:val="center"/>
        <w:divId w:val="665010735"/>
        <w:rPr>
          <w:rFonts w:eastAsia="Times New Roman"/>
        </w:rPr>
      </w:pPr>
      <w:r>
        <w:rPr>
          <w:rFonts w:ascii="Arial" w:eastAsia="Times New Roman" w:hAnsi="Arial" w:cs="Arial"/>
          <w:color w:val="000000"/>
          <w:sz w:val="16"/>
          <w:szCs w:val="16"/>
        </w:rPr>
        <w:t>40</w:t>
      </w:r>
    </w:p>
    <w:p w14:paraId="1EBDFA06" w14:textId="77777777" w:rsidR="00000000" w:rsidRDefault="00C01C43">
      <w:pPr>
        <w:rPr>
          <w:rFonts w:eastAsia="Times New Roman"/>
        </w:rPr>
      </w:pPr>
      <w:r>
        <w:rPr>
          <w:rFonts w:eastAsia="Times New Roman"/>
        </w:rPr>
        <w:pict w14:anchorId="36CD093A">
          <v:rect id="_x0000_i1069" style="width:0;height:1.5pt" o:hralign="center" o:hrstd="t" o:hr="t" fillcolor="#a0a0a0" stroked="f"/>
        </w:pict>
      </w:r>
    </w:p>
    <w:p w14:paraId="792D7B03" w14:textId="77777777" w:rsidR="00000000" w:rsidRDefault="00C01C43">
      <w:pPr>
        <w:divId w:val="1101947567"/>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60D52331" w14:textId="77777777" w:rsidR="00000000" w:rsidRDefault="00C01C43">
      <w:pPr>
        <w:divId w:val="1871604640"/>
        <w:rPr>
          <w:rFonts w:eastAsia="Times New Roman"/>
        </w:rPr>
      </w:pPr>
      <w:r>
        <w:rPr>
          <w:rFonts w:ascii="Arial" w:eastAsia="Times New Roman" w:hAnsi="Arial" w:cs="Arial"/>
          <w:b/>
          <w:bCs/>
          <w:color w:val="000000"/>
        </w:rPr>
        <w:t>PART III</w:t>
      </w:r>
    </w:p>
    <w:p w14:paraId="6BB3E770" w14:textId="77777777" w:rsidR="00000000" w:rsidRDefault="00C01C43">
      <w:pPr>
        <w:divId w:val="265814061"/>
        <w:rPr>
          <w:rFonts w:eastAsia="Times New Roman"/>
        </w:rPr>
      </w:pPr>
    </w:p>
    <w:p w14:paraId="6FC2AF51" w14:textId="77777777" w:rsidR="00000000" w:rsidRDefault="00C01C43">
      <w:pPr>
        <w:jc w:val="both"/>
        <w:divId w:val="1180656315"/>
        <w:rPr>
          <w:rFonts w:eastAsia="Times New Roman"/>
        </w:rPr>
      </w:pPr>
      <w:r>
        <w:rPr>
          <w:rFonts w:ascii="Arial" w:eastAsia="Times New Roman" w:hAnsi="Arial" w:cs="Arial"/>
          <w:b/>
          <w:bCs/>
          <w:color w:val="000000"/>
        </w:rPr>
        <w:t>Item 10. Directors, Executive Officers and Corporate Governance</w:t>
      </w:r>
    </w:p>
    <w:p w14:paraId="1ACCAB8B" w14:textId="77777777" w:rsidR="00000000" w:rsidRDefault="00C01C43">
      <w:pPr>
        <w:jc w:val="both"/>
        <w:divId w:val="1471366969"/>
        <w:rPr>
          <w:rFonts w:eastAsia="Times New Roman"/>
        </w:rPr>
      </w:pPr>
      <w:r>
        <w:rPr>
          <w:rFonts w:ascii="Arial" w:eastAsia="Times New Roman" w:hAnsi="Arial" w:cs="Arial"/>
          <w:color w:val="000000"/>
          <w:sz w:val="20"/>
          <w:szCs w:val="20"/>
        </w:rPr>
        <w:t>We have adopted a Code of Conduct that applies to all of our employees, officers (including our principal executive, financial and accounting officers) and directors. The Code of Conduct is located on our website at http://www.wfscorp.com under “Investor R</w:t>
      </w:r>
      <w:r>
        <w:rPr>
          <w:rFonts w:ascii="Arial" w:eastAsia="Times New Roman" w:hAnsi="Arial" w:cs="Arial"/>
          <w:color w:val="000000"/>
          <w:sz w:val="20"/>
          <w:szCs w:val="20"/>
        </w:rPr>
        <w:t>elations – Corporate Governance – Code of Conduct.” We intend to disclose any amendments to our Code of Conduct or waivers with respect to our Code of Conduct granted to our principal executive, financial and accounting officers on our website.</w:t>
      </w:r>
    </w:p>
    <w:p w14:paraId="38DDA360" w14:textId="77777777" w:rsidR="00000000" w:rsidRDefault="00C01C43">
      <w:pPr>
        <w:jc w:val="both"/>
        <w:rPr>
          <w:rFonts w:eastAsia="Times New Roman"/>
        </w:rPr>
      </w:pPr>
      <w:r>
        <w:rPr>
          <w:rFonts w:ascii="Arial" w:eastAsia="Times New Roman" w:hAnsi="Arial" w:cs="Arial"/>
          <w:color w:val="000000"/>
          <w:sz w:val="20"/>
          <w:szCs w:val="20"/>
        </w:rPr>
        <w:t>The remaini</w:t>
      </w:r>
      <w:r>
        <w:rPr>
          <w:rFonts w:ascii="Arial" w:eastAsia="Times New Roman" w:hAnsi="Arial" w:cs="Arial"/>
          <w:color w:val="000000"/>
          <w:sz w:val="20"/>
          <w:szCs w:val="20"/>
        </w:rPr>
        <w:t>ng information regarding our directors, executive officers and corporate governance is incorporated herein by reference from our Definitive Proxy Statement for the 2021 Annual Meeting of Shareholders (“2021 Proxy”) to be filed pursuant to Regulation 14A wi</w:t>
      </w:r>
      <w:r>
        <w:rPr>
          <w:rFonts w:ascii="Arial" w:eastAsia="Times New Roman" w:hAnsi="Arial" w:cs="Arial"/>
          <w:color w:val="000000"/>
          <w:sz w:val="20"/>
          <w:szCs w:val="20"/>
        </w:rPr>
        <w:t>thin 120 days after the close of the fiscal year ended December 31, 2020.</w:t>
      </w:r>
    </w:p>
    <w:p w14:paraId="29D17657" w14:textId="77777777" w:rsidR="00000000" w:rsidRDefault="00C01C43">
      <w:pPr>
        <w:jc w:val="both"/>
        <w:rPr>
          <w:rFonts w:eastAsia="Times New Roman"/>
        </w:rPr>
      </w:pPr>
    </w:p>
    <w:p w14:paraId="63B5A0A0" w14:textId="77777777" w:rsidR="00000000" w:rsidRDefault="00C01C43">
      <w:pPr>
        <w:jc w:val="both"/>
        <w:rPr>
          <w:rFonts w:eastAsia="Times New Roman"/>
        </w:rPr>
      </w:pPr>
      <w:r>
        <w:rPr>
          <w:rFonts w:ascii="Arial" w:eastAsia="Times New Roman" w:hAnsi="Arial" w:cs="Arial"/>
          <w:b/>
          <w:bCs/>
          <w:color w:val="000000"/>
        </w:rPr>
        <w:t>Item 11. Executive</w:t>
      </w:r>
      <w:r>
        <w:rPr>
          <w:rFonts w:ascii="Arial" w:eastAsia="Times New Roman" w:hAnsi="Arial" w:cs="Arial"/>
          <w:color w:val="000000"/>
        </w:rPr>
        <w:t xml:space="preserve"> </w:t>
      </w:r>
      <w:r>
        <w:rPr>
          <w:rFonts w:ascii="Arial" w:eastAsia="Times New Roman" w:hAnsi="Arial" w:cs="Arial"/>
          <w:b/>
          <w:bCs/>
          <w:color w:val="000000"/>
        </w:rPr>
        <w:t>Compensation</w:t>
      </w:r>
    </w:p>
    <w:p w14:paraId="49DFFCBB" w14:textId="77777777" w:rsidR="00000000" w:rsidRDefault="00C01C43">
      <w:pPr>
        <w:jc w:val="both"/>
        <w:rPr>
          <w:rFonts w:eastAsia="Times New Roman"/>
        </w:rPr>
      </w:pPr>
    </w:p>
    <w:p w14:paraId="30EF6D46" w14:textId="77777777" w:rsidR="00000000" w:rsidRDefault="00C01C43">
      <w:pPr>
        <w:jc w:val="both"/>
        <w:rPr>
          <w:rFonts w:eastAsia="Times New Roman"/>
        </w:rPr>
      </w:pPr>
      <w:r>
        <w:rPr>
          <w:rFonts w:ascii="Arial" w:eastAsia="Times New Roman" w:hAnsi="Arial" w:cs="Arial"/>
          <w:color w:val="000000"/>
          <w:sz w:val="20"/>
          <w:szCs w:val="20"/>
        </w:rPr>
        <w:t>Information on executive compensation is incorporated herein by reference from our 2021 Proxy to be filed pursuant to Regulation 14A within 120 days after the close of the fiscal year ended December 31, 2020.</w:t>
      </w:r>
    </w:p>
    <w:p w14:paraId="6C3FDA03" w14:textId="77777777" w:rsidR="00000000" w:rsidRDefault="00C01C43">
      <w:pPr>
        <w:jc w:val="both"/>
        <w:rPr>
          <w:rFonts w:eastAsia="Times New Roman"/>
        </w:rPr>
      </w:pPr>
    </w:p>
    <w:p w14:paraId="689B9F25" w14:textId="77777777" w:rsidR="00000000" w:rsidRDefault="00C01C43">
      <w:pPr>
        <w:jc w:val="both"/>
        <w:rPr>
          <w:rFonts w:eastAsia="Times New Roman"/>
        </w:rPr>
      </w:pPr>
      <w:r>
        <w:rPr>
          <w:rFonts w:ascii="Arial" w:eastAsia="Times New Roman" w:hAnsi="Arial" w:cs="Arial"/>
          <w:b/>
          <w:bCs/>
          <w:color w:val="000000"/>
        </w:rPr>
        <w:t>Item 12. Security</w:t>
      </w:r>
      <w:r>
        <w:rPr>
          <w:rFonts w:ascii="Arial" w:eastAsia="Times New Roman" w:hAnsi="Arial" w:cs="Arial"/>
          <w:color w:val="000000"/>
        </w:rPr>
        <w:t xml:space="preserve"> </w:t>
      </w:r>
      <w:r>
        <w:rPr>
          <w:rFonts w:ascii="Arial" w:eastAsia="Times New Roman" w:hAnsi="Arial" w:cs="Arial"/>
          <w:b/>
          <w:bCs/>
          <w:color w:val="000000"/>
        </w:rPr>
        <w:t>Ownership of Certain Benefi</w:t>
      </w:r>
      <w:r>
        <w:rPr>
          <w:rFonts w:ascii="Arial" w:eastAsia="Times New Roman" w:hAnsi="Arial" w:cs="Arial"/>
          <w:b/>
          <w:bCs/>
          <w:color w:val="000000"/>
        </w:rPr>
        <w:t>cial Owners and Management and Related Shareholder Matters</w:t>
      </w:r>
    </w:p>
    <w:p w14:paraId="35354A99" w14:textId="77777777" w:rsidR="00000000" w:rsidRDefault="00C01C43">
      <w:pPr>
        <w:jc w:val="both"/>
        <w:rPr>
          <w:rFonts w:eastAsia="Times New Roman"/>
        </w:rPr>
      </w:pPr>
    </w:p>
    <w:p w14:paraId="587BA898" w14:textId="77777777" w:rsidR="00000000" w:rsidRDefault="00C01C43">
      <w:pPr>
        <w:jc w:val="both"/>
        <w:rPr>
          <w:rFonts w:eastAsia="Times New Roman"/>
        </w:rPr>
      </w:pPr>
      <w:r>
        <w:rPr>
          <w:rFonts w:ascii="Arial" w:eastAsia="Times New Roman" w:hAnsi="Arial" w:cs="Arial"/>
          <w:color w:val="000000"/>
          <w:sz w:val="20"/>
          <w:szCs w:val="20"/>
        </w:rPr>
        <w:t>Information on security ownership of certain beneficial owners and management and related shareholder matters is incorporated herein by reference from our 2021 Proxy to be filed pursuant to Regul</w:t>
      </w:r>
      <w:r>
        <w:rPr>
          <w:rFonts w:ascii="Arial" w:eastAsia="Times New Roman" w:hAnsi="Arial" w:cs="Arial"/>
          <w:color w:val="000000"/>
          <w:sz w:val="20"/>
          <w:szCs w:val="20"/>
        </w:rPr>
        <w:t>ation 14A within 120 days after the close of the fiscal year ended December 31, 2020.</w:t>
      </w:r>
    </w:p>
    <w:p w14:paraId="1AFFC755" w14:textId="77777777" w:rsidR="00000000" w:rsidRDefault="00C01C43">
      <w:pPr>
        <w:jc w:val="both"/>
        <w:rPr>
          <w:rFonts w:eastAsia="Times New Roman"/>
        </w:rPr>
      </w:pPr>
    </w:p>
    <w:p w14:paraId="618EC1DF" w14:textId="77777777" w:rsidR="00000000" w:rsidRDefault="00C01C43">
      <w:pPr>
        <w:jc w:val="both"/>
        <w:rPr>
          <w:rFonts w:eastAsia="Times New Roman"/>
        </w:rPr>
      </w:pPr>
      <w:r>
        <w:rPr>
          <w:rFonts w:ascii="Arial" w:eastAsia="Times New Roman" w:hAnsi="Arial" w:cs="Arial"/>
          <w:b/>
          <w:bCs/>
          <w:color w:val="000000"/>
        </w:rPr>
        <w:t>Item 13. Certain</w:t>
      </w:r>
      <w:r>
        <w:rPr>
          <w:rFonts w:ascii="Arial" w:eastAsia="Times New Roman" w:hAnsi="Arial" w:cs="Arial"/>
          <w:color w:val="000000"/>
        </w:rPr>
        <w:t xml:space="preserve"> </w:t>
      </w:r>
      <w:r>
        <w:rPr>
          <w:rFonts w:ascii="Arial" w:eastAsia="Times New Roman" w:hAnsi="Arial" w:cs="Arial"/>
          <w:b/>
          <w:bCs/>
          <w:color w:val="000000"/>
        </w:rPr>
        <w:t>Relationships and Related Transactions, and Director Independence</w:t>
      </w:r>
    </w:p>
    <w:p w14:paraId="3CB0787B" w14:textId="77777777" w:rsidR="00000000" w:rsidRDefault="00C01C43">
      <w:pPr>
        <w:jc w:val="both"/>
        <w:rPr>
          <w:rFonts w:eastAsia="Times New Roman"/>
        </w:rPr>
      </w:pPr>
    </w:p>
    <w:p w14:paraId="590AD2CF" w14:textId="77777777" w:rsidR="00000000" w:rsidRDefault="00C01C43">
      <w:pPr>
        <w:jc w:val="both"/>
        <w:rPr>
          <w:rFonts w:eastAsia="Times New Roman"/>
        </w:rPr>
      </w:pPr>
      <w:r>
        <w:rPr>
          <w:rFonts w:ascii="Arial" w:eastAsia="Times New Roman" w:hAnsi="Arial" w:cs="Arial"/>
          <w:color w:val="000000"/>
          <w:sz w:val="20"/>
          <w:szCs w:val="20"/>
        </w:rPr>
        <w:t>Information on certain relationships and related transactions and director independ</w:t>
      </w:r>
      <w:r>
        <w:rPr>
          <w:rFonts w:ascii="Arial" w:eastAsia="Times New Roman" w:hAnsi="Arial" w:cs="Arial"/>
          <w:color w:val="000000"/>
          <w:sz w:val="20"/>
          <w:szCs w:val="20"/>
        </w:rPr>
        <w:t>ence is incorporated herein by reference from our 2021 Proxy to be filed pursuant to Regulation 14A within 120 days after the close of the fiscal year ended December 31, 2020.</w:t>
      </w:r>
    </w:p>
    <w:p w14:paraId="0F463E05" w14:textId="77777777" w:rsidR="00000000" w:rsidRDefault="00C01C43">
      <w:pPr>
        <w:jc w:val="both"/>
        <w:rPr>
          <w:rFonts w:eastAsia="Times New Roman"/>
        </w:rPr>
      </w:pPr>
    </w:p>
    <w:p w14:paraId="14C61219" w14:textId="77777777" w:rsidR="00000000" w:rsidRDefault="00C01C43">
      <w:pPr>
        <w:jc w:val="both"/>
        <w:rPr>
          <w:rFonts w:eastAsia="Times New Roman"/>
        </w:rPr>
      </w:pPr>
      <w:r>
        <w:rPr>
          <w:rFonts w:ascii="Arial" w:eastAsia="Times New Roman" w:hAnsi="Arial" w:cs="Arial"/>
          <w:b/>
          <w:bCs/>
          <w:color w:val="000000"/>
        </w:rPr>
        <w:t>Item 14. Principal</w:t>
      </w:r>
      <w:r>
        <w:rPr>
          <w:rFonts w:ascii="Arial" w:eastAsia="Times New Roman" w:hAnsi="Arial" w:cs="Arial"/>
          <w:color w:val="000000"/>
        </w:rPr>
        <w:t xml:space="preserve"> </w:t>
      </w:r>
      <w:r>
        <w:rPr>
          <w:rFonts w:ascii="Arial" w:eastAsia="Times New Roman" w:hAnsi="Arial" w:cs="Arial"/>
          <w:b/>
          <w:bCs/>
          <w:color w:val="000000"/>
        </w:rPr>
        <w:t>Accounting Fees and Services</w:t>
      </w:r>
    </w:p>
    <w:p w14:paraId="0DB0F91D" w14:textId="77777777" w:rsidR="00000000" w:rsidRDefault="00C01C43">
      <w:pPr>
        <w:jc w:val="both"/>
        <w:rPr>
          <w:rFonts w:eastAsia="Times New Roman"/>
        </w:rPr>
      </w:pPr>
    </w:p>
    <w:p w14:paraId="59519192" w14:textId="77777777" w:rsidR="00000000" w:rsidRDefault="00C01C43">
      <w:pPr>
        <w:jc w:val="both"/>
        <w:rPr>
          <w:rFonts w:eastAsia="Times New Roman"/>
        </w:rPr>
      </w:pPr>
      <w:r>
        <w:rPr>
          <w:rFonts w:ascii="Arial" w:eastAsia="Times New Roman" w:hAnsi="Arial" w:cs="Arial"/>
          <w:color w:val="000000"/>
          <w:sz w:val="20"/>
          <w:szCs w:val="20"/>
        </w:rPr>
        <w:t>Information on principal acc</w:t>
      </w:r>
      <w:r>
        <w:rPr>
          <w:rFonts w:ascii="Arial" w:eastAsia="Times New Roman" w:hAnsi="Arial" w:cs="Arial"/>
          <w:color w:val="000000"/>
          <w:sz w:val="20"/>
          <w:szCs w:val="20"/>
        </w:rPr>
        <w:t>ounting fees and services is incorporated herein by reference from our 2021 Proxy to be filed pursuant to Regulation 14A within 120 days after the close of the fiscal year ended December 31, 2020.</w:t>
      </w:r>
    </w:p>
    <w:p w14:paraId="294A652F" w14:textId="77777777" w:rsidR="00000000" w:rsidRDefault="00C01C43">
      <w:pPr>
        <w:jc w:val="center"/>
        <w:divId w:val="1827621727"/>
        <w:rPr>
          <w:rFonts w:eastAsia="Times New Roman"/>
        </w:rPr>
      </w:pPr>
      <w:r>
        <w:rPr>
          <w:rFonts w:ascii="Arial" w:eastAsia="Times New Roman" w:hAnsi="Arial" w:cs="Arial"/>
          <w:color w:val="000000"/>
          <w:sz w:val="16"/>
          <w:szCs w:val="16"/>
        </w:rPr>
        <w:t>41</w:t>
      </w:r>
    </w:p>
    <w:p w14:paraId="26187911" w14:textId="77777777" w:rsidR="00000000" w:rsidRDefault="00C01C43">
      <w:pPr>
        <w:rPr>
          <w:rFonts w:eastAsia="Times New Roman"/>
        </w:rPr>
      </w:pPr>
      <w:r>
        <w:rPr>
          <w:rFonts w:eastAsia="Times New Roman"/>
        </w:rPr>
        <w:pict w14:anchorId="72E7C305">
          <v:rect id="_x0000_i1070" style="width:0;height:1.5pt" o:hralign="center" o:hrstd="t" o:hr="t" fillcolor="#a0a0a0" stroked="f"/>
        </w:pict>
      </w:r>
    </w:p>
    <w:p w14:paraId="13E95579" w14:textId="77777777" w:rsidR="00000000" w:rsidRDefault="00C01C43">
      <w:pPr>
        <w:divId w:val="1773934689"/>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980C3B1" w14:textId="77777777" w:rsidR="00000000" w:rsidRDefault="00C01C43">
      <w:pPr>
        <w:jc w:val="both"/>
        <w:rPr>
          <w:rFonts w:eastAsia="Times New Roman"/>
        </w:rPr>
      </w:pPr>
      <w:r>
        <w:rPr>
          <w:rFonts w:ascii="Arial" w:eastAsia="Times New Roman" w:hAnsi="Arial" w:cs="Arial"/>
          <w:b/>
          <w:bCs/>
          <w:color w:val="000000"/>
        </w:rPr>
        <w:t>PART IV</w:t>
      </w:r>
    </w:p>
    <w:p w14:paraId="5BE05B1B" w14:textId="77777777" w:rsidR="00000000" w:rsidRDefault="00C01C43">
      <w:pPr>
        <w:jc w:val="both"/>
        <w:rPr>
          <w:rFonts w:eastAsia="Times New Roman"/>
        </w:rPr>
      </w:pPr>
    </w:p>
    <w:p w14:paraId="4913F3C0" w14:textId="77777777" w:rsidR="00000000" w:rsidRDefault="00C01C43">
      <w:pPr>
        <w:jc w:val="both"/>
        <w:rPr>
          <w:rFonts w:eastAsia="Times New Roman"/>
        </w:rPr>
      </w:pPr>
      <w:r>
        <w:rPr>
          <w:rFonts w:ascii="Arial" w:eastAsia="Times New Roman" w:hAnsi="Arial" w:cs="Arial"/>
          <w:b/>
          <w:bCs/>
          <w:color w:val="000000"/>
        </w:rPr>
        <w:t>Item 15. Exhibits, Financial Statement Schedules</w:t>
      </w:r>
    </w:p>
    <w:tbl>
      <w:tblPr>
        <w:tblW w:w="4992" w:type="pct"/>
        <w:tblCellMar>
          <w:top w:w="15" w:type="dxa"/>
          <w:left w:w="15" w:type="dxa"/>
          <w:bottom w:w="15" w:type="dxa"/>
          <w:right w:w="15" w:type="dxa"/>
        </w:tblCellMar>
        <w:tblLook w:val="04A0" w:firstRow="1" w:lastRow="0" w:firstColumn="1" w:lastColumn="0" w:noHBand="0" w:noVBand="1"/>
      </w:tblPr>
      <w:tblGrid>
        <w:gridCol w:w="71"/>
        <w:gridCol w:w="509"/>
        <w:gridCol w:w="36"/>
        <w:gridCol w:w="73"/>
        <w:gridCol w:w="240"/>
        <w:gridCol w:w="40"/>
        <w:gridCol w:w="68"/>
        <w:gridCol w:w="6733"/>
        <w:gridCol w:w="38"/>
        <w:gridCol w:w="69"/>
        <w:gridCol w:w="379"/>
        <w:gridCol w:w="37"/>
      </w:tblGrid>
      <w:tr w:rsidR="00000000" w14:paraId="45F259EA" w14:textId="77777777">
        <w:trPr>
          <w:divId w:val="708266109"/>
        </w:trPr>
        <w:tc>
          <w:tcPr>
            <w:tcW w:w="50" w:type="pct"/>
            <w:vAlign w:val="center"/>
            <w:hideMark/>
          </w:tcPr>
          <w:p w14:paraId="1D7AD788" w14:textId="77777777" w:rsidR="00000000" w:rsidRDefault="00C01C43">
            <w:pPr>
              <w:jc w:val="both"/>
              <w:rPr>
                <w:rFonts w:eastAsia="Times New Roman"/>
              </w:rPr>
            </w:pPr>
          </w:p>
        </w:tc>
        <w:tc>
          <w:tcPr>
            <w:tcW w:w="318" w:type="pct"/>
            <w:vAlign w:val="center"/>
            <w:hideMark/>
          </w:tcPr>
          <w:p w14:paraId="0CAB3A86" w14:textId="77777777" w:rsidR="00000000" w:rsidRDefault="00C01C43">
            <w:pPr>
              <w:rPr>
                <w:rFonts w:eastAsia="Times New Roman"/>
                <w:sz w:val="20"/>
                <w:szCs w:val="20"/>
              </w:rPr>
            </w:pPr>
          </w:p>
        </w:tc>
        <w:tc>
          <w:tcPr>
            <w:tcW w:w="5" w:type="pct"/>
            <w:vAlign w:val="center"/>
            <w:hideMark/>
          </w:tcPr>
          <w:p w14:paraId="1FF0F069" w14:textId="77777777" w:rsidR="00000000" w:rsidRDefault="00C01C43">
            <w:pPr>
              <w:rPr>
                <w:rFonts w:eastAsia="Times New Roman"/>
                <w:sz w:val="20"/>
                <w:szCs w:val="20"/>
              </w:rPr>
            </w:pPr>
          </w:p>
        </w:tc>
        <w:tc>
          <w:tcPr>
            <w:tcW w:w="50" w:type="pct"/>
            <w:vAlign w:val="center"/>
            <w:hideMark/>
          </w:tcPr>
          <w:p w14:paraId="7943BBCA" w14:textId="77777777" w:rsidR="00000000" w:rsidRDefault="00C01C43">
            <w:pPr>
              <w:rPr>
                <w:rFonts w:eastAsia="Times New Roman"/>
                <w:sz w:val="20"/>
                <w:szCs w:val="20"/>
              </w:rPr>
            </w:pPr>
          </w:p>
        </w:tc>
        <w:tc>
          <w:tcPr>
            <w:tcW w:w="157" w:type="pct"/>
            <w:vAlign w:val="center"/>
            <w:hideMark/>
          </w:tcPr>
          <w:p w14:paraId="368837CF" w14:textId="77777777" w:rsidR="00000000" w:rsidRDefault="00C01C43">
            <w:pPr>
              <w:rPr>
                <w:rFonts w:eastAsia="Times New Roman"/>
                <w:sz w:val="20"/>
                <w:szCs w:val="20"/>
              </w:rPr>
            </w:pPr>
          </w:p>
        </w:tc>
        <w:tc>
          <w:tcPr>
            <w:tcW w:w="5" w:type="pct"/>
            <w:vAlign w:val="center"/>
            <w:hideMark/>
          </w:tcPr>
          <w:p w14:paraId="22D1CAC1" w14:textId="77777777" w:rsidR="00000000" w:rsidRDefault="00C01C43">
            <w:pPr>
              <w:rPr>
                <w:rFonts w:eastAsia="Times New Roman"/>
                <w:sz w:val="20"/>
                <w:szCs w:val="20"/>
              </w:rPr>
            </w:pPr>
          </w:p>
        </w:tc>
        <w:tc>
          <w:tcPr>
            <w:tcW w:w="50" w:type="pct"/>
            <w:vAlign w:val="center"/>
            <w:hideMark/>
          </w:tcPr>
          <w:p w14:paraId="655C1DAF" w14:textId="77777777" w:rsidR="00000000" w:rsidRDefault="00C01C43">
            <w:pPr>
              <w:rPr>
                <w:rFonts w:eastAsia="Times New Roman"/>
                <w:sz w:val="20"/>
                <w:szCs w:val="20"/>
              </w:rPr>
            </w:pPr>
          </w:p>
        </w:tc>
        <w:tc>
          <w:tcPr>
            <w:tcW w:w="4066" w:type="pct"/>
            <w:vAlign w:val="center"/>
            <w:hideMark/>
          </w:tcPr>
          <w:p w14:paraId="19EBBF08" w14:textId="77777777" w:rsidR="00000000" w:rsidRDefault="00C01C43">
            <w:pPr>
              <w:rPr>
                <w:rFonts w:eastAsia="Times New Roman"/>
                <w:sz w:val="20"/>
                <w:szCs w:val="20"/>
              </w:rPr>
            </w:pPr>
          </w:p>
        </w:tc>
        <w:tc>
          <w:tcPr>
            <w:tcW w:w="5" w:type="pct"/>
            <w:vAlign w:val="center"/>
            <w:hideMark/>
          </w:tcPr>
          <w:p w14:paraId="040C646F" w14:textId="77777777" w:rsidR="00000000" w:rsidRDefault="00C01C43">
            <w:pPr>
              <w:rPr>
                <w:rFonts w:eastAsia="Times New Roman"/>
                <w:sz w:val="20"/>
                <w:szCs w:val="20"/>
              </w:rPr>
            </w:pPr>
          </w:p>
        </w:tc>
        <w:tc>
          <w:tcPr>
            <w:tcW w:w="50" w:type="pct"/>
            <w:vAlign w:val="center"/>
            <w:hideMark/>
          </w:tcPr>
          <w:p w14:paraId="6A75B796" w14:textId="77777777" w:rsidR="00000000" w:rsidRDefault="00C01C43">
            <w:pPr>
              <w:rPr>
                <w:rFonts w:eastAsia="Times New Roman"/>
                <w:sz w:val="20"/>
                <w:szCs w:val="20"/>
              </w:rPr>
            </w:pPr>
          </w:p>
        </w:tc>
        <w:tc>
          <w:tcPr>
            <w:tcW w:w="237" w:type="pct"/>
            <w:vAlign w:val="center"/>
            <w:hideMark/>
          </w:tcPr>
          <w:p w14:paraId="4110D759" w14:textId="77777777" w:rsidR="00000000" w:rsidRDefault="00C01C43">
            <w:pPr>
              <w:rPr>
                <w:rFonts w:eastAsia="Times New Roman"/>
                <w:sz w:val="20"/>
                <w:szCs w:val="20"/>
              </w:rPr>
            </w:pPr>
          </w:p>
        </w:tc>
        <w:tc>
          <w:tcPr>
            <w:tcW w:w="5" w:type="pct"/>
            <w:vAlign w:val="center"/>
            <w:hideMark/>
          </w:tcPr>
          <w:p w14:paraId="3E2253B7" w14:textId="77777777" w:rsidR="00000000" w:rsidRDefault="00C01C43">
            <w:pPr>
              <w:rPr>
                <w:rFonts w:eastAsia="Times New Roman"/>
                <w:sz w:val="20"/>
                <w:szCs w:val="20"/>
              </w:rPr>
            </w:pPr>
          </w:p>
        </w:tc>
      </w:tr>
      <w:tr w:rsidR="00000000" w14:paraId="35B249D6" w14:textId="77777777">
        <w:trPr>
          <w:divId w:val="708266109"/>
        </w:trPr>
        <w:tc>
          <w:tcPr>
            <w:tcW w:w="0" w:type="auto"/>
            <w:gridSpan w:val="3"/>
            <w:tcMar>
              <w:top w:w="30" w:type="dxa"/>
              <w:left w:w="20" w:type="dxa"/>
              <w:bottom w:w="30" w:type="dxa"/>
              <w:right w:w="20" w:type="dxa"/>
            </w:tcMar>
            <w:hideMark/>
          </w:tcPr>
          <w:p w14:paraId="7D7035F4" w14:textId="77777777" w:rsidR="00000000" w:rsidRDefault="00C01C43">
            <w:pPr>
              <w:rPr>
                <w:rFonts w:eastAsia="Times New Roman"/>
              </w:rPr>
            </w:pPr>
            <w:r>
              <w:rPr>
                <w:rFonts w:ascii="Arial" w:eastAsia="Times New Roman" w:hAnsi="Arial" w:cs="Arial"/>
                <w:color w:val="000000"/>
                <w:sz w:val="20"/>
                <w:szCs w:val="20"/>
              </w:rPr>
              <w:t>(a)(1)</w:t>
            </w:r>
          </w:p>
        </w:tc>
        <w:tc>
          <w:tcPr>
            <w:tcW w:w="0" w:type="auto"/>
            <w:gridSpan w:val="9"/>
            <w:tcMar>
              <w:top w:w="30" w:type="dxa"/>
              <w:left w:w="20" w:type="dxa"/>
              <w:bottom w:w="30" w:type="dxa"/>
              <w:right w:w="20" w:type="dxa"/>
            </w:tcMar>
            <w:vAlign w:val="bottom"/>
            <w:hideMark/>
          </w:tcPr>
          <w:p w14:paraId="54D2CA93" w14:textId="77777777" w:rsidR="00000000" w:rsidRDefault="00C01C43">
            <w:pPr>
              <w:divId w:val="158809755"/>
              <w:rPr>
                <w:rFonts w:eastAsia="Times New Roman"/>
              </w:rPr>
            </w:pPr>
            <w:r>
              <w:rPr>
                <w:rFonts w:ascii="Arial" w:eastAsia="Times New Roman" w:hAnsi="Arial" w:cs="Arial"/>
                <w:color w:val="000000"/>
                <w:sz w:val="20"/>
                <w:szCs w:val="20"/>
              </w:rPr>
              <w:t>The following Consolidated Financial Statements are filed as a part of this 2020 10</w:t>
            </w:r>
            <w:r>
              <w:rPr>
                <w:rFonts w:ascii="Arial" w:eastAsia="Times New Roman" w:hAnsi="Arial" w:cs="Arial"/>
                <w:color w:val="000000"/>
                <w:sz w:val="20"/>
                <w:szCs w:val="20"/>
              </w:rPr>
              <w:noBreakHyphen/>
              <w:t>K Report:</w:t>
            </w:r>
          </w:p>
        </w:tc>
      </w:tr>
      <w:tr w:rsidR="00000000" w14:paraId="5210BD2B" w14:textId="77777777">
        <w:trPr>
          <w:divId w:val="708266109"/>
          <w:trHeight w:val="60"/>
        </w:trPr>
        <w:tc>
          <w:tcPr>
            <w:tcW w:w="0" w:type="auto"/>
            <w:gridSpan w:val="3"/>
            <w:tcMar>
              <w:top w:w="0" w:type="dxa"/>
              <w:left w:w="20" w:type="dxa"/>
              <w:bottom w:w="0" w:type="dxa"/>
              <w:right w:w="20" w:type="dxa"/>
            </w:tcMar>
            <w:vAlign w:val="center"/>
            <w:hideMark/>
          </w:tcPr>
          <w:p w14:paraId="13C767D1"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63E684EE"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1D868DA8"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4DF52EC9" w14:textId="77777777" w:rsidR="00000000" w:rsidRDefault="00C01C43">
            <w:pPr>
              <w:rPr>
                <w:rFonts w:eastAsia="Times New Roman"/>
                <w:sz w:val="20"/>
                <w:szCs w:val="20"/>
              </w:rPr>
            </w:pPr>
          </w:p>
        </w:tc>
      </w:tr>
      <w:tr w:rsidR="00000000" w14:paraId="510B51CE" w14:textId="77777777">
        <w:trPr>
          <w:divId w:val="708266109"/>
        </w:trPr>
        <w:tc>
          <w:tcPr>
            <w:tcW w:w="0" w:type="auto"/>
            <w:gridSpan w:val="3"/>
            <w:tcMar>
              <w:top w:w="0" w:type="dxa"/>
              <w:left w:w="20" w:type="dxa"/>
              <w:bottom w:w="0" w:type="dxa"/>
              <w:right w:w="20" w:type="dxa"/>
            </w:tcMar>
            <w:vAlign w:val="center"/>
            <w:hideMark/>
          </w:tcPr>
          <w:p w14:paraId="673606E4"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hideMark/>
          </w:tcPr>
          <w:p w14:paraId="1EB344BA" w14:textId="77777777" w:rsidR="00000000" w:rsidRDefault="00C01C43">
            <w:pPr>
              <w:divId w:val="1395470721"/>
              <w:rPr>
                <w:rFonts w:eastAsia="Times New Roman"/>
              </w:rPr>
            </w:pPr>
            <w:hyperlink w:anchor="i39de2a441966435e8a888354900c7540_88" w:history="1">
              <w:r>
                <w:rPr>
                  <w:rStyle w:val="a3"/>
                  <w:rFonts w:ascii="Arial" w:eastAsia="Times New Roman" w:hAnsi="Arial" w:cs="Arial"/>
                  <w:sz w:val="20"/>
                  <w:szCs w:val="20"/>
                </w:rPr>
                <w:t>(i)</w:t>
              </w:r>
            </w:hyperlink>
          </w:p>
        </w:tc>
        <w:tc>
          <w:tcPr>
            <w:tcW w:w="0" w:type="auto"/>
            <w:gridSpan w:val="3"/>
            <w:tcMar>
              <w:top w:w="30" w:type="dxa"/>
              <w:left w:w="20" w:type="dxa"/>
              <w:bottom w:w="30" w:type="dxa"/>
              <w:right w:w="20" w:type="dxa"/>
            </w:tcMar>
            <w:hideMark/>
          </w:tcPr>
          <w:p w14:paraId="5E605CA0" w14:textId="77777777" w:rsidR="00000000" w:rsidRDefault="00C01C43">
            <w:pPr>
              <w:divId w:val="1175607032"/>
              <w:rPr>
                <w:rFonts w:eastAsia="Times New Roman"/>
              </w:rPr>
            </w:pPr>
            <w:hyperlink w:anchor="i39de2a441966435e8a888354900c7540_88" w:history="1">
              <w:r>
                <w:rPr>
                  <w:rStyle w:val="a3"/>
                  <w:rFonts w:ascii="Arial" w:eastAsia="Times New Roman" w:hAnsi="Arial" w:cs="Arial"/>
                  <w:sz w:val="20"/>
                  <w:szCs w:val="20"/>
                </w:rPr>
                <w:t>Report of Independent Registered Public Accounting Firm</w:t>
              </w:r>
            </w:hyperlink>
          </w:p>
        </w:tc>
        <w:tc>
          <w:tcPr>
            <w:tcW w:w="0" w:type="auto"/>
            <w:gridSpan w:val="3"/>
            <w:tcMar>
              <w:top w:w="30" w:type="dxa"/>
              <w:left w:w="20" w:type="dxa"/>
              <w:bottom w:w="30" w:type="dxa"/>
              <w:right w:w="20" w:type="dxa"/>
            </w:tcMar>
            <w:vAlign w:val="bottom"/>
            <w:hideMark/>
          </w:tcPr>
          <w:p w14:paraId="31CE43C9" w14:textId="77777777" w:rsidR="00000000" w:rsidRDefault="00C01C43">
            <w:pPr>
              <w:jc w:val="center"/>
              <w:rPr>
                <w:rFonts w:eastAsia="Times New Roman"/>
              </w:rPr>
            </w:pPr>
            <w:hyperlink w:anchor="i39de2a441966435e8a888354900c7540_88" w:history="1">
              <w:r>
                <w:rPr>
                  <w:rStyle w:val="a3"/>
                  <w:rFonts w:ascii="Arial" w:eastAsia="Times New Roman" w:hAnsi="Arial" w:cs="Arial"/>
                  <w:sz w:val="20"/>
                  <w:szCs w:val="20"/>
                  <w:u w:val="none"/>
                </w:rPr>
                <w:t>45</w:t>
              </w:r>
            </w:hyperlink>
          </w:p>
        </w:tc>
      </w:tr>
      <w:tr w:rsidR="00000000" w14:paraId="31653F3F" w14:textId="77777777">
        <w:trPr>
          <w:divId w:val="708266109"/>
          <w:trHeight w:val="60"/>
        </w:trPr>
        <w:tc>
          <w:tcPr>
            <w:tcW w:w="0" w:type="auto"/>
            <w:gridSpan w:val="3"/>
            <w:tcMar>
              <w:top w:w="0" w:type="dxa"/>
              <w:left w:w="20" w:type="dxa"/>
              <w:bottom w:w="0" w:type="dxa"/>
              <w:right w:w="20" w:type="dxa"/>
            </w:tcMar>
            <w:vAlign w:val="center"/>
            <w:hideMark/>
          </w:tcPr>
          <w:p w14:paraId="3A4E393B"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65F66DC3"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39DDD02B"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D87E4E8" w14:textId="77777777" w:rsidR="00000000" w:rsidRDefault="00C01C43">
            <w:pPr>
              <w:rPr>
                <w:rFonts w:eastAsia="Times New Roman"/>
                <w:sz w:val="20"/>
                <w:szCs w:val="20"/>
              </w:rPr>
            </w:pPr>
          </w:p>
        </w:tc>
      </w:tr>
      <w:tr w:rsidR="00000000" w14:paraId="00EBEA3C" w14:textId="77777777">
        <w:trPr>
          <w:divId w:val="708266109"/>
        </w:trPr>
        <w:tc>
          <w:tcPr>
            <w:tcW w:w="0" w:type="auto"/>
            <w:gridSpan w:val="3"/>
            <w:tcMar>
              <w:top w:w="0" w:type="dxa"/>
              <w:left w:w="20" w:type="dxa"/>
              <w:bottom w:w="0" w:type="dxa"/>
              <w:right w:w="20" w:type="dxa"/>
            </w:tcMar>
            <w:vAlign w:val="center"/>
            <w:hideMark/>
          </w:tcPr>
          <w:p w14:paraId="143818C0"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hideMark/>
          </w:tcPr>
          <w:p w14:paraId="471A2E74" w14:textId="77777777" w:rsidR="00000000" w:rsidRDefault="00C01C43">
            <w:pPr>
              <w:divId w:val="228462702"/>
              <w:rPr>
                <w:rFonts w:eastAsia="Times New Roman"/>
              </w:rPr>
            </w:pPr>
            <w:hyperlink w:anchor="i39de2a441966435e8a888354900c7540_91" w:history="1">
              <w:r>
                <w:rPr>
                  <w:rStyle w:val="a3"/>
                  <w:rFonts w:ascii="Arial" w:eastAsia="Times New Roman" w:hAnsi="Arial" w:cs="Arial"/>
                  <w:sz w:val="20"/>
                  <w:szCs w:val="20"/>
                </w:rPr>
                <w:t>(ii)</w:t>
              </w:r>
            </w:hyperlink>
          </w:p>
        </w:tc>
        <w:tc>
          <w:tcPr>
            <w:tcW w:w="0" w:type="auto"/>
            <w:gridSpan w:val="3"/>
            <w:tcMar>
              <w:top w:w="30" w:type="dxa"/>
              <w:left w:w="20" w:type="dxa"/>
              <w:bottom w:w="30" w:type="dxa"/>
              <w:right w:w="20" w:type="dxa"/>
            </w:tcMar>
            <w:vAlign w:val="bottom"/>
            <w:hideMark/>
          </w:tcPr>
          <w:p w14:paraId="5274F487" w14:textId="77777777" w:rsidR="00000000" w:rsidRDefault="00C01C43">
            <w:pPr>
              <w:divId w:val="1677029797"/>
              <w:rPr>
                <w:rFonts w:eastAsia="Times New Roman"/>
              </w:rPr>
            </w:pPr>
            <w:hyperlink w:anchor="i39de2a441966435e8a888354900c7540_91" w:history="1">
              <w:r>
                <w:rPr>
                  <w:rStyle w:val="a3"/>
                  <w:rFonts w:ascii="Arial" w:eastAsia="Times New Roman" w:hAnsi="Arial" w:cs="Arial"/>
                  <w:sz w:val="20"/>
                  <w:szCs w:val="20"/>
                </w:rPr>
                <w:t>Consolidated Balance Sheets</w:t>
              </w:r>
            </w:hyperlink>
          </w:p>
        </w:tc>
        <w:tc>
          <w:tcPr>
            <w:tcW w:w="0" w:type="auto"/>
            <w:gridSpan w:val="3"/>
            <w:tcMar>
              <w:top w:w="30" w:type="dxa"/>
              <w:left w:w="20" w:type="dxa"/>
              <w:bottom w:w="30" w:type="dxa"/>
              <w:right w:w="20" w:type="dxa"/>
            </w:tcMar>
            <w:vAlign w:val="bottom"/>
            <w:hideMark/>
          </w:tcPr>
          <w:p w14:paraId="6BD5B775" w14:textId="77777777" w:rsidR="00000000" w:rsidRDefault="00C01C43">
            <w:pPr>
              <w:jc w:val="center"/>
              <w:rPr>
                <w:rFonts w:eastAsia="Times New Roman"/>
              </w:rPr>
            </w:pPr>
            <w:hyperlink w:anchor="i39de2a441966435e8a888354900c7540_91" w:history="1">
              <w:r>
                <w:rPr>
                  <w:rStyle w:val="a3"/>
                  <w:rFonts w:ascii="Arial" w:eastAsia="Times New Roman" w:hAnsi="Arial" w:cs="Arial"/>
                  <w:sz w:val="20"/>
                  <w:szCs w:val="20"/>
                  <w:u w:val="none"/>
                </w:rPr>
                <w:t>48</w:t>
              </w:r>
            </w:hyperlink>
          </w:p>
        </w:tc>
      </w:tr>
      <w:tr w:rsidR="00000000" w14:paraId="39C5FDEA" w14:textId="77777777">
        <w:trPr>
          <w:divId w:val="708266109"/>
          <w:trHeight w:val="60"/>
        </w:trPr>
        <w:tc>
          <w:tcPr>
            <w:tcW w:w="0" w:type="auto"/>
            <w:gridSpan w:val="3"/>
            <w:tcMar>
              <w:top w:w="0" w:type="dxa"/>
              <w:left w:w="20" w:type="dxa"/>
              <w:bottom w:w="0" w:type="dxa"/>
              <w:right w:w="20" w:type="dxa"/>
            </w:tcMar>
            <w:vAlign w:val="center"/>
            <w:hideMark/>
          </w:tcPr>
          <w:p w14:paraId="7585B478"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25695409"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54C9A6A0"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570A1B4B" w14:textId="77777777" w:rsidR="00000000" w:rsidRDefault="00C01C43">
            <w:pPr>
              <w:rPr>
                <w:rFonts w:eastAsia="Times New Roman"/>
                <w:sz w:val="20"/>
                <w:szCs w:val="20"/>
              </w:rPr>
            </w:pPr>
          </w:p>
        </w:tc>
      </w:tr>
      <w:tr w:rsidR="00000000" w14:paraId="04CBA584" w14:textId="77777777">
        <w:trPr>
          <w:divId w:val="708266109"/>
        </w:trPr>
        <w:tc>
          <w:tcPr>
            <w:tcW w:w="0" w:type="auto"/>
            <w:gridSpan w:val="3"/>
            <w:tcMar>
              <w:top w:w="0" w:type="dxa"/>
              <w:left w:w="20" w:type="dxa"/>
              <w:bottom w:w="0" w:type="dxa"/>
              <w:right w:w="20" w:type="dxa"/>
            </w:tcMar>
            <w:vAlign w:val="center"/>
            <w:hideMark/>
          </w:tcPr>
          <w:p w14:paraId="7BAAC289"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hideMark/>
          </w:tcPr>
          <w:p w14:paraId="60F5FB60" w14:textId="77777777" w:rsidR="00000000" w:rsidRDefault="00C01C43">
            <w:pPr>
              <w:divId w:val="2055814985"/>
              <w:rPr>
                <w:rFonts w:eastAsia="Times New Roman"/>
              </w:rPr>
            </w:pPr>
            <w:hyperlink w:anchor="i39de2a441966435e8a888354900c7540_97" w:history="1">
              <w:r>
                <w:rPr>
                  <w:rStyle w:val="a3"/>
                  <w:rFonts w:ascii="Arial" w:eastAsia="Times New Roman" w:hAnsi="Arial" w:cs="Arial"/>
                  <w:sz w:val="20"/>
                  <w:szCs w:val="20"/>
                </w:rPr>
                <w:t>(iii)</w:t>
              </w:r>
            </w:hyperlink>
          </w:p>
        </w:tc>
        <w:tc>
          <w:tcPr>
            <w:tcW w:w="0" w:type="auto"/>
            <w:gridSpan w:val="3"/>
            <w:tcMar>
              <w:top w:w="30" w:type="dxa"/>
              <w:left w:w="20" w:type="dxa"/>
              <w:bottom w:w="30" w:type="dxa"/>
              <w:right w:w="20" w:type="dxa"/>
            </w:tcMar>
            <w:vAlign w:val="bottom"/>
            <w:hideMark/>
          </w:tcPr>
          <w:p w14:paraId="57B98A95" w14:textId="77777777" w:rsidR="00000000" w:rsidRDefault="00C01C43">
            <w:pPr>
              <w:divId w:val="1667784727"/>
              <w:rPr>
                <w:rFonts w:eastAsia="Times New Roman"/>
              </w:rPr>
            </w:pPr>
            <w:hyperlink w:anchor="i39de2a441966435e8a888354900c7540_97" w:history="1">
              <w:r>
                <w:rPr>
                  <w:rStyle w:val="a3"/>
                  <w:rFonts w:ascii="Arial" w:eastAsia="Times New Roman" w:hAnsi="Arial" w:cs="Arial"/>
                  <w:sz w:val="20"/>
                  <w:szCs w:val="20"/>
                </w:rPr>
                <w:t>Consolidated Statements of Income and Comprehensive Income</w:t>
              </w:r>
            </w:hyperlink>
          </w:p>
        </w:tc>
        <w:tc>
          <w:tcPr>
            <w:tcW w:w="0" w:type="auto"/>
            <w:gridSpan w:val="3"/>
            <w:tcMar>
              <w:top w:w="30" w:type="dxa"/>
              <w:left w:w="20" w:type="dxa"/>
              <w:bottom w:w="30" w:type="dxa"/>
              <w:right w:w="20" w:type="dxa"/>
            </w:tcMar>
            <w:vAlign w:val="bottom"/>
            <w:hideMark/>
          </w:tcPr>
          <w:p w14:paraId="040667E0" w14:textId="77777777" w:rsidR="00000000" w:rsidRDefault="00C01C43">
            <w:pPr>
              <w:jc w:val="center"/>
              <w:rPr>
                <w:rFonts w:eastAsia="Times New Roman"/>
              </w:rPr>
            </w:pPr>
            <w:hyperlink w:anchor="i39de2a441966435e8a888354900c7540_97" w:history="1">
              <w:r>
                <w:rPr>
                  <w:rStyle w:val="a3"/>
                  <w:rFonts w:ascii="Arial" w:eastAsia="Times New Roman" w:hAnsi="Arial" w:cs="Arial"/>
                  <w:sz w:val="20"/>
                  <w:szCs w:val="20"/>
                  <w:u w:val="none"/>
                </w:rPr>
                <w:t>49</w:t>
              </w:r>
            </w:hyperlink>
          </w:p>
        </w:tc>
      </w:tr>
      <w:tr w:rsidR="00000000" w14:paraId="3C23888E" w14:textId="77777777">
        <w:trPr>
          <w:divId w:val="708266109"/>
          <w:trHeight w:val="60"/>
        </w:trPr>
        <w:tc>
          <w:tcPr>
            <w:tcW w:w="0" w:type="auto"/>
            <w:gridSpan w:val="3"/>
            <w:tcMar>
              <w:top w:w="0" w:type="dxa"/>
              <w:left w:w="20" w:type="dxa"/>
              <w:bottom w:w="0" w:type="dxa"/>
              <w:right w:w="20" w:type="dxa"/>
            </w:tcMar>
            <w:vAlign w:val="center"/>
            <w:hideMark/>
          </w:tcPr>
          <w:p w14:paraId="139961B8"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7E467C1F"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7114BEE0"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43EB7CE7" w14:textId="77777777" w:rsidR="00000000" w:rsidRDefault="00C01C43">
            <w:pPr>
              <w:rPr>
                <w:rFonts w:eastAsia="Times New Roman"/>
                <w:sz w:val="20"/>
                <w:szCs w:val="20"/>
              </w:rPr>
            </w:pPr>
          </w:p>
        </w:tc>
      </w:tr>
      <w:tr w:rsidR="00000000" w14:paraId="086C219F" w14:textId="77777777">
        <w:trPr>
          <w:divId w:val="708266109"/>
        </w:trPr>
        <w:tc>
          <w:tcPr>
            <w:tcW w:w="0" w:type="auto"/>
            <w:gridSpan w:val="3"/>
            <w:tcMar>
              <w:top w:w="0" w:type="dxa"/>
              <w:left w:w="20" w:type="dxa"/>
              <w:bottom w:w="0" w:type="dxa"/>
              <w:right w:w="20" w:type="dxa"/>
            </w:tcMar>
            <w:vAlign w:val="center"/>
            <w:hideMark/>
          </w:tcPr>
          <w:p w14:paraId="3A3A72DF"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hideMark/>
          </w:tcPr>
          <w:p w14:paraId="6F55B332" w14:textId="77777777" w:rsidR="00000000" w:rsidRDefault="00C01C43">
            <w:pPr>
              <w:divId w:val="2142066251"/>
              <w:rPr>
                <w:rFonts w:eastAsia="Times New Roman"/>
              </w:rPr>
            </w:pPr>
            <w:hyperlink w:anchor="i39de2a441966435e8a888354900c7540_103" w:history="1">
              <w:r>
                <w:rPr>
                  <w:rStyle w:val="a3"/>
                  <w:rFonts w:ascii="Arial" w:eastAsia="Times New Roman" w:hAnsi="Arial" w:cs="Arial"/>
                  <w:sz w:val="20"/>
                  <w:szCs w:val="20"/>
                </w:rPr>
                <w:t>(iv)</w:t>
              </w:r>
            </w:hyperlink>
          </w:p>
        </w:tc>
        <w:tc>
          <w:tcPr>
            <w:tcW w:w="0" w:type="auto"/>
            <w:gridSpan w:val="3"/>
            <w:tcMar>
              <w:top w:w="30" w:type="dxa"/>
              <w:left w:w="20" w:type="dxa"/>
              <w:bottom w:w="30" w:type="dxa"/>
              <w:right w:w="20" w:type="dxa"/>
            </w:tcMar>
            <w:vAlign w:val="bottom"/>
            <w:hideMark/>
          </w:tcPr>
          <w:p w14:paraId="45C86B5E" w14:textId="77777777" w:rsidR="00000000" w:rsidRDefault="00C01C43">
            <w:pPr>
              <w:divId w:val="651059539"/>
              <w:rPr>
                <w:rFonts w:eastAsia="Times New Roman"/>
              </w:rPr>
            </w:pPr>
            <w:hyperlink w:anchor="i39de2a441966435e8a888354900c7540_103" w:history="1">
              <w:r>
                <w:rPr>
                  <w:rStyle w:val="a3"/>
                  <w:rFonts w:ascii="Arial" w:eastAsia="Times New Roman" w:hAnsi="Arial" w:cs="Arial"/>
                  <w:sz w:val="20"/>
                  <w:szCs w:val="20"/>
                </w:rPr>
                <w:t>Consolidated Statements of Shareholders’ Equity</w:t>
              </w:r>
            </w:hyperlink>
          </w:p>
        </w:tc>
        <w:tc>
          <w:tcPr>
            <w:tcW w:w="0" w:type="auto"/>
            <w:gridSpan w:val="3"/>
            <w:tcMar>
              <w:top w:w="30" w:type="dxa"/>
              <w:left w:w="20" w:type="dxa"/>
              <w:bottom w:w="30" w:type="dxa"/>
              <w:right w:w="20" w:type="dxa"/>
            </w:tcMar>
            <w:vAlign w:val="bottom"/>
            <w:hideMark/>
          </w:tcPr>
          <w:p w14:paraId="34CBC5B3" w14:textId="77777777" w:rsidR="00000000" w:rsidRDefault="00C01C43">
            <w:pPr>
              <w:jc w:val="center"/>
              <w:rPr>
                <w:rFonts w:eastAsia="Times New Roman"/>
              </w:rPr>
            </w:pPr>
            <w:hyperlink w:anchor="i39de2a441966435e8a888354900c7540_103" w:history="1">
              <w:r>
                <w:rPr>
                  <w:rStyle w:val="a3"/>
                  <w:rFonts w:ascii="Arial" w:eastAsia="Times New Roman" w:hAnsi="Arial" w:cs="Arial"/>
                  <w:sz w:val="20"/>
                  <w:szCs w:val="20"/>
                  <w:u w:val="none"/>
                </w:rPr>
                <w:t>50</w:t>
              </w:r>
            </w:hyperlink>
          </w:p>
        </w:tc>
      </w:tr>
      <w:tr w:rsidR="00000000" w14:paraId="734E9BAB" w14:textId="77777777">
        <w:trPr>
          <w:divId w:val="708266109"/>
          <w:trHeight w:val="60"/>
        </w:trPr>
        <w:tc>
          <w:tcPr>
            <w:tcW w:w="0" w:type="auto"/>
            <w:gridSpan w:val="3"/>
            <w:tcMar>
              <w:top w:w="0" w:type="dxa"/>
              <w:left w:w="20" w:type="dxa"/>
              <w:bottom w:w="0" w:type="dxa"/>
              <w:right w:w="20" w:type="dxa"/>
            </w:tcMar>
            <w:vAlign w:val="center"/>
            <w:hideMark/>
          </w:tcPr>
          <w:p w14:paraId="37529014"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756E1565"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1B37C47F"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4579F8E7" w14:textId="77777777" w:rsidR="00000000" w:rsidRDefault="00C01C43">
            <w:pPr>
              <w:rPr>
                <w:rFonts w:eastAsia="Times New Roman"/>
                <w:sz w:val="20"/>
                <w:szCs w:val="20"/>
              </w:rPr>
            </w:pPr>
          </w:p>
        </w:tc>
      </w:tr>
      <w:tr w:rsidR="00000000" w14:paraId="415561EF" w14:textId="77777777">
        <w:trPr>
          <w:divId w:val="708266109"/>
        </w:trPr>
        <w:tc>
          <w:tcPr>
            <w:tcW w:w="0" w:type="auto"/>
            <w:gridSpan w:val="3"/>
            <w:tcMar>
              <w:top w:w="0" w:type="dxa"/>
              <w:left w:w="20" w:type="dxa"/>
              <w:bottom w:w="0" w:type="dxa"/>
              <w:right w:w="20" w:type="dxa"/>
            </w:tcMar>
            <w:vAlign w:val="center"/>
            <w:hideMark/>
          </w:tcPr>
          <w:p w14:paraId="29B6E296"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hideMark/>
          </w:tcPr>
          <w:p w14:paraId="681F6AE2" w14:textId="77777777" w:rsidR="00000000" w:rsidRDefault="00C01C43">
            <w:pPr>
              <w:divId w:val="1476601487"/>
              <w:rPr>
                <w:rFonts w:eastAsia="Times New Roman"/>
              </w:rPr>
            </w:pPr>
            <w:hyperlink w:anchor="i39de2a441966435e8a888354900c7540_106" w:history="1">
              <w:r>
                <w:rPr>
                  <w:rStyle w:val="a3"/>
                  <w:rFonts w:ascii="Arial" w:eastAsia="Times New Roman" w:hAnsi="Arial" w:cs="Arial"/>
                  <w:sz w:val="20"/>
                  <w:szCs w:val="20"/>
                </w:rPr>
                <w:t>(v)</w:t>
              </w:r>
            </w:hyperlink>
          </w:p>
        </w:tc>
        <w:tc>
          <w:tcPr>
            <w:tcW w:w="0" w:type="auto"/>
            <w:gridSpan w:val="3"/>
            <w:tcMar>
              <w:top w:w="30" w:type="dxa"/>
              <w:left w:w="20" w:type="dxa"/>
              <w:bottom w:w="30" w:type="dxa"/>
              <w:right w:w="20" w:type="dxa"/>
            </w:tcMar>
            <w:vAlign w:val="bottom"/>
            <w:hideMark/>
          </w:tcPr>
          <w:p w14:paraId="18544A81" w14:textId="77777777" w:rsidR="00000000" w:rsidRDefault="00C01C43">
            <w:pPr>
              <w:divId w:val="1331716769"/>
              <w:rPr>
                <w:rFonts w:eastAsia="Times New Roman"/>
              </w:rPr>
            </w:pPr>
            <w:hyperlink w:anchor="i39de2a441966435e8a888354900c7540_106" w:history="1">
              <w:r>
                <w:rPr>
                  <w:rStyle w:val="a3"/>
                  <w:rFonts w:ascii="Arial" w:eastAsia="Times New Roman" w:hAnsi="Arial" w:cs="Arial"/>
                  <w:sz w:val="20"/>
                  <w:szCs w:val="20"/>
                </w:rPr>
                <w:t>Consolidated Statements of Cash Flows</w:t>
              </w:r>
            </w:hyperlink>
          </w:p>
        </w:tc>
        <w:tc>
          <w:tcPr>
            <w:tcW w:w="0" w:type="auto"/>
            <w:gridSpan w:val="3"/>
            <w:tcMar>
              <w:top w:w="30" w:type="dxa"/>
              <w:left w:w="20" w:type="dxa"/>
              <w:bottom w:w="30" w:type="dxa"/>
              <w:right w:w="20" w:type="dxa"/>
            </w:tcMar>
            <w:vAlign w:val="bottom"/>
            <w:hideMark/>
          </w:tcPr>
          <w:p w14:paraId="74BAE7A4" w14:textId="77777777" w:rsidR="00000000" w:rsidRDefault="00C01C43">
            <w:pPr>
              <w:jc w:val="center"/>
              <w:rPr>
                <w:rFonts w:eastAsia="Times New Roman"/>
              </w:rPr>
            </w:pPr>
            <w:hyperlink w:anchor="i39de2a441966435e8a888354900c7540_106" w:history="1">
              <w:r>
                <w:rPr>
                  <w:rStyle w:val="a3"/>
                  <w:rFonts w:ascii="Arial" w:eastAsia="Times New Roman" w:hAnsi="Arial" w:cs="Arial"/>
                  <w:sz w:val="20"/>
                  <w:szCs w:val="20"/>
                  <w:u w:val="none"/>
                </w:rPr>
                <w:t>51</w:t>
              </w:r>
            </w:hyperlink>
          </w:p>
        </w:tc>
      </w:tr>
      <w:tr w:rsidR="00000000" w14:paraId="420443EB" w14:textId="77777777">
        <w:trPr>
          <w:divId w:val="708266109"/>
          <w:trHeight w:val="60"/>
        </w:trPr>
        <w:tc>
          <w:tcPr>
            <w:tcW w:w="0" w:type="auto"/>
            <w:gridSpan w:val="3"/>
            <w:tcMar>
              <w:top w:w="0" w:type="dxa"/>
              <w:left w:w="20" w:type="dxa"/>
              <w:bottom w:w="0" w:type="dxa"/>
              <w:right w:w="20" w:type="dxa"/>
            </w:tcMar>
            <w:vAlign w:val="center"/>
            <w:hideMark/>
          </w:tcPr>
          <w:p w14:paraId="039AE246"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67E73FBD"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2D852B39"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68D80352" w14:textId="77777777" w:rsidR="00000000" w:rsidRDefault="00C01C43">
            <w:pPr>
              <w:rPr>
                <w:rFonts w:eastAsia="Times New Roman"/>
                <w:sz w:val="20"/>
                <w:szCs w:val="20"/>
              </w:rPr>
            </w:pPr>
          </w:p>
        </w:tc>
      </w:tr>
      <w:tr w:rsidR="00000000" w14:paraId="624AE074" w14:textId="77777777">
        <w:trPr>
          <w:divId w:val="708266109"/>
        </w:trPr>
        <w:tc>
          <w:tcPr>
            <w:tcW w:w="0" w:type="auto"/>
            <w:gridSpan w:val="3"/>
            <w:tcMar>
              <w:top w:w="0" w:type="dxa"/>
              <w:left w:w="20" w:type="dxa"/>
              <w:bottom w:w="0" w:type="dxa"/>
              <w:right w:w="20" w:type="dxa"/>
            </w:tcMar>
            <w:vAlign w:val="center"/>
            <w:hideMark/>
          </w:tcPr>
          <w:p w14:paraId="38AE7420"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hideMark/>
          </w:tcPr>
          <w:p w14:paraId="17A9BCBB" w14:textId="77777777" w:rsidR="00000000" w:rsidRDefault="00C01C43">
            <w:pPr>
              <w:divId w:val="1447654731"/>
              <w:rPr>
                <w:rFonts w:eastAsia="Times New Roman"/>
              </w:rPr>
            </w:pPr>
            <w:hyperlink w:anchor="i39de2a441966435e8a888354900c7540_112" w:history="1">
              <w:r>
                <w:rPr>
                  <w:rStyle w:val="a3"/>
                  <w:rFonts w:ascii="Arial" w:eastAsia="Times New Roman" w:hAnsi="Arial" w:cs="Arial"/>
                  <w:sz w:val="20"/>
                  <w:szCs w:val="20"/>
                </w:rPr>
                <w:t>(vi)</w:t>
              </w:r>
            </w:hyperlink>
          </w:p>
        </w:tc>
        <w:tc>
          <w:tcPr>
            <w:tcW w:w="0" w:type="auto"/>
            <w:gridSpan w:val="3"/>
            <w:tcMar>
              <w:top w:w="30" w:type="dxa"/>
              <w:left w:w="20" w:type="dxa"/>
              <w:bottom w:w="30" w:type="dxa"/>
              <w:right w:w="20" w:type="dxa"/>
            </w:tcMar>
            <w:hideMark/>
          </w:tcPr>
          <w:p w14:paraId="65BA01E3" w14:textId="77777777" w:rsidR="00000000" w:rsidRDefault="00C01C43">
            <w:pPr>
              <w:divId w:val="1646543212"/>
              <w:rPr>
                <w:rFonts w:eastAsia="Times New Roman"/>
              </w:rPr>
            </w:pPr>
            <w:hyperlink w:anchor="i39de2a441966435e8a888354900c7540_112" w:history="1">
              <w:r>
                <w:rPr>
                  <w:rStyle w:val="a3"/>
                  <w:rFonts w:ascii="Arial" w:eastAsia="Times New Roman" w:hAnsi="Arial" w:cs="Arial"/>
                  <w:sz w:val="20"/>
                  <w:szCs w:val="20"/>
                </w:rPr>
                <w:t>Notes to the Consolidated Financial Statements</w:t>
              </w:r>
            </w:hyperlink>
          </w:p>
        </w:tc>
        <w:tc>
          <w:tcPr>
            <w:tcW w:w="0" w:type="auto"/>
            <w:gridSpan w:val="3"/>
            <w:tcMar>
              <w:top w:w="30" w:type="dxa"/>
              <w:left w:w="20" w:type="dxa"/>
              <w:bottom w:w="30" w:type="dxa"/>
              <w:right w:w="20" w:type="dxa"/>
            </w:tcMar>
            <w:vAlign w:val="bottom"/>
            <w:hideMark/>
          </w:tcPr>
          <w:p w14:paraId="2BE744E5" w14:textId="77777777" w:rsidR="00000000" w:rsidRDefault="00C01C43">
            <w:pPr>
              <w:jc w:val="center"/>
              <w:rPr>
                <w:rFonts w:eastAsia="Times New Roman"/>
              </w:rPr>
            </w:pPr>
            <w:hyperlink w:anchor="i39de2a441966435e8a888354900c7540_112" w:history="1">
              <w:r>
                <w:rPr>
                  <w:rStyle w:val="a3"/>
                  <w:rFonts w:ascii="Arial" w:eastAsia="Times New Roman" w:hAnsi="Arial" w:cs="Arial"/>
                  <w:sz w:val="20"/>
                  <w:szCs w:val="20"/>
                  <w:u w:val="none"/>
                </w:rPr>
                <w:t>53</w:t>
              </w:r>
            </w:hyperlink>
          </w:p>
        </w:tc>
      </w:tr>
      <w:tr w:rsidR="00000000" w14:paraId="577D46A2" w14:textId="77777777">
        <w:trPr>
          <w:divId w:val="708266109"/>
          <w:trHeight w:val="60"/>
        </w:trPr>
        <w:tc>
          <w:tcPr>
            <w:tcW w:w="0" w:type="auto"/>
            <w:gridSpan w:val="3"/>
            <w:tcMar>
              <w:top w:w="0" w:type="dxa"/>
              <w:left w:w="20" w:type="dxa"/>
              <w:bottom w:w="0" w:type="dxa"/>
              <w:right w:w="20" w:type="dxa"/>
            </w:tcMar>
            <w:vAlign w:val="center"/>
            <w:hideMark/>
          </w:tcPr>
          <w:p w14:paraId="6D91A51E"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07786E15"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3223CA9C"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2220983E" w14:textId="77777777" w:rsidR="00000000" w:rsidRDefault="00C01C43">
            <w:pPr>
              <w:rPr>
                <w:rFonts w:eastAsia="Times New Roman"/>
                <w:sz w:val="20"/>
                <w:szCs w:val="20"/>
              </w:rPr>
            </w:pPr>
          </w:p>
        </w:tc>
      </w:tr>
      <w:tr w:rsidR="00000000" w14:paraId="3BFCD6B1" w14:textId="77777777">
        <w:trPr>
          <w:divId w:val="708266109"/>
        </w:trPr>
        <w:tc>
          <w:tcPr>
            <w:tcW w:w="0" w:type="auto"/>
            <w:gridSpan w:val="3"/>
            <w:tcMar>
              <w:top w:w="30" w:type="dxa"/>
              <w:left w:w="20" w:type="dxa"/>
              <w:bottom w:w="30" w:type="dxa"/>
              <w:right w:w="20" w:type="dxa"/>
            </w:tcMar>
            <w:hideMark/>
          </w:tcPr>
          <w:p w14:paraId="7C0B92F5" w14:textId="77777777" w:rsidR="00000000" w:rsidRDefault="00C01C43">
            <w:pPr>
              <w:rPr>
                <w:rFonts w:eastAsia="Times New Roman"/>
              </w:rPr>
            </w:pPr>
            <w:r>
              <w:rPr>
                <w:rFonts w:ascii="Arial" w:eastAsia="Times New Roman" w:hAnsi="Arial" w:cs="Arial"/>
                <w:color w:val="000000"/>
                <w:sz w:val="20"/>
                <w:szCs w:val="20"/>
              </w:rPr>
              <w:t>(a)(2)</w:t>
            </w:r>
          </w:p>
        </w:tc>
        <w:tc>
          <w:tcPr>
            <w:tcW w:w="0" w:type="auto"/>
            <w:gridSpan w:val="9"/>
            <w:tcMar>
              <w:top w:w="30" w:type="dxa"/>
              <w:left w:w="20" w:type="dxa"/>
              <w:bottom w:w="30" w:type="dxa"/>
              <w:right w:w="20" w:type="dxa"/>
            </w:tcMar>
            <w:hideMark/>
          </w:tcPr>
          <w:p w14:paraId="6311C699" w14:textId="77777777" w:rsidR="00000000" w:rsidRDefault="00C01C43">
            <w:pPr>
              <w:rPr>
                <w:rFonts w:eastAsia="Times New Roman"/>
              </w:rPr>
            </w:pPr>
            <w:r>
              <w:rPr>
                <w:rFonts w:ascii="Arial" w:eastAsia="Times New Roman" w:hAnsi="Arial" w:cs="Arial"/>
                <w:color w:val="000000"/>
                <w:sz w:val="20"/>
                <w:szCs w:val="20"/>
              </w:rPr>
              <w:t>Consolidated Financial Statement schedules have been omitted either because the required information is set forth in the Consolidated Financial Statements or Notes ther</w:t>
            </w:r>
            <w:r>
              <w:rPr>
                <w:rFonts w:ascii="Arial" w:eastAsia="Times New Roman" w:hAnsi="Arial" w:cs="Arial"/>
                <w:color w:val="000000"/>
                <w:sz w:val="20"/>
                <w:szCs w:val="20"/>
              </w:rPr>
              <w:t>eto, or the information called for is not required.</w:t>
            </w:r>
          </w:p>
        </w:tc>
      </w:tr>
      <w:tr w:rsidR="00000000" w14:paraId="403840D0" w14:textId="77777777">
        <w:trPr>
          <w:divId w:val="708266109"/>
          <w:trHeight w:val="60"/>
        </w:trPr>
        <w:tc>
          <w:tcPr>
            <w:tcW w:w="0" w:type="auto"/>
            <w:gridSpan w:val="3"/>
            <w:tcMar>
              <w:top w:w="0" w:type="dxa"/>
              <w:left w:w="20" w:type="dxa"/>
              <w:bottom w:w="0" w:type="dxa"/>
              <w:right w:w="20" w:type="dxa"/>
            </w:tcMar>
            <w:vAlign w:val="center"/>
            <w:hideMark/>
          </w:tcPr>
          <w:p w14:paraId="6DC5087C" w14:textId="77777777" w:rsidR="00000000" w:rsidRDefault="00C01C43">
            <w:pPr>
              <w:rPr>
                <w:rFonts w:eastAsia="Times New Roman"/>
              </w:rPr>
            </w:pPr>
          </w:p>
        </w:tc>
        <w:tc>
          <w:tcPr>
            <w:tcW w:w="0" w:type="auto"/>
            <w:gridSpan w:val="9"/>
            <w:tcMar>
              <w:top w:w="0" w:type="dxa"/>
              <w:left w:w="20" w:type="dxa"/>
              <w:bottom w:w="0" w:type="dxa"/>
              <w:right w:w="20" w:type="dxa"/>
            </w:tcMar>
            <w:vAlign w:val="center"/>
            <w:hideMark/>
          </w:tcPr>
          <w:p w14:paraId="3AE36220" w14:textId="77777777" w:rsidR="00000000" w:rsidRDefault="00C01C43">
            <w:pPr>
              <w:rPr>
                <w:rFonts w:eastAsia="Times New Roman"/>
                <w:sz w:val="20"/>
                <w:szCs w:val="20"/>
              </w:rPr>
            </w:pPr>
          </w:p>
        </w:tc>
      </w:tr>
      <w:tr w:rsidR="00000000" w14:paraId="274E1493" w14:textId="77777777">
        <w:trPr>
          <w:divId w:val="708266109"/>
        </w:trPr>
        <w:tc>
          <w:tcPr>
            <w:tcW w:w="0" w:type="auto"/>
            <w:gridSpan w:val="3"/>
            <w:tcMar>
              <w:top w:w="30" w:type="dxa"/>
              <w:left w:w="20" w:type="dxa"/>
              <w:bottom w:w="30" w:type="dxa"/>
              <w:right w:w="20" w:type="dxa"/>
            </w:tcMar>
            <w:hideMark/>
          </w:tcPr>
          <w:p w14:paraId="491B4793" w14:textId="77777777" w:rsidR="00000000" w:rsidRDefault="00C01C43">
            <w:pPr>
              <w:rPr>
                <w:rFonts w:eastAsia="Times New Roman"/>
              </w:rPr>
            </w:pPr>
            <w:r>
              <w:rPr>
                <w:rFonts w:ascii="Arial" w:eastAsia="Times New Roman" w:hAnsi="Arial" w:cs="Arial"/>
                <w:color w:val="000000"/>
                <w:sz w:val="20"/>
                <w:szCs w:val="20"/>
              </w:rPr>
              <w:t>(b)</w:t>
            </w:r>
          </w:p>
        </w:tc>
        <w:tc>
          <w:tcPr>
            <w:tcW w:w="0" w:type="auto"/>
            <w:gridSpan w:val="9"/>
            <w:tcMar>
              <w:top w:w="30" w:type="dxa"/>
              <w:left w:w="20" w:type="dxa"/>
              <w:bottom w:w="30" w:type="dxa"/>
              <w:right w:w="20" w:type="dxa"/>
            </w:tcMar>
            <w:vAlign w:val="bottom"/>
            <w:hideMark/>
          </w:tcPr>
          <w:p w14:paraId="3695AE57" w14:textId="77777777" w:rsidR="00000000" w:rsidRDefault="00C01C43">
            <w:pPr>
              <w:divId w:val="1856336167"/>
              <w:rPr>
                <w:rFonts w:eastAsia="Times New Roman"/>
              </w:rPr>
            </w:pPr>
            <w:r>
              <w:rPr>
                <w:rFonts w:ascii="Arial" w:eastAsia="Times New Roman" w:hAnsi="Arial" w:cs="Arial"/>
                <w:color w:val="000000"/>
                <w:sz w:val="20"/>
                <w:szCs w:val="20"/>
              </w:rPr>
              <w:t>The exhibits set forth in the following index of exhibits are filed or incorporated by reference as a part of this 2020 10</w:t>
            </w:r>
            <w:r>
              <w:rPr>
                <w:rFonts w:ascii="Arial" w:eastAsia="Times New Roman" w:hAnsi="Arial" w:cs="Arial"/>
                <w:color w:val="000000"/>
                <w:sz w:val="20"/>
                <w:szCs w:val="20"/>
              </w:rPr>
              <w:noBreakHyphen/>
              <w:t>K Report:</w:t>
            </w:r>
          </w:p>
        </w:tc>
      </w:tr>
    </w:tbl>
    <w:p w14:paraId="7978247D" w14:textId="77777777" w:rsidR="00000000" w:rsidRDefault="00C01C43">
      <w:pPr>
        <w:divId w:val="33357958"/>
        <w:rPr>
          <w:rFonts w:eastAsia="Times New Roman"/>
        </w:rPr>
      </w:pPr>
    </w:p>
    <w:p w14:paraId="111CCE7E" w14:textId="77777777" w:rsidR="00000000" w:rsidRDefault="00C01C43">
      <w:pPr>
        <w:jc w:val="center"/>
        <w:divId w:val="182402677"/>
        <w:rPr>
          <w:rFonts w:eastAsia="Times New Roman"/>
        </w:rPr>
      </w:pPr>
      <w:r>
        <w:rPr>
          <w:rFonts w:ascii="Arial" w:eastAsia="Times New Roman" w:hAnsi="Arial" w:cs="Arial"/>
          <w:color w:val="000000"/>
          <w:sz w:val="16"/>
          <w:szCs w:val="16"/>
        </w:rPr>
        <w:t>42</w:t>
      </w:r>
    </w:p>
    <w:p w14:paraId="192A6DA6" w14:textId="77777777" w:rsidR="00000000" w:rsidRDefault="00C01C43">
      <w:pPr>
        <w:rPr>
          <w:rFonts w:eastAsia="Times New Roman"/>
        </w:rPr>
      </w:pPr>
      <w:r>
        <w:rPr>
          <w:rFonts w:eastAsia="Times New Roman"/>
        </w:rPr>
        <w:pict w14:anchorId="40318590">
          <v:rect id="_x0000_i1071" style="width:0;height:1.5pt" o:hralign="center" o:hrstd="t" o:hr="t" fillcolor="#a0a0a0" stroked="f"/>
        </w:pict>
      </w:r>
    </w:p>
    <w:p w14:paraId="0BBD43C9" w14:textId="77777777" w:rsidR="00000000" w:rsidRDefault="00C01C43">
      <w:pPr>
        <w:divId w:val="1682508950"/>
        <w:rPr>
          <w:rFonts w:eastAsia="Times New Roman"/>
        </w:rPr>
      </w:pPr>
      <w:hyperlink w:anchor="i39de2a441966435e8a888354900c7540_7" w:history="1">
        <w:r>
          <w:rPr>
            <w:rStyle w:val="a3"/>
            <w:rFonts w:ascii="Arial" w:eastAsia="Times New Roman" w:hAnsi="Arial" w:cs="Arial"/>
            <w:sz w:val="20"/>
            <w:szCs w:val="20"/>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61"/>
        <w:gridCol w:w="673"/>
        <w:gridCol w:w="36"/>
        <w:gridCol w:w="36"/>
        <w:gridCol w:w="36"/>
        <w:gridCol w:w="36"/>
        <w:gridCol w:w="46"/>
        <w:gridCol w:w="7320"/>
        <w:gridCol w:w="37"/>
      </w:tblGrid>
      <w:tr w:rsidR="00000000" w14:paraId="44946C01" w14:textId="77777777">
        <w:trPr>
          <w:divId w:val="1135366133"/>
        </w:trPr>
        <w:tc>
          <w:tcPr>
            <w:tcW w:w="50" w:type="pct"/>
            <w:vAlign w:val="center"/>
            <w:hideMark/>
          </w:tcPr>
          <w:p w14:paraId="76DE3E9F" w14:textId="77777777" w:rsidR="00000000" w:rsidRDefault="00C01C43">
            <w:pPr>
              <w:rPr>
                <w:rFonts w:eastAsia="Times New Roman"/>
              </w:rPr>
            </w:pPr>
          </w:p>
        </w:tc>
        <w:tc>
          <w:tcPr>
            <w:tcW w:w="421" w:type="pct"/>
            <w:vAlign w:val="center"/>
            <w:hideMark/>
          </w:tcPr>
          <w:p w14:paraId="47155A57" w14:textId="77777777" w:rsidR="00000000" w:rsidRDefault="00C01C43">
            <w:pPr>
              <w:rPr>
                <w:rFonts w:eastAsia="Times New Roman"/>
                <w:sz w:val="20"/>
                <w:szCs w:val="20"/>
              </w:rPr>
            </w:pPr>
          </w:p>
        </w:tc>
        <w:tc>
          <w:tcPr>
            <w:tcW w:w="5" w:type="pct"/>
            <w:vAlign w:val="center"/>
            <w:hideMark/>
          </w:tcPr>
          <w:p w14:paraId="193789C2" w14:textId="77777777" w:rsidR="00000000" w:rsidRDefault="00C01C43">
            <w:pPr>
              <w:rPr>
                <w:rFonts w:eastAsia="Times New Roman"/>
                <w:sz w:val="20"/>
                <w:szCs w:val="20"/>
              </w:rPr>
            </w:pPr>
          </w:p>
        </w:tc>
        <w:tc>
          <w:tcPr>
            <w:tcW w:w="5" w:type="pct"/>
            <w:vAlign w:val="center"/>
            <w:hideMark/>
          </w:tcPr>
          <w:p w14:paraId="02AC9C44" w14:textId="77777777" w:rsidR="00000000" w:rsidRDefault="00C01C43">
            <w:pPr>
              <w:rPr>
                <w:rFonts w:eastAsia="Times New Roman"/>
                <w:sz w:val="20"/>
                <w:szCs w:val="20"/>
              </w:rPr>
            </w:pPr>
          </w:p>
        </w:tc>
        <w:tc>
          <w:tcPr>
            <w:tcW w:w="26" w:type="pct"/>
            <w:vAlign w:val="center"/>
            <w:hideMark/>
          </w:tcPr>
          <w:p w14:paraId="32F38670" w14:textId="77777777" w:rsidR="00000000" w:rsidRDefault="00C01C43">
            <w:pPr>
              <w:rPr>
                <w:rFonts w:eastAsia="Times New Roman"/>
                <w:sz w:val="20"/>
                <w:szCs w:val="20"/>
              </w:rPr>
            </w:pPr>
          </w:p>
        </w:tc>
        <w:tc>
          <w:tcPr>
            <w:tcW w:w="5" w:type="pct"/>
            <w:vAlign w:val="center"/>
            <w:hideMark/>
          </w:tcPr>
          <w:p w14:paraId="43795733" w14:textId="77777777" w:rsidR="00000000" w:rsidRDefault="00C01C43">
            <w:pPr>
              <w:rPr>
                <w:rFonts w:eastAsia="Times New Roman"/>
                <w:sz w:val="20"/>
                <w:szCs w:val="20"/>
              </w:rPr>
            </w:pPr>
          </w:p>
        </w:tc>
        <w:tc>
          <w:tcPr>
            <w:tcW w:w="50" w:type="pct"/>
            <w:vAlign w:val="center"/>
            <w:hideMark/>
          </w:tcPr>
          <w:p w14:paraId="21130836" w14:textId="77777777" w:rsidR="00000000" w:rsidRDefault="00C01C43">
            <w:pPr>
              <w:rPr>
                <w:rFonts w:eastAsia="Times New Roman"/>
                <w:sz w:val="20"/>
                <w:szCs w:val="20"/>
              </w:rPr>
            </w:pPr>
          </w:p>
        </w:tc>
        <w:tc>
          <w:tcPr>
            <w:tcW w:w="4431" w:type="pct"/>
            <w:vAlign w:val="center"/>
            <w:hideMark/>
          </w:tcPr>
          <w:p w14:paraId="722EBA6F" w14:textId="77777777" w:rsidR="00000000" w:rsidRDefault="00C01C43">
            <w:pPr>
              <w:rPr>
                <w:rFonts w:eastAsia="Times New Roman"/>
                <w:sz w:val="20"/>
                <w:szCs w:val="20"/>
              </w:rPr>
            </w:pPr>
          </w:p>
        </w:tc>
        <w:tc>
          <w:tcPr>
            <w:tcW w:w="5" w:type="pct"/>
            <w:vAlign w:val="center"/>
            <w:hideMark/>
          </w:tcPr>
          <w:p w14:paraId="05B324B8" w14:textId="77777777" w:rsidR="00000000" w:rsidRDefault="00C01C43">
            <w:pPr>
              <w:rPr>
                <w:rFonts w:eastAsia="Times New Roman"/>
                <w:sz w:val="20"/>
                <w:szCs w:val="20"/>
              </w:rPr>
            </w:pPr>
          </w:p>
        </w:tc>
      </w:tr>
      <w:tr w:rsidR="00000000" w14:paraId="0D4F94BB" w14:textId="77777777">
        <w:trPr>
          <w:divId w:val="1135366133"/>
        </w:trPr>
        <w:tc>
          <w:tcPr>
            <w:tcW w:w="0" w:type="auto"/>
            <w:gridSpan w:val="3"/>
            <w:tcBorders>
              <w:bottom w:val="single" w:sz="8" w:space="0" w:color="000000"/>
            </w:tcBorders>
            <w:tcMar>
              <w:top w:w="30" w:type="dxa"/>
              <w:left w:w="20" w:type="dxa"/>
              <w:bottom w:w="30" w:type="dxa"/>
              <w:right w:w="20" w:type="dxa"/>
            </w:tcMar>
            <w:vAlign w:val="bottom"/>
            <w:hideMark/>
          </w:tcPr>
          <w:p w14:paraId="0D002EF2" w14:textId="77777777" w:rsidR="00000000" w:rsidRDefault="00C01C43">
            <w:pPr>
              <w:rPr>
                <w:rFonts w:eastAsia="Times New Roman"/>
              </w:rPr>
            </w:pPr>
            <w:r>
              <w:rPr>
                <w:rFonts w:ascii="Arial" w:eastAsia="Times New Roman" w:hAnsi="Arial" w:cs="Arial"/>
                <w:b/>
                <w:bCs/>
                <w:color w:val="000000"/>
                <w:sz w:val="16"/>
                <w:szCs w:val="16"/>
              </w:rPr>
              <w:t>Exhibit No.</w:t>
            </w:r>
          </w:p>
        </w:tc>
        <w:tc>
          <w:tcPr>
            <w:tcW w:w="0" w:type="auto"/>
            <w:gridSpan w:val="3"/>
            <w:tcMar>
              <w:top w:w="0" w:type="dxa"/>
              <w:left w:w="20" w:type="dxa"/>
              <w:bottom w:w="0" w:type="dxa"/>
              <w:right w:w="20" w:type="dxa"/>
            </w:tcMar>
            <w:vAlign w:val="center"/>
            <w:hideMark/>
          </w:tcPr>
          <w:p w14:paraId="5B159F74" w14:textId="77777777" w:rsidR="00000000" w:rsidRDefault="00C01C43">
            <w:pP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792FF0D" w14:textId="77777777" w:rsidR="00000000" w:rsidRDefault="00C01C43">
            <w:pPr>
              <w:rPr>
                <w:rFonts w:eastAsia="Times New Roman"/>
              </w:rPr>
            </w:pPr>
            <w:r>
              <w:rPr>
                <w:rFonts w:ascii="Arial" w:eastAsia="Times New Roman" w:hAnsi="Arial" w:cs="Arial"/>
                <w:b/>
                <w:bCs/>
                <w:color w:val="000000"/>
                <w:sz w:val="16"/>
                <w:szCs w:val="16"/>
              </w:rPr>
              <w:t>Description</w:t>
            </w:r>
          </w:p>
        </w:tc>
      </w:tr>
      <w:tr w:rsidR="00000000" w14:paraId="05B29A49" w14:textId="77777777">
        <w:trPr>
          <w:divId w:val="1135366133"/>
        </w:trPr>
        <w:tc>
          <w:tcPr>
            <w:tcW w:w="0" w:type="auto"/>
            <w:gridSpan w:val="3"/>
            <w:tcBorders>
              <w:top w:val="single" w:sz="8" w:space="0" w:color="000000"/>
            </w:tcBorders>
            <w:tcMar>
              <w:top w:w="30" w:type="dxa"/>
              <w:left w:w="20" w:type="dxa"/>
              <w:bottom w:w="30" w:type="dxa"/>
              <w:right w:w="20" w:type="dxa"/>
            </w:tcMar>
            <w:hideMark/>
          </w:tcPr>
          <w:p w14:paraId="410978D7" w14:textId="77777777" w:rsidR="00000000" w:rsidRDefault="00C01C43">
            <w:pPr>
              <w:divId w:val="36902170"/>
              <w:rPr>
                <w:rFonts w:eastAsia="Times New Roman"/>
              </w:rPr>
            </w:pPr>
            <w:hyperlink r:id="rId6" w:history="1">
              <w:r>
                <w:rPr>
                  <w:rStyle w:val="a3"/>
                  <w:rFonts w:ascii="Arial" w:eastAsia="Times New Roman" w:hAnsi="Arial" w:cs="Arial"/>
                  <w:sz w:val="20"/>
                  <w:szCs w:val="20"/>
                </w:rPr>
                <w:t>3.1</w:t>
              </w:r>
            </w:hyperlink>
          </w:p>
        </w:tc>
        <w:tc>
          <w:tcPr>
            <w:tcW w:w="0" w:type="auto"/>
            <w:gridSpan w:val="3"/>
            <w:tcMar>
              <w:top w:w="0" w:type="dxa"/>
              <w:left w:w="20" w:type="dxa"/>
              <w:bottom w:w="0" w:type="dxa"/>
              <w:right w:w="20" w:type="dxa"/>
            </w:tcMar>
            <w:vAlign w:val="center"/>
            <w:hideMark/>
          </w:tcPr>
          <w:p w14:paraId="236D9EB5" w14:textId="77777777" w:rsidR="00000000" w:rsidRDefault="00C01C4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6E4DFC" w14:textId="77777777" w:rsidR="00000000" w:rsidRDefault="00C01C43">
            <w:pPr>
              <w:jc w:val="both"/>
              <w:rPr>
                <w:rFonts w:eastAsia="Times New Roman"/>
              </w:rPr>
            </w:pPr>
            <w:r>
              <w:rPr>
                <w:rFonts w:ascii="Arial" w:eastAsia="Times New Roman" w:hAnsi="Arial" w:cs="Arial"/>
                <w:color w:val="000000"/>
                <w:sz w:val="20"/>
                <w:szCs w:val="20"/>
              </w:rPr>
              <w:t>Restated Articles of Incorporation (incorporated by reference herein from Exhibit 99.2 to our Current Report on Form 8</w:t>
            </w:r>
            <w:r>
              <w:rPr>
                <w:rFonts w:ascii="Arial" w:eastAsia="Times New Roman" w:hAnsi="Arial" w:cs="Arial"/>
                <w:color w:val="000000"/>
                <w:sz w:val="20"/>
                <w:szCs w:val="20"/>
              </w:rPr>
              <w:noBreakHyphen/>
              <w:t>K filed on February 3, 2005).</w:t>
            </w:r>
          </w:p>
        </w:tc>
      </w:tr>
      <w:tr w:rsidR="00000000" w14:paraId="402EA9B6" w14:textId="77777777">
        <w:trPr>
          <w:divId w:val="1135366133"/>
        </w:trPr>
        <w:tc>
          <w:tcPr>
            <w:tcW w:w="0" w:type="auto"/>
            <w:gridSpan w:val="3"/>
            <w:tcMar>
              <w:top w:w="30" w:type="dxa"/>
              <w:left w:w="20" w:type="dxa"/>
              <w:bottom w:w="30" w:type="dxa"/>
              <w:right w:w="20" w:type="dxa"/>
            </w:tcMar>
            <w:hideMark/>
          </w:tcPr>
          <w:p w14:paraId="2FD59EEA" w14:textId="77777777" w:rsidR="00000000" w:rsidRDefault="00C01C43">
            <w:pPr>
              <w:divId w:val="633415054"/>
              <w:rPr>
                <w:rFonts w:eastAsia="Times New Roman"/>
              </w:rPr>
            </w:pPr>
            <w:hyperlink r:id="rId7" w:history="1">
              <w:r>
                <w:rPr>
                  <w:rStyle w:val="a3"/>
                  <w:rFonts w:ascii="Arial" w:eastAsia="Times New Roman" w:hAnsi="Arial" w:cs="Arial"/>
                  <w:sz w:val="20"/>
                  <w:szCs w:val="20"/>
                </w:rPr>
                <w:t>3.2</w:t>
              </w:r>
            </w:hyperlink>
          </w:p>
        </w:tc>
        <w:tc>
          <w:tcPr>
            <w:tcW w:w="0" w:type="auto"/>
            <w:gridSpan w:val="3"/>
            <w:tcMar>
              <w:top w:w="0" w:type="dxa"/>
              <w:left w:w="20" w:type="dxa"/>
              <w:bottom w:w="0" w:type="dxa"/>
              <w:right w:w="20" w:type="dxa"/>
            </w:tcMar>
            <w:vAlign w:val="center"/>
            <w:hideMark/>
          </w:tcPr>
          <w:p w14:paraId="313E39EC"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3B40CE14" w14:textId="77777777" w:rsidR="00000000" w:rsidRDefault="00C01C43">
            <w:pPr>
              <w:jc w:val="both"/>
              <w:rPr>
                <w:rFonts w:eastAsia="Times New Roman"/>
              </w:rPr>
            </w:pPr>
            <w:r>
              <w:rPr>
                <w:rFonts w:ascii="Arial" w:eastAsia="Times New Roman" w:hAnsi="Arial" w:cs="Arial"/>
                <w:color w:val="000000"/>
                <w:sz w:val="20"/>
                <w:szCs w:val="20"/>
              </w:rPr>
              <w:t>Articles of Amendment to Restated Articles of Incorporation (incorporated by reference herein from Exhibit 3.1 to our Current Report on Form 8</w:t>
            </w:r>
            <w:r>
              <w:rPr>
                <w:rFonts w:ascii="Arial" w:eastAsia="Times New Roman" w:hAnsi="Arial" w:cs="Arial"/>
                <w:color w:val="000000"/>
                <w:sz w:val="20"/>
                <w:szCs w:val="20"/>
              </w:rPr>
              <w:noBreakHyphen/>
              <w:t>K fil</w:t>
            </w:r>
            <w:r>
              <w:rPr>
                <w:rFonts w:ascii="Arial" w:eastAsia="Times New Roman" w:hAnsi="Arial" w:cs="Arial"/>
                <w:color w:val="000000"/>
                <w:sz w:val="20"/>
                <w:szCs w:val="20"/>
              </w:rPr>
              <w:t>ed on November 23, 2009).</w:t>
            </w:r>
          </w:p>
        </w:tc>
      </w:tr>
      <w:tr w:rsidR="00000000" w14:paraId="6A888E2C" w14:textId="77777777">
        <w:trPr>
          <w:divId w:val="1135366133"/>
        </w:trPr>
        <w:tc>
          <w:tcPr>
            <w:tcW w:w="0" w:type="auto"/>
            <w:gridSpan w:val="3"/>
            <w:tcMar>
              <w:top w:w="30" w:type="dxa"/>
              <w:left w:w="20" w:type="dxa"/>
              <w:bottom w:w="30" w:type="dxa"/>
              <w:right w:w="20" w:type="dxa"/>
            </w:tcMar>
            <w:hideMark/>
          </w:tcPr>
          <w:p w14:paraId="593179CA" w14:textId="77777777" w:rsidR="00000000" w:rsidRDefault="00C01C43">
            <w:pPr>
              <w:divId w:val="1130125664"/>
              <w:rPr>
                <w:rFonts w:eastAsia="Times New Roman"/>
              </w:rPr>
            </w:pPr>
            <w:hyperlink r:id="rId8" w:history="1">
              <w:r>
                <w:rPr>
                  <w:rStyle w:val="a3"/>
                  <w:rFonts w:ascii="Arial" w:eastAsia="Times New Roman" w:hAnsi="Arial" w:cs="Arial"/>
                  <w:sz w:val="20"/>
                  <w:szCs w:val="20"/>
                </w:rPr>
                <w:t>3.3</w:t>
              </w:r>
            </w:hyperlink>
          </w:p>
        </w:tc>
        <w:tc>
          <w:tcPr>
            <w:tcW w:w="0" w:type="auto"/>
            <w:gridSpan w:val="3"/>
            <w:tcMar>
              <w:top w:w="0" w:type="dxa"/>
              <w:left w:w="20" w:type="dxa"/>
              <w:bottom w:w="0" w:type="dxa"/>
              <w:right w:w="20" w:type="dxa"/>
            </w:tcMar>
            <w:vAlign w:val="center"/>
            <w:hideMark/>
          </w:tcPr>
          <w:p w14:paraId="5A1A2FF2"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39AE3087" w14:textId="77777777" w:rsidR="00000000" w:rsidRDefault="00C01C43">
            <w:pPr>
              <w:jc w:val="both"/>
              <w:rPr>
                <w:rFonts w:eastAsia="Times New Roman"/>
              </w:rPr>
            </w:pPr>
            <w:r>
              <w:rPr>
                <w:rFonts w:ascii="Arial" w:eastAsia="Times New Roman" w:hAnsi="Arial" w:cs="Arial"/>
                <w:color w:val="000000"/>
                <w:sz w:val="20"/>
                <w:szCs w:val="20"/>
              </w:rPr>
              <w:t>By</w:t>
            </w:r>
            <w:r>
              <w:rPr>
                <w:rFonts w:ascii="Arial" w:eastAsia="Times New Roman" w:hAnsi="Arial" w:cs="Arial"/>
                <w:color w:val="000000"/>
                <w:sz w:val="20"/>
                <w:szCs w:val="20"/>
              </w:rPr>
              <w:noBreakHyphen/>
              <w:t>Laws, amended and restated as of August 26, 2011 (incorporated by reference herein from Exhibit 3.1 to our Current R</w:t>
            </w:r>
            <w:r>
              <w:rPr>
                <w:rFonts w:ascii="Arial" w:eastAsia="Times New Roman" w:hAnsi="Arial" w:cs="Arial"/>
                <w:color w:val="000000"/>
                <w:sz w:val="20"/>
                <w:szCs w:val="20"/>
              </w:rPr>
              <w:t>eport on Form 8</w:t>
            </w:r>
            <w:r>
              <w:rPr>
                <w:rFonts w:ascii="Arial" w:eastAsia="Times New Roman" w:hAnsi="Arial" w:cs="Arial"/>
                <w:color w:val="000000"/>
                <w:sz w:val="20"/>
                <w:szCs w:val="20"/>
              </w:rPr>
              <w:noBreakHyphen/>
              <w:t>K filed on August 29, 2011).</w:t>
            </w:r>
          </w:p>
        </w:tc>
      </w:tr>
      <w:tr w:rsidR="00000000" w14:paraId="7A680AF5" w14:textId="77777777">
        <w:trPr>
          <w:divId w:val="1135366133"/>
        </w:trPr>
        <w:tc>
          <w:tcPr>
            <w:tcW w:w="0" w:type="auto"/>
            <w:gridSpan w:val="3"/>
            <w:tcMar>
              <w:top w:w="30" w:type="dxa"/>
              <w:left w:w="20" w:type="dxa"/>
              <w:bottom w:w="30" w:type="dxa"/>
              <w:right w:w="20" w:type="dxa"/>
            </w:tcMar>
            <w:hideMark/>
          </w:tcPr>
          <w:p w14:paraId="13C313BD" w14:textId="77777777" w:rsidR="00000000" w:rsidRDefault="00C01C43">
            <w:pPr>
              <w:divId w:val="1786998987"/>
              <w:rPr>
                <w:rFonts w:eastAsia="Times New Roman"/>
              </w:rPr>
            </w:pPr>
            <w:hyperlink r:id="rId9" w:history="1">
              <w:r>
                <w:rPr>
                  <w:rStyle w:val="a3"/>
                  <w:rFonts w:ascii="Arial" w:eastAsia="Times New Roman" w:hAnsi="Arial" w:cs="Arial"/>
                  <w:sz w:val="20"/>
                  <w:szCs w:val="20"/>
                </w:rPr>
                <w:t>4.1</w:t>
              </w:r>
            </w:hyperlink>
          </w:p>
        </w:tc>
        <w:tc>
          <w:tcPr>
            <w:tcW w:w="0" w:type="auto"/>
            <w:gridSpan w:val="3"/>
            <w:tcMar>
              <w:top w:w="0" w:type="dxa"/>
              <w:left w:w="20" w:type="dxa"/>
              <w:bottom w:w="0" w:type="dxa"/>
              <w:right w:w="20" w:type="dxa"/>
            </w:tcMar>
            <w:vAlign w:val="center"/>
            <w:hideMark/>
          </w:tcPr>
          <w:p w14:paraId="3DD906C3"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49E53D28" w14:textId="77777777" w:rsidR="00000000" w:rsidRDefault="00C01C43">
            <w:pPr>
              <w:jc w:val="both"/>
              <w:rPr>
                <w:rFonts w:eastAsia="Times New Roman"/>
              </w:rPr>
            </w:pPr>
            <w:r>
              <w:rPr>
                <w:rFonts w:ascii="Arial" w:eastAsia="Times New Roman" w:hAnsi="Arial" w:cs="Arial"/>
                <w:color w:val="000000"/>
                <w:sz w:val="20"/>
                <w:szCs w:val="20"/>
              </w:rPr>
              <w:t>Description of Capital Stock (incorporated by reference herein from Exhibit 4.1 to our 2019 10-K).</w:t>
            </w:r>
          </w:p>
        </w:tc>
      </w:tr>
      <w:tr w:rsidR="00000000" w14:paraId="58232945" w14:textId="77777777">
        <w:trPr>
          <w:divId w:val="1135366133"/>
        </w:trPr>
        <w:tc>
          <w:tcPr>
            <w:tcW w:w="0" w:type="auto"/>
            <w:gridSpan w:val="3"/>
            <w:tcMar>
              <w:top w:w="30" w:type="dxa"/>
              <w:left w:w="20" w:type="dxa"/>
              <w:bottom w:w="30" w:type="dxa"/>
              <w:right w:w="20" w:type="dxa"/>
            </w:tcMar>
            <w:hideMark/>
          </w:tcPr>
          <w:p w14:paraId="04795AA2" w14:textId="77777777" w:rsidR="00000000" w:rsidRDefault="00C01C43">
            <w:pPr>
              <w:divId w:val="1351569075"/>
              <w:rPr>
                <w:rFonts w:eastAsia="Times New Roman"/>
              </w:rPr>
            </w:pPr>
            <w:hyperlink r:id="rId10" w:history="1">
              <w:r>
                <w:rPr>
                  <w:rStyle w:val="a3"/>
                  <w:rFonts w:ascii="Arial" w:eastAsia="Times New Roman" w:hAnsi="Arial" w:cs="Arial"/>
                  <w:sz w:val="20"/>
                  <w:szCs w:val="20"/>
                </w:rPr>
                <w:t>10.1</w:t>
              </w:r>
            </w:hyperlink>
          </w:p>
        </w:tc>
        <w:tc>
          <w:tcPr>
            <w:tcW w:w="0" w:type="auto"/>
            <w:gridSpan w:val="3"/>
            <w:tcMar>
              <w:top w:w="0" w:type="dxa"/>
              <w:left w:w="20" w:type="dxa"/>
              <w:bottom w:w="0" w:type="dxa"/>
              <w:right w:w="20" w:type="dxa"/>
            </w:tcMar>
            <w:vAlign w:val="center"/>
            <w:hideMark/>
          </w:tcPr>
          <w:p w14:paraId="3E96B59E"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36C25427" w14:textId="77777777" w:rsidR="00000000" w:rsidRDefault="00C01C43">
            <w:pPr>
              <w:jc w:val="both"/>
              <w:rPr>
                <w:rFonts w:eastAsia="Times New Roman"/>
              </w:rPr>
            </w:pPr>
            <w:r>
              <w:rPr>
                <w:rFonts w:ascii="Arial" w:eastAsia="Times New Roman" w:hAnsi="Arial" w:cs="Arial"/>
                <w:color w:val="000000"/>
                <w:sz w:val="20"/>
                <w:szCs w:val="20"/>
              </w:rPr>
              <w:t>Agreement between World Fuel Services Corporation and Michael J. Kasbar, dated March 14, 2008 (incorporated by reference herein from Exhibit 10.2 to our Current Report on Form 8</w:t>
            </w:r>
            <w:r>
              <w:rPr>
                <w:rFonts w:ascii="Arial" w:eastAsia="Times New Roman" w:hAnsi="Arial" w:cs="Arial"/>
                <w:color w:val="000000"/>
                <w:sz w:val="20"/>
                <w:szCs w:val="20"/>
              </w:rPr>
              <w:noBreakHyphen/>
              <w:t>K filed on March 20, 2008). *</w:t>
            </w:r>
          </w:p>
        </w:tc>
      </w:tr>
      <w:tr w:rsidR="00000000" w14:paraId="4A3F2F9A" w14:textId="77777777">
        <w:trPr>
          <w:divId w:val="1135366133"/>
        </w:trPr>
        <w:tc>
          <w:tcPr>
            <w:tcW w:w="0" w:type="auto"/>
            <w:gridSpan w:val="3"/>
            <w:tcMar>
              <w:top w:w="30" w:type="dxa"/>
              <w:left w:w="20" w:type="dxa"/>
              <w:bottom w:w="30" w:type="dxa"/>
              <w:right w:w="20" w:type="dxa"/>
            </w:tcMar>
            <w:hideMark/>
          </w:tcPr>
          <w:p w14:paraId="57F31262" w14:textId="77777777" w:rsidR="00000000" w:rsidRDefault="00C01C43">
            <w:pPr>
              <w:divId w:val="1067072135"/>
              <w:rPr>
                <w:rFonts w:eastAsia="Times New Roman"/>
              </w:rPr>
            </w:pPr>
            <w:hyperlink r:id="rId11" w:history="1">
              <w:r>
                <w:rPr>
                  <w:rStyle w:val="a3"/>
                  <w:rFonts w:ascii="Arial" w:eastAsia="Times New Roman" w:hAnsi="Arial" w:cs="Arial"/>
                  <w:sz w:val="20"/>
                  <w:szCs w:val="20"/>
                </w:rPr>
                <w:t>10.2</w:t>
              </w:r>
            </w:hyperlink>
          </w:p>
        </w:tc>
        <w:tc>
          <w:tcPr>
            <w:tcW w:w="0" w:type="auto"/>
            <w:gridSpan w:val="3"/>
            <w:tcMar>
              <w:top w:w="0" w:type="dxa"/>
              <w:left w:w="20" w:type="dxa"/>
              <w:bottom w:w="0" w:type="dxa"/>
              <w:right w:w="20" w:type="dxa"/>
            </w:tcMar>
            <w:vAlign w:val="center"/>
            <w:hideMark/>
          </w:tcPr>
          <w:p w14:paraId="23151D09"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7C07972A" w14:textId="77777777" w:rsidR="00000000" w:rsidRDefault="00C01C43">
            <w:pPr>
              <w:jc w:val="both"/>
              <w:rPr>
                <w:rFonts w:eastAsia="Times New Roman"/>
              </w:rPr>
            </w:pPr>
            <w:r>
              <w:rPr>
                <w:rFonts w:ascii="Arial" w:eastAsia="Times New Roman" w:hAnsi="Arial" w:cs="Arial"/>
                <w:color w:val="000000"/>
                <w:sz w:val="20"/>
                <w:szCs w:val="20"/>
              </w:rPr>
              <w:t>Amendment No. 1, dated August 26, 2011, to Agreement between World Fuel Services Corporation and Michael J. Kasbar (incorporated by reference herein from Exhibit 10.1 to our Current Report on</w:t>
            </w:r>
            <w:r>
              <w:rPr>
                <w:rFonts w:ascii="Arial" w:eastAsia="Times New Roman" w:hAnsi="Arial" w:cs="Arial"/>
                <w:color w:val="000000"/>
                <w:sz w:val="20"/>
                <w:szCs w:val="20"/>
              </w:rPr>
              <w:t xml:space="preserve"> Form 8</w:t>
            </w:r>
            <w:r>
              <w:rPr>
                <w:rFonts w:ascii="Arial" w:eastAsia="Times New Roman" w:hAnsi="Arial" w:cs="Arial"/>
                <w:color w:val="000000"/>
                <w:sz w:val="20"/>
                <w:szCs w:val="20"/>
              </w:rPr>
              <w:noBreakHyphen/>
              <w:t>K filed on August 29, 2011). *</w:t>
            </w:r>
          </w:p>
        </w:tc>
      </w:tr>
      <w:tr w:rsidR="00000000" w14:paraId="6C0F2240" w14:textId="77777777">
        <w:trPr>
          <w:divId w:val="1135366133"/>
        </w:trPr>
        <w:tc>
          <w:tcPr>
            <w:tcW w:w="0" w:type="auto"/>
            <w:gridSpan w:val="3"/>
            <w:tcMar>
              <w:top w:w="30" w:type="dxa"/>
              <w:left w:w="20" w:type="dxa"/>
              <w:bottom w:w="30" w:type="dxa"/>
              <w:right w:w="20" w:type="dxa"/>
            </w:tcMar>
            <w:hideMark/>
          </w:tcPr>
          <w:p w14:paraId="7511FED5" w14:textId="77777777" w:rsidR="00000000" w:rsidRDefault="00C01C43">
            <w:pPr>
              <w:divId w:val="1685204645"/>
              <w:rPr>
                <w:rFonts w:eastAsia="Times New Roman"/>
              </w:rPr>
            </w:pPr>
            <w:hyperlink r:id="rId12" w:history="1">
              <w:r>
                <w:rPr>
                  <w:rStyle w:val="a3"/>
                  <w:rFonts w:ascii="Arial" w:eastAsia="Times New Roman" w:hAnsi="Arial" w:cs="Arial"/>
                  <w:sz w:val="20"/>
                  <w:szCs w:val="20"/>
                </w:rPr>
                <w:t>10.3</w:t>
              </w:r>
            </w:hyperlink>
          </w:p>
        </w:tc>
        <w:tc>
          <w:tcPr>
            <w:tcW w:w="0" w:type="auto"/>
            <w:gridSpan w:val="3"/>
            <w:tcMar>
              <w:top w:w="0" w:type="dxa"/>
              <w:left w:w="20" w:type="dxa"/>
              <w:bottom w:w="0" w:type="dxa"/>
              <w:right w:w="20" w:type="dxa"/>
            </w:tcMar>
            <w:vAlign w:val="center"/>
            <w:hideMark/>
          </w:tcPr>
          <w:p w14:paraId="4E6A340E"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5B5BCE88" w14:textId="77777777" w:rsidR="00000000" w:rsidRDefault="00C01C43">
            <w:pPr>
              <w:jc w:val="both"/>
              <w:rPr>
                <w:rFonts w:eastAsia="Times New Roman"/>
              </w:rPr>
            </w:pPr>
            <w:r>
              <w:rPr>
                <w:rFonts w:ascii="Arial" w:eastAsia="Times New Roman" w:hAnsi="Arial" w:cs="Arial"/>
                <w:color w:val="000000"/>
                <w:sz w:val="20"/>
                <w:szCs w:val="20"/>
              </w:rPr>
              <w:t>Amendment No. 2, dated April </w:t>
            </w:r>
            <w:r>
              <w:rPr>
                <w:rFonts w:ascii="Arial" w:eastAsia="Times New Roman" w:hAnsi="Arial" w:cs="Arial"/>
                <w:color w:val="000000"/>
                <w:sz w:val="20"/>
                <w:szCs w:val="20"/>
              </w:rPr>
              <w:t>9, 2012, to Agreement between World Fuel Services Corporation and Michael J. Kasbar (incorporated by reference herein from Exhibit 10.1 to our Current Report on Form 8</w:t>
            </w:r>
            <w:r>
              <w:rPr>
                <w:rFonts w:ascii="Arial" w:eastAsia="Times New Roman" w:hAnsi="Arial" w:cs="Arial"/>
                <w:color w:val="000000"/>
                <w:sz w:val="20"/>
                <w:szCs w:val="20"/>
              </w:rPr>
              <w:noBreakHyphen/>
              <w:t>K filed on April 13, 2012). *</w:t>
            </w:r>
          </w:p>
        </w:tc>
      </w:tr>
      <w:tr w:rsidR="00000000" w14:paraId="66D71EC8" w14:textId="77777777">
        <w:trPr>
          <w:divId w:val="1135366133"/>
        </w:trPr>
        <w:tc>
          <w:tcPr>
            <w:tcW w:w="0" w:type="auto"/>
            <w:gridSpan w:val="3"/>
            <w:tcMar>
              <w:top w:w="30" w:type="dxa"/>
              <w:left w:w="20" w:type="dxa"/>
              <w:bottom w:w="30" w:type="dxa"/>
              <w:right w:w="20" w:type="dxa"/>
            </w:tcMar>
            <w:hideMark/>
          </w:tcPr>
          <w:p w14:paraId="1BA1F234" w14:textId="77777777" w:rsidR="00000000" w:rsidRDefault="00C01C43">
            <w:pPr>
              <w:divId w:val="2119332650"/>
              <w:rPr>
                <w:rFonts w:eastAsia="Times New Roman"/>
              </w:rPr>
            </w:pPr>
            <w:hyperlink r:id="rId13" w:history="1">
              <w:r>
                <w:rPr>
                  <w:rStyle w:val="a3"/>
                  <w:rFonts w:ascii="Arial" w:eastAsia="Times New Roman" w:hAnsi="Arial" w:cs="Arial"/>
                  <w:sz w:val="20"/>
                  <w:szCs w:val="20"/>
                </w:rPr>
                <w:t>10.4</w:t>
              </w:r>
            </w:hyperlink>
          </w:p>
        </w:tc>
        <w:tc>
          <w:tcPr>
            <w:tcW w:w="0" w:type="auto"/>
            <w:gridSpan w:val="3"/>
            <w:tcMar>
              <w:top w:w="0" w:type="dxa"/>
              <w:left w:w="20" w:type="dxa"/>
              <w:bottom w:w="0" w:type="dxa"/>
              <w:right w:w="20" w:type="dxa"/>
            </w:tcMar>
            <w:vAlign w:val="center"/>
            <w:hideMark/>
          </w:tcPr>
          <w:p w14:paraId="2ED57F98"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4F8CC7BB" w14:textId="77777777" w:rsidR="00000000" w:rsidRDefault="00C01C43">
            <w:pPr>
              <w:jc w:val="both"/>
              <w:rPr>
                <w:rFonts w:eastAsia="Times New Roman"/>
              </w:rPr>
            </w:pPr>
            <w:r>
              <w:rPr>
                <w:rFonts w:ascii="Arial" w:eastAsia="Times New Roman" w:hAnsi="Arial" w:cs="Arial"/>
                <w:color w:val="000000"/>
                <w:sz w:val="20"/>
                <w:szCs w:val="20"/>
              </w:rPr>
              <w:t>Amendment No. 3, dated April 11, 2014, to Agreement between World Fuel Services Corporation and Michael J. Kasbar (incorporated by reference herein from Exhibit 10.2 to our Current Report on Form 8</w:t>
            </w:r>
            <w:r>
              <w:rPr>
                <w:rFonts w:ascii="Arial" w:eastAsia="Times New Roman" w:hAnsi="Arial" w:cs="Arial"/>
                <w:color w:val="000000"/>
                <w:sz w:val="20"/>
                <w:szCs w:val="20"/>
              </w:rPr>
              <w:noBreakHyphen/>
            </w:r>
            <w:r>
              <w:rPr>
                <w:rFonts w:ascii="Arial" w:eastAsia="Times New Roman" w:hAnsi="Arial" w:cs="Arial"/>
                <w:color w:val="000000"/>
                <w:sz w:val="20"/>
                <w:szCs w:val="20"/>
              </w:rPr>
              <w:t>K filed on April 11, 2014). *</w:t>
            </w:r>
          </w:p>
        </w:tc>
      </w:tr>
      <w:tr w:rsidR="00000000" w14:paraId="4F6D494E" w14:textId="77777777">
        <w:trPr>
          <w:divId w:val="1135366133"/>
        </w:trPr>
        <w:tc>
          <w:tcPr>
            <w:tcW w:w="0" w:type="auto"/>
            <w:gridSpan w:val="3"/>
            <w:tcMar>
              <w:top w:w="30" w:type="dxa"/>
              <w:left w:w="20" w:type="dxa"/>
              <w:bottom w:w="30" w:type="dxa"/>
              <w:right w:w="20" w:type="dxa"/>
            </w:tcMar>
            <w:hideMark/>
          </w:tcPr>
          <w:p w14:paraId="65C4D44B" w14:textId="77777777" w:rsidR="00000000" w:rsidRDefault="00C01C43">
            <w:pPr>
              <w:divId w:val="832650475"/>
              <w:rPr>
                <w:rFonts w:eastAsia="Times New Roman"/>
              </w:rPr>
            </w:pPr>
            <w:hyperlink r:id="rId14" w:history="1">
              <w:r>
                <w:rPr>
                  <w:rStyle w:val="a3"/>
                  <w:rFonts w:ascii="Arial" w:eastAsia="Times New Roman" w:hAnsi="Arial" w:cs="Arial"/>
                  <w:sz w:val="20"/>
                  <w:szCs w:val="20"/>
                </w:rPr>
                <w:t>10.5</w:t>
              </w:r>
            </w:hyperlink>
          </w:p>
        </w:tc>
        <w:tc>
          <w:tcPr>
            <w:tcW w:w="0" w:type="auto"/>
            <w:gridSpan w:val="3"/>
            <w:tcMar>
              <w:top w:w="0" w:type="dxa"/>
              <w:left w:w="20" w:type="dxa"/>
              <w:bottom w:w="0" w:type="dxa"/>
              <w:right w:w="20" w:type="dxa"/>
            </w:tcMar>
            <w:vAlign w:val="center"/>
            <w:hideMark/>
          </w:tcPr>
          <w:p w14:paraId="4B1121D4"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6B4BA106" w14:textId="77777777" w:rsidR="00000000" w:rsidRDefault="00C01C43">
            <w:pPr>
              <w:jc w:val="both"/>
              <w:rPr>
                <w:rFonts w:eastAsia="Times New Roman"/>
              </w:rPr>
            </w:pPr>
            <w:r>
              <w:rPr>
                <w:rFonts w:ascii="Arial" w:eastAsia="Times New Roman" w:hAnsi="Arial" w:cs="Arial"/>
                <w:color w:val="000000"/>
                <w:sz w:val="20"/>
                <w:szCs w:val="20"/>
              </w:rPr>
              <w:t>Executive Severance Agreement between World Fuel Services Corporation and Ira M. Birns, dated April 16, 2007 (incorporated by reference herein from Exhibit 10.2 to our Current Report on Form 8</w:t>
            </w:r>
            <w:r>
              <w:rPr>
                <w:rFonts w:ascii="Arial" w:eastAsia="Times New Roman" w:hAnsi="Arial" w:cs="Arial"/>
                <w:color w:val="000000"/>
                <w:sz w:val="20"/>
                <w:szCs w:val="20"/>
              </w:rPr>
              <w:noBreakHyphen/>
              <w:t>K filed on April 16, 2007). *</w:t>
            </w:r>
          </w:p>
        </w:tc>
      </w:tr>
      <w:tr w:rsidR="00000000" w14:paraId="49866B7F" w14:textId="77777777">
        <w:trPr>
          <w:divId w:val="1135366133"/>
        </w:trPr>
        <w:tc>
          <w:tcPr>
            <w:tcW w:w="0" w:type="auto"/>
            <w:gridSpan w:val="3"/>
            <w:tcMar>
              <w:top w:w="30" w:type="dxa"/>
              <w:left w:w="20" w:type="dxa"/>
              <w:bottom w:w="30" w:type="dxa"/>
              <w:right w:w="20" w:type="dxa"/>
            </w:tcMar>
            <w:hideMark/>
          </w:tcPr>
          <w:p w14:paraId="2EA2255B" w14:textId="77777777" w:rsidR="00000000" w:rsidRDefault="00C01C43">
            <w:pPr>
              <w:divId w:val="224529808"/>
              <w:rPr>
                <w:rFonts w:eastAsia="Times New Roman"/>
              </w:rPr>
            </w:pPr>
            <w:hyperlink r:id="rId15" w:history="1">
              <w:r>
                <w:rPr>
                  <w:rStyle w:val="a3"/>
                  <w:rFonts w:ascii="Arial" w:eastAsia="Times New Roman" w:hAnsi="Arial" w:cs="Arial"/>
                  <w:sz w:val="20"/>
                  <w:szCs w:val="20"/>
                </w:rPr>
                <w:t>10.6</w:t>
              </w:r>
            </w:hyperlink>
          </w:p>
        </w:tc>
        <w:tc>
          <w:tcPr>
            <w:tcW w:w="0" w:type="auto"/>
            <w:gridSpan w:val="3"/>
            <w:tcMar>
              <w:top w:w="0" w:type="dxa"/>
              <w:left w:w="20" w:type="dxa"/>
              <w:bottom w:w="0" w:type="dxa"/>
              <w:right w:w="20" w:type="dxa"/>
            </w:tcMar>
            <w:vAlign w:val="center"/>
            <w:hideMark/>
          </w:tcPr>
          <w:p w14:paraId="1D7FDCBE"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4D441FD7" w14:textId="77777777" w:rsidR="00000000" w:rsidRDefault="00C01C43">
            <w:pPr>
              <w:rPr>
                <w:rFonts w:eastAsia="Times New Roman"/>
              </w:rPr>
            </w:pPr>
            <w:r>
              <w:rPr>
                <w:rFonts w:ascii="Arial" w:eastAsia="Times New Roman" w:hAnsi="Arial" w:cs="Arial"/>
                <w:color w:val="000000"/>
                <w:sz w:val="20"/>
                <w:szCs w:val="20"/>
              </w:rPr>
              <w:t xml:space="preserve">World Fuel Services Corporation Executive Severance Policy, effective as of December 31, 2016 (incorporated by reference herein from Exhibit 10.1 to our Quarterly Report on Form </w:t>
            </w:r>
            <w:r>
              <w:rPr>
                <w:rFonts w:ascii="Arial" w:eastAsia="Times New Roman" w:hAnsi="Arial" w:cs="Arial"/>
                <w:color w:val="000000"/>
                <w:sz w:val="20"/>
                <w:szCs w:val="20"/>
              </w:rPr>
              <w:t>10-Q for the quarter ended June 30, 2017 filed on July 28, 2017 ("2017 10-Q")). *</w:t>
            </w:r>
          </w:p>
        </w:tc>
      </w:tr>
      <w:tr w:rsidR="00000000" w14:paraId="458A4056" w14:textId="77777777">
        <w:trPr>
          <w:divId w:val="1135366133"/>
        </w:trPr>
        <w:tc>
          <w:tcPr>
            <w:tcW w:w="0" w:type="auto"/>
            <w:gridSpan w:val="3"/>
            <w:tcMar>
              <w:top w:w="30" w:type="dxa"/>
              <w:left w:w="20" w:type="dxa"/>
              <w:bottom w:w="30" w:type="dxa"/>
              <w:right w:w="20" w:type="dxa"/>
            </w:tcMar>
            <w:hideMark/>
          </w:tcPr>
          <w:p w14:paraId="44D6D2A9" w14:textId="77777777" w:rsidR="00000000" w:rsidRDefault="00C01C43">
            <w:pPr>
              <w:divId w:val="1322006876"/>
              <w:rPr>
                <w:rFonts w:eastAsia="Times New Roman"/>
              </w:rPr>
            </w:pPr>
            <w:hyperlink r:id="rId16" w:history="1">
              <w:r>
                <w:rPr>
                  <w:rStyle w:val="a3"/>
                  <w:rFonts w:ascii="Arial" w:eastAsia="Times New Roman" w:hAnsi="Arial" w:cs="Arial"/>
                  <w:sz w:val="20"/>
                  <w:szCs w:val="20"/>
                </w:rPr>
                <w:t>10.7</w:t>
              </w:r>
            </w:hyperlink>
          </w:p>
        </w:tc>
        <w:tc>
          <w:tcPr>
            <w:tcW w:w="0" w:type="auto"/>
            <w:gridSpan w:val="3"/>
            <w:tcMar>
              <w:top w:w="0" w:type="dxa"/>
              <w:left w:w="20" w:type="dxa"/>
              <w:bottom w:w="0" w:type="dxa"/>
              <w:right w:w="20" w:type="dxa"/>
            </w:tcMar>
            <w:vAlign w:val="center"/>
            <w:hideMark/>
          </w:tcPr>
          <w:p w14:paraId="005C69FA"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745A415B" w14:textId="77777777" w:rsidR="00000000" w:rsidRDefault="00C01C43">
            <w:pPr>
              <w:jc w:val="both"/>
              <w:rPr>
                <w:rFonts w:eastAsia="Times New Roman"/>
              </w:rPr>
            </w:pPr>
            <w:r>
              <w:rPr>
                <w:rFonts w:ascii="Arial" w:eastAsia="Times New Roman" w:hAnsi="Arial" w:cs="Arial"/>
                <w:color w:val="000000"/>
                <w:sz w:val="20"/>
                <w:szCs w:val="20"/>
              </w:rPr>
              <w:t>2016 Omnibus Plan (incorporated by reference herein from E</w:t>
            </w:r>
            <w:r>
              <w:rPr>
                <w:rFonts w:ascii="Arial" w:eastAsia="Times New Roman" w:hAnsi="Arial" w:cs="Arial"/>
                <w:color w:val="000000"/>
                <w:sz w:val="20"/>
                <w:szCs w:val="20"/>
              </w:rPr>
              <w:t>xhibit 10.1 to our Current Report on Form 8-K filed on June 2, 2016). *</w:t>
            </w:r>
          </w:p>
        </w:tc>
      </w:tr>
      <w:tr w:rsidR="00000000" w14:paraId="77CAB8B2" w14:textId="77777777">
        <w:trPr>
          <w:divId w:val="1135366133"/>
        </w:trPr>
        <w:tc>
          <w:tcPr>
            <w:tcW w:w="0" w:type="auto"/>
            <w:gridSpan w:val="3"/>
            <w:tcMar>
              <w:top w:w="30" w:type="dxa"/>
              <w:left w:w="20" w:type="dxa"/>
              <w:bottom w:w="30" w:type="dxa"/>
              <w:right w:w="20" w:type="dxa"/>
            </w:tcMar>
            <w:hideMark/>
          </w:tcPr>
          <w:p w14:paraId="63D30A44" w14:textId="77777777" w:rsidR="00000000" w:rsidRDefault="00C01C43">
            <w:pPr>
              <w:divId w:val="387922271"/>
              <w:rPr>
                <w:rFonts w:eastAsia="Times New Roman"/>
              </w:rPr>
            </w:pPr>
            <w:hyperlink r:id="rId17" w:history="1">
              <w:r>
                <w:rPr>
                  <w:rStyle w:val="a3"/>
                  <w:rFonts w:ascii="Arial" w:eastAsia="Times New Roman" w:hAnsi="Arial" w:cs="Arial"/>
                  <w:sz w:val="20"/>
                  <w:szCs w:val="20"/>
                </w:rPr>
                <w:t>10.8</w:t>
              </w:r>
            </w:hyperlink>
          </w:p>
        </w:tc>
        <w:tc>
          <w:tcPr>
            <w:tcW w:w="0" w:type="auto"/>
            <w:gridSpan w:val="3"/>
            <w:tcMar>
              <w:top w:w="0" w:type="dxa"/>
              <w:left w:w="20" w:type="dxa"/>
              <w:bottom w:w="0" w:type="dxa"/>
              <w:right w:w="20" w:type="dxa"/>
            </w:tcMar>
            <w:vAlign w:val="center"/>
            <w:hideMark/>
          </w:tcPr>
          <w:p w14:paraId="323DC98A"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0769901F" w14:textId="77777777" w:rsidR="00000000" w:rsidRDefault="00C01C43">
            <w:pPr>
              <w:jc w:val="both"/>
              <w:rPr>
                <w:rFonts w:eastAsia="Times New Roman"/>
              </w:rPr>
            </w:pPr>
            <w:r>
              <w:rPr>
                <w:rFonts w:ascii="Arial" w:eastAsia="Times New Roman" w:hAnsi="Arial" w:cs="Arial"/>
                <w:color w:val="000000"/>
                <w:sz w:val="20"/>
                <w:szCs w:val="20"/>
              </w:rPr>
              <w:t>2020 Omnibus Plan (incorporated by reference herein from Exhibit 10.1 to our Current Report on Form 8-K filed on May 27, 2020). *</w:t>
            </w:r>
          </w:p>
        </w:tc>
      </w:tr>
      <w:tr w:rsidR="00000000" w14:paraId="16E5B77D" w14:textId="77777777">
        <w:trPr>
          <w:divId w:val="1135366133"/>
        </w:trPr>
        <w:tc>
          <w:tcPr>
            <w:tcW w:w="0" w:type="auto"/>
            <w:gridSpan w:val="3"/>
            <w:tcMar>
              <w:top w:w="30" w:type="dxa"/>
              <w:left w:w="20" w:type="dxa"/>
              <w:bottom w:w="30" w:type="dxa"/>
              <w:right w:w="20" w:type="dxa"/>
            </w:tcMar>
            <w:hideMark/>
          </w:tcPr>
          <w:p w14:paraId="371C70C9" w14:textId="77777777" w:rsidR="00000000" w:rsidRDefault="00C01C43">
            <w:pPr>
              <w:divId w:val="329603367"/>
              <w:rPr>
                <w:rFonts w:eastAsia="Times New Roman"/>
              </w:rPr>
            </w:pPr>
            <w:hyperlink r:id="rId18" w:history="1">
              <w:r>
                <w:rPr>
                  <w:rStyle w:val="a3"/>
                  <w:rFonts w:ascii="Arial" w:eastAsia="Times New Roman" w:hAnsi="Arial" w:cs="Arial"/>
                  <w:sz w:val="20"/>
                  <w:szCs w:val="20"/>
                </w:rPr>
                <w:t>10.9</w:t>
              </w:r>
            </w:hyperlink>
          </w:p>
        </w:tc>
        <w:tc>
          <w:tcPr>
            <w:tcW w:w="0" w:type="auto"/>
            <w:gridSpan w:val="3"/>
            <w:tcMar>
              <w:top w:w="0" w:type="dxa"/>
              <w:left w:w="20" w:type="dxa"/>
              <w:bottom w:w="0" w:type="dxa"/>
              <w:right w:w="20" w:type="dxa"/>
            </w:tcMar>
            <w:vAlign w:val="center"/>
            <w:hideMark/>
          </w:tcPr>
          <w:p w14:paraId="591FAD0E"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2F3ECA5A" w14:textId="77777777" w:rsidR="00000000" w:rsidRDefault="00C01C43">
            <w:pPr>
              <w:divId w:val="1659729602"/>
              <w:rPr>
                <w:rFonts w:eastAsia="Times New Roman"/>
              </w:rPr>
            </w:pPr>
            <w:r>
              <w:rPr>
                <w:rFonts w:ascii="Arial" w:eastAsia="Times New Roman" w:hAnsi="Arial" w:cs="Arial"/>
                <w:color w:val="000000"/>
                <w:sz w:val="20"/>
                <w:szCs w:val="20"/>
              </w:rPr>
              <w:t>Form</w:t>
            </w:r>
            <w:r>
              <w:rPr>
                <w:rFonts w:ascii="Arial" w:eastAsia="Times New Roman" w:hAnsi="Arial" w:cs="Arial"/>
                <w:color w:val="000000"/>
                <w:sz w:val="20"/>
                <w:szCs w:val="20"/>
              </w:rPr>
              <w:t xml:space="preserve"> of Non-Employee Director 2017 Restricted Stock Unit Grant Agreement under the 2016 Omnibus Plan (incorporated by reference herein from Exhibit 10.24 to our Annual Report on Form 10-K for the year ended December 31, 2015 filed on February 16, 2016). *</w:t>
            </w:r>
          </w:p>
        </w:tc>
      </w:tr>
      <w:tr w:rsidR="00000000" w14:paraId="0FF34E62" w14:textId="77777777">
        <w:trPr>
          <w:divId w:val="1135366133"/>
        </w:trPr>
        <w:tc>
          <w:tcPr>
            <w:tcW w:w="0" w:type="auto"/>
            <w:gridSpan w:val="3"/>
            <w:tcMar>
              <w:top w:w="30" w:type="dxa"/>
              <w:left w:w="20" w:type="dxa"/>
              <w:bottom w:w="30" w:type="dxa"/>
              <w:right w:w="20" w:type="dxa"/>
            </w:tcMar>
            <w:hideMark/>
          </w:tcPr>
          <w:p w14:paraId="05BCF341" w14:textId="77777777" w:rsidR="00000000" w:rsidRDefault="00C01C43">
            <w:pPr>
              <w:divId w:val="570504806"/>
              <w:rPr>
                <w:rFonts w:eastAsia="Times New Roman"/>
              </w:rPr>
            </w:pPr>
            <w:hyperlink r:id="rId19" w:history="1">
              <w:r>
                <w:rPr>
                  <w:rStyle w:val="a3"/>
                  <w:rFonts w:ascii="Arial" w:eastAsia="Times New Roman" w:hAnsi="Arial" w:cs="Arial"/>
                  <w:sz w:val="20"/>
                  <w:szCs w:val="20"/>
                </w:rPr>
                <w:t>10.10</w:t>
              </w:r>
            </w:hyperlink>
          </w:p>
        </w:tc>
        <w:tc>
          <w:tcPr>
            <w:tcW w:w="0" w:type="auto"/>
            <w:gridSpan w:val="3"/>
            <w:tcMar>
              <w:top w:w="0" w:type="dxa"/>
              <w:left w:w="20" w:type="dxa"/>
              <w:bottom w:w="0" w:type="dxa"/>
              <w:right w:w="20" w:type="dxa"/>
            </w:tcMar>
            <w:vAlign w:val="center"/>
            <w:hideMark/>
          </w:tcPr>
          <w:p w14:paraId="3CCCCAF9"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17937B71" w14:textId="77777777" w:rsidR="00000000" w:rsidRDefault="00C01C43">
            <w:pPr>
              <w:divId w:val="130170763"/>
              <w:rPr>
                <w:rFonts w:eastAsia="Times New Roman"/>
              </w:rPr>
            </w:pPr>
            <w:r>
              <w:rPr>
                <w:rFonts w:ascii="Arial" w:eastAsia="Times New Roman" w:hAnsi="Arial" w:cs="Arial"/>
                <w:color w:val="000000"/>
                <w:sz w:val="20"/>
                <w:szCs w:val="20"/>
              </w:rPr>
              <w:t>Form of Non-Employee Director Restricted Stock Unit Grant Agreement under the 2016 Omnibus Plan (incorporated by reference herein from Exhibit 10.10 to our 2019 10-K). *</w:t>
            </w:r>
          </w:p>
        </w:tc>
      </w:tr>
      <w:tr w:rsidR="00000000" w14:paraId="11C3D96B" w14:textId="77777777">
        <w:trPr>
          <w:divId w:val="1135366133"/>
        </w:trPr>
        <w:tc>
          <w:tcPr>
            <w:tcW w:w="0" w:type="auto"/>
            <w:gridSpan w:val="3"/>
            <w:tcMar>
              <w:top w:w="30" w:type="dxa"/>
              <w:left w:w="20" w:type="dxa"/>
              <w:bottom w:w="30" w:type="dxa"/>
              <w:right w:w="20" w:type="dxa"/>
            </w:tcMar>
            <w:hideMark/>
          </w:tcPr>
          <w:p w14:paraId="0412BF27" w14:textId="77777777" w:rsidR="00000000" w:rsidRDefault="00C01C43">
            <w:pPr>
              <w:divId w:val="1646809403"/>
              <w:rPr>
                <w:rFonts w:eastAsia="Times New Roman"/>
              </w:rPr>
            </w:pPr>
            <w:hyperlink r:id="rId20" w:history="1">
              <w:r>
                <w:rPr>
                  <w:rStyle w:val="a3"/>
                  <w:rFonts w:ascii="Arial" w:eastAsia="Times New Roman" w:hAnsi="Arial" w:cs="Arial"/>
                  <w:sz w:val="20"/>
                  <w:szCs w:val="20"/>
                </w:rPr>
                <w:t>10.11</w:t>
              </w:r>
            </w:hyperlink>
          </w:p>
        </w:tc>
        <w:tc>
          <w:tcPr>
            <w:tcW w:w="0" w:type="auto"/>
            <w:gridSpan w:val="3"/>
            <w:tcMar>
              <w:top w:w="0" w:type="dxa"/>
              <w:left w:w="20" w:type="dxa"/>
              <w:bottom w:w="0" w:type="dxa"/>
              <w:right w:w="20" w:type="dxa"/>
            </w:tcMar>
            <w:vAlign w:val="center"/>
            <w:hideMark/>
          </w:tcPr>
          <w:p w14:paraId="5E3BDB76"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395F22B9" w14:textId="77777777" w:rsidR="00000000" w:rsidRDefault="00C01C43">
            <w:pPr>
              <w:rPr>
                <w:rFonts w:eastAsia="Times New Roman"/>
              </w:rPr>
            </w:pPr>
            <w:r>
              <w:rPr>
                <w:rFonts w:ascii="Arial" w:eastAsia="Times New Roman" w:hAnsi="Arial" w:cs="Arial"/>
                <w:color w:val="000000"/>
                <w:sz w:val="20"/>
                <w:szCs w:val="20"/>
              </w:rPr>
              <w:t>Form of Named Executive Officer Restricted Stock Unit Grant Agreement under the 2016 Omnibus Plan (incorporated by reference herein from Exhibit 10.10 to our Annual Report on Form 10-K for the year ended December 31, 2017 filed o</w:t>
            </w:r>
            <w:r>
              <w:rPr>
                <w:rFonts w:ascii="Arial" w:eastAsia="Times New Roman" w:hAnsi="Arial" w:cs="Arial"/>
                <w:color w:val="000000"/>
                <w:sz w:val="20"/>
                <w:szCs w:val="20"/>
              </w:rPr>
              <w:t>n February 28, 2018 ("2017 10-K"). *</w:t>
            </w:r>
          </w:p>
        </w:tc>
      </w:tr>
      <w:tr w:rsidR="00000000" w14:paraId="748C3ED1" w14:textId="77777777">
        <w:trPr>
          <w:divId w:val="1135366133"/>
        </w:trPr>
        <w:tc>
          <w:tcPr>
            <w:tcW w:w="0" w:type="auto"/>
            <w:gridSpan w:val="3"/>
            <w:tcMar>
              <w:top w:w="30" w:type="dxa"/>
              <w:left w:w="20" w:type="dxa"/>
              <w:bottom w:w="30" w:type="dxa"/>
              <w:right w:w="20" w:type="dxa"/>
            </w:tcMar>
            <w:hideMark/>
          </w:tcPr>
          <w:p w14:paraId="217898EB" w14:textId="77777777" w:rsidR="00000000" w:rsidRDefault="00C01C43">
            <w:pPr>
              <w:divId w:val="1972981554"/>
              <w:rPr>
                <w:rFonts w:eastAsia="Times New Roman"/>
              </w:rPr>
            </w:pPr>
            <w:hyperlink r:id="rId21" w:history="1">
              <w:r>
                <w:rPr>
                  <w:rStyle w:val="a3"/>
                  <w:rFonts w:ascii="Arial" w:eastAsia="Times New Roman" w:hAnsi="Arial" w:cs="Arial"/>
                  <w:sz w:val="20"/>
                  <w:szCs w:val="20"/>
                </w:rPr>
                <w:t>10.12</w:t>
              </w:r>
            </w:hyperlink>
          </w:p>
        </w:tc>
        <w:tc>
          <w:tcPr>
            <w:tcW w:w="0" w:type="auto"/>
            <w:gridSpan w:val="3"/>
            <w:tcMar>
              <w:top w:w="0" w:type="dxa"/>
              <w:left w:w="20" w:type="dxa"/>
              <w:bottom w:w="0" w:type="dxa"/>
              <w:right w:w="20" w:type="dxa"/>
            </w:tcMar>
            <w:vAlign w:val="center"/>
            <w:hideMark/>
          </w:tcPr>
          <w:p w14:paraId="2A8F27F2"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50FC27B6" w14:textId="77777777" w:rsidR="00000000" w:rsidRDefault="00C01C43">
            <w:pPr>
              <w:jc w:val="both"/>
              <w:divId w:val="1116944916"/>
              <w:rPr>
                <w:rFonts w:eastAsia="Times New Roman"/>
              </w:rPr>
            </w:pPr>
            <w:r>
              <w:rPr>
                <w:rFonts w:ascii="Arial" w:eastAsia="Times New Roman" w:hAnsi="Arial" w:cs="Arial"/>
                <w:color w:val="000000"/>
                <w:sz w:val="20"/>
                <w:szCs w:val="20"/>
              </w:rPr>
              <w:t xml:space="preserve">Form of Named Executive Officer Long-Term Incentive Restricted Stock Unit Grant Agreement under </w:t>
            </w:r>
            <w:r>
              <w:rPr>
                <w:rFonts w:ascii="Arial" w:eastAsia="Times New Roman" w:hAnsi="Arial" w:cs="Arial"/>
                <w:color w:val="000000"/>
                <w:sz w:val="20"/>
                <w:szCs w:val="20"/>
              </w:rPr>
              <w:t>the 2006 Omnibus Plan (incorporated by reference herein from Exhibit 10.1 to our Quarterly Report on Form 10</w:t>
            </w:r>
            <w:r>
              <w:rPr>
                <w:rFonts w:ascii="Arial" w:eastAsia="Times New Roman" w:hAnsi="Arial" w:cs="Arial"/>
                <w:color w:val="000000"/>
                <w:sz w:val="20"/>
                <w:szCs w:val="20"/>
              </w:rPr>
              <w:noBreakHyphen/>
              <w:t>Q for the quarter ended June 30, 2015 filed on July 30, 2015). *</w:t>
            </w:r>
          </w:p>
        </w:tc>
      </w:tr>
      <w:tr w:rsidR="00000000" w14:paraId="585DC9F0" w14:textId="77777777">
        <w:trPr>
          <w:divId w:val="1135366133"/>
        </w:trPr>
        <w:tc>
          <w:tcPr>
            <w:tcW w:w="0" w:type="auto"/>
            <w:gridSpan w:val="3"/>
            <w:tcMar>
              <w:top w:w="30" w:type="dxa"/>
              <w:left w:w="20" w:type="dxa"/>
              <w:bottom w:w="30" w:type="dxa"/>
              <w:right w:w="20" w:type="dxa"/>
            </w:tcMar>
            <w:hideMark/>
          </w:tcPr>
          <w:p w14:paraId="4352BFA0" w14:textId="77777777" w:rsidR="00000000" w:rsidRDefault="00C01C43">
            <w:pPr>
              <w:divId w:val="606079571"/>
              <w:rPr>
                <w:rFonts w:eastAsia="Times New Roman"/>
              </w:rPr>
            </w:pPr>
            <w:hyperlink r:id="rId22" w:history="1">
              <w:r>
                <w:rPr>
                  <w:rStyle w:val="a3"/>
                  <w:rFonts w:ascii="Arial" w:eastAsia="Times New Roman" w:hAnsi="Arial" w:cs="Arial"/>
                  <w:sz w:val="20"/>
                  <w:szCs w:val="20"/>
                </w:rPr>
                <w:t>10.13</w:t>
              </w:r>
            </w:hyperlink>
          </w:p>
        </w:tc>
        <w:tc>
          <w:tcPr>
            <w:tcW w:w="0" w:type="auto"/>
            <w:gridSpan w:val="3"/>
            <w:tcMar>
              <w:top w:w="0" w:type="dxa"/>
              <w:left w:w="20" w:type="dxa"/>
              <w:bottom w:w="0" w:type="dxa"/>
              <w:right w:w="20" w:type="dxa"/>
            </w:tcMar>
            <w:vAlign w:val="center"/>
            <w:hideMark/>
          </w:tcPr>
          <w:p w14:paraId="588E45F3"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651E5989" w14:textId="77777777" w:rsidR="00000000" w:rsidRDefault="00C01C43">
            <w:pPr>
              <w:jc w:val="both"/>
              <w:rPr>
                <w:rFonts w:eastAsia="Times New Roman"/>
              </w:rPr>
            </w:pPr>
            <w:r>
              <w:rPr>
                <w:rFonts w:ascii="Arial" w:eastAsia="Times New Roman" w:hAnsi="Arial" w:cs="Arial"/>
                <w:color w:val="000000"/>
                <w:sz w:val="20"/>
                <w:szCs w:val="20"/>
              </w:rPr>
              <w:t>Form of Named Executive Officer 2017 Performance-Based Restricted Stock Unit Grant Agreement under the 2016 Omnibus Plan (incorporated by referenc</w:t>
            </w:r>
            <w:r>
              <w:rPr>
                <w:rFonts w:ascii="Arial" w:eastAsia="Times New Roman" w:hAnsi="Arial" w:cs="Arial"/>
                <w:color w:val="000000"/>
                <w:sz w:val="20"/>
                <w:szCs w:val="20"/>
              </w:rPr>
              <w:t>e herein from Exhibit 10.12 to our 2017 10-K). *</w:t>
            </w:r>
          </w:p>
        </w:tc>
      </w:tr>
      <w:tr w:rsidR="00000000" w14:paraId="68E83542" w14:textId="77777777">
        <w:trPr>
          <w:divId w:val="1135366133"/>
        </w:trPr>
        <w:tc>
          <w:tcPr>
            <w:tcW w:w="0" w:type="auto"/>
            <w:gridSpan w:val="3"/>
            <w:tcMar>
              <w:top w:w="30" w:type="dxa"/>
              <w:left w:w="20" w:type="dxa"/>
              <w:bottom w:w="30" w:type="dxa"/>
              <w:right w:w="20" w:type="dxa"/>
            </w:tcMar>
            <w:hideMark/>
          </w:tcPr>
          <w:p w14:paraId="2118EEFB" w14:textId="77777777" w:rsidR="00000000" w:rsidRDefault="00C01C43">
            <w:pPr>
              <w:divId w:val="643196803"/>
              <w:rPr>
                <w:rFonts w:eastAsia="Times New Roman"/>
              </w:rPr>
            </w:pPr>
            <w:hyperlink r:id="rId23" w:history="1">
              <w:r>
                <w:rPr>
                  <w:rStyle w:val="a3"/>
                  <w:rFonts w:ascii="Arial" w:eastAsia="Times New Roman" w:hAnsi="Arial" w:cs="Arial"/>
                  <w:sz w:val="20"/>
                  <w:szCs w:val="20"/>
                </w:rPr>
                <w:t>10.14</w:t>
              </w:r>
            </w:hyperlink>
          </w:p>
        </w:tc>
        <w:tc>
          <w:tcPr>
            <w:tcW w:w="0" w:type="auto"/>
            <w:gridSpan w:val="3"/>
            <w:tcMar>
              <w:top w:w="0" w:type="dxa"/>
              <w:left w:w="20" w:type="dxa"/>
              <w:bottom w:w="0" w:type="dxa"/>
              <w:right w:w="20" w:type="dxa"/>
            </w:tcMar>
            <w:vAlign w:val="center"/>
            <w:hideMark/>
          </w:tcPr>
          <w:p w14:paraId="5494D126"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6C2880F5" w14:textId="77777777" w:rsidR="00000000" w:rsidRDefault="00C01C43">
            <w:pPr>
              <w:rPr>
                <w:rFonts w:eastAsia="Times New Roman"/>
              </w:rPr>
            </w:pPr>
            <w:r>
              <w:rPr>
                <w:rFonts w:ascii="Arial" w:eastAsia="Times New Roman" w:hAnsi="Arial" w:cs="Arial"/>
                <w:color w:val="000000"/>
                <w:sz w:val="20"/>
                <w:szCs w:val="20"/>
              </w:rPr>
              <w:t>Form of Michael J. Kasbar Restricted Stock Unit Grant Agreement under the 2006 and 2016 Omnibu</w:t>
            </w:r>
            <w:r>
              <w:rPr>
                <w:rFonts w:ascii="Arial" w:eastAsia="Times New Roman" w:hAnsi="Arial" w:cs="Arial"/>
                <w:color w:val="000000"/>
                <w:sz w:val="20"/>
                <w:szCs w:val="20"/>
              </w:rPr>
              <w:t>s Plan (incorporated by reference herein from Exhibit 10.14 to our 2017 10-K). *</w:t>
            </w:r>
          </w:p>
        </w:tc>
      </w:tr>
      <w:tr w:rsidR="00000000" w14:paraId="04362495" w14:textId="77777777">
        <w:trPr>
          <w:divId w:val="1135366133"/>
        </w:trPr>
        <w:tc>
          <w:tcPr>
            <w:tcW w:w="0" w:type="auto"/>
            <w:gridSpan w:val="3"/>
            <w:tcMar>
              <w:top w:w="30" w:type="dxa"/>
              <w:left w:w="20" w:type="dxa"/>
              <w:bottom w:w="30" w:type="dxa"/>
              <w:right w:w="20" w:type="dxa"/>
            </w:tcMar>
            <w:hideMark/>
          </w:tcPr>
          <w:p w14:paraId="2F50015D" w14:textId="77777777" w:rsidR="00000000" w:rsidRDefault="00C01C43">
            <w:pPr>
              <w:divId w:val="625162076"/>
              <w:rPr>
                <w:rFonts w:eastAsia="Times New Roman"/>
              </w:rPr>
            </w:pPr>
            <w:hyperlink r:id="rId24" w:history="1">
              <w:r>
                <w:rPr>
                  <w:rStyle w:val="a3"/>
                  <w:rFonts w:ascii="Arial" w:eastAsia="Times New Roman" w:hAnsi="Arial" w:cs="Arial"/>
                  <w:sz w:val="20"/>
                  <w:szCs w:val="20"/>
                </w:rPr>
                <w:t>10.15</w:t>
              </w:r>
            </w:hyperlink>
          </w:p>
        </w:tc>
        <w:tc>
          <w:tcPr>
            <w:tcW w:w="0" w:type="auto"/>
            <w:gridSpan w:val="3"/>
            <w:tcMar>
              <w:top w:w="0" w:type="dxa"/>
              <w:left w:w="20" w:type="dxa"/>
              <w:bottom w:w="0" w:type="dxa"/>
              <w:right w:w="20" w:type="dxa"/>
            </w:tcMar>
            <w:vAlign w:val="center"/>
            <w:hideMark/>
          </w:tcPr>
          <w:p w14:paraId="2B512534"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630CFC41" w14:textId="77777777" w:rsidR="00000000" w:rsidRDefault="00C01C43">
            <w:pPr>
              <w:rPr>
                <w:rFonts w:eastAsia="Times New Roman"/>
              </w:rPr>
            </w:pPr>
            <w:r>
              <w:rPr>
                <w:rFonts w:ascii="Arial" w:eastAsia="Times New Roman" w:hAnsi="Arial" w:cs="Arial"/>
                <w:color w:val="000000"/>
                <w:sz w:val="20"/>
                <w:szCs w:val="20"/>
              </w:rPr>
              <w:t>Form of Michael J. Kasbar Stock-Settled Stock Appreciation Right Agreement under the 2006 Omnibus Plan (incorporated by reference herein from Exhibit 10.1 to our Quarterly Report on Form 10-Q for the quarter ended June 30, 2014 filed on July 30, 2014 ("201</w:t>
            </w:r>
            <w:r>
              <w:rPr>
                <w:rFonts w:ascii="Arial" w:eastAsia="Times New Roman" w:hAnsi="Arial" w:cs="Arial"/>
                <w:color w:val="000000"/>
                <w:sz w:val="20"/>
                <w:szCs w:val="20"/>
              </w:rPr>
              <w:t>4 10-Q"). *</w:t>
            </w:r>
          </w:p>
        </w:tc>
      </w:tr>
      <w:tr w:rsidR="00000000" w14:paraId="44B78AF0" w14:textId="77777777">
        <w:trPr>
          <w:divId w:val="1135366133"/>
        </w:trPr>
        <w:tc>
          <w:tcPr>
            <w:tcW w:w="0" w:type="auto"/>
            <w:gridSpan w:val="3"/>
            <w:tcMar>
              <w:top w:w="30" w:type="dxa"/>
              <w:left w:w="20" w:type="dxa"/>
              <w:bottom w:w="30" w:type="dxa"/>
              <w:right w:w="20" w:type="dxa"/>
            </w:tcMar>
            <w:hideMark/>
          </w:tcPr>
          <w:p w14:paraId="2C2608E0" w14:textId="77777777" w:rsidR="00000000" w:rsidRDefault="00C01C43">
            <w:pPr>
              <w:divId w:val="1769500895"/>
              <w:rPr>
                <w:rFonts w:eastAsia="Times New Roman"/>
              </w:rPr>
            </w:pPr>
            <w:hyperlink r:id="rId25" w:history="1">
              <w:r>
                <w:rPr>
                  <w:rStyle w:val="a3"/>
                  <w:rFonts w:ascii="Arial" w:eastAsia="Times New Roman" w:hAnsi="Arial" w:cs="Arial"/>
                  <w:sz w:val="20"/>
                  <w:szCs w:val="20"/>
                </w:rPr>
                <w:t>10.16</w:t>
              </w:r>
            </w:hyperlink>
          </w:p>
        </w:tc>
        <w:tc>
          <w:tcPr>
            <w:tcW w:w="0" w:type="auto"/>
            <w:gridSpan w:val="3"/>
            <w:tcMar>
              <w:top w:w="0" w:type="dxa"/>
              <w:left w:w="20" w:type="dxa"/>
              <w:bottom w:w="0" w:type="dxa"/>
              <w:right w:w="20" w:type="dxa"/>
            </w:tcMar>
            <w:vAlign w:val="center"/>
            <w:hideMark/>
          </w:tcPr>
          <w:p w14:paraId="4A2F3B50"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11033FE9" w14:textId="77777777" w:rsidR="00000000" w:rsidRDefault="00C01C43">
            <w:pPr>
              <w:jc w:val="both"/>
              <w:rPr>
                <w:rFonts w:eastAsia="Times New Roman"/>
              </w:rPr>
            </w:pPr>
            <w:r>
              <w:rPr>
                <w:rFonts w:ascii="Arial" w:eastAsia="Times New Roman" w:hAnsi="Arial" w:cs="Arial"/>
                <w:color w:val="000000"/>
                <w:sz w:val="20"/>
                <w:szCs w:val="20"/>
              </w:rPr>
              <w:t>Form of Michael J. Kasbar Stock-Settled Stock Appreciation Right Agreement (3-year Cliff Vesting) under the 2006 and 2016 Omnibus P</w:t>
            </w:r>
            <w:r>
              <w:rPr>
                <w:rFonts w:ascii="Arial" w:eastAsia="Times New Roman" w:hAnsi="Arial" w:cs="Arial"/>
                <w:color w:val="000000"/>
                <w:sz w:val="20"/>
                <w:szCs w:val="20"/>
              </w:rPr>
              <w:t>lan (incorporated by reference herein from Exhibit 10.15 to our Annual Report on Form 10-K for the year ended December 31, 2016 filed on February 21, 2017 ("2016 10-K"). *</w:t>
            </w:r>
          </w:p>
        </w:tc>
      </w:tr>
      <w:tr w:rsidR="00000000" w14:paraId="0EC66759" w14:textId="77777777">
        <w:trPr>
          <w:divId w:val="1135366133"/>
        </w:trPr>
        <w:tc>
          <w:tcPr>
            <w:tcW w:w="0" w:type="auto"/>
            <w:gridSpan w:val="3"/>
            <w:tcMar>
              <w:top w:w="30" w:type="dxa"/>
              <w:left w:w="20" w:type="dxa"/>
              <w:bottom w:w="30" w:type="dxa"/>
              <w:right w:w="20" w:type="dxa"/>
            </w:tcMar>
            <w:hideMark/>
          </w:tcPr>
          <w:p w14:paraId="5059E2FE" w14:textId="77777777" w:rsidR="00000000" w:rsidRDefault="00C01C43">
            <w:pPr>
              <w:divId w:val="1001010837"/>
              <w:rPr>
                <w:rFonts w:eastAsia="Times New Roman"/>
              </w:rPr>
            </w:pPr>
            <w:hyperlink r:id="rId26" w:history="1">
              <w:r>
                <w:rPr>
                  <w:rStyle w:val="a3"/>
                  <w:rFonts w:ascii="Arial" w:eastAsia="Times New Roman" w:hAnsi="Arial" w:cs="Arial"/>
                  <w:sz w:val="20"/>
                  <w:szCs w:val="20"/>
                </w:rPr>
                <w:t>10.17</w:t>
              </w:r>
            </w:hyperlink>
          </w:p>
        </w:tc>
        <w:tc>
          <w:tcPr>
            <w:tcW w:w="0" w:type="auto"/>
            <w:gridSpan w:val="3"/>
            <w:tcMar>
              <w:top w:w="0" w:type="dxa"/>
              <w:left w:w="20" w:type="dxa"/>
              <w:bottom w:w="0" w:type="dxa"/>
              <w:right w:w="20" w:type="dxa"/>
            </w:tcMar>
            <w:vAlign w:val="center"/>
            <w:hideMark/>
          </w:tcPr>
          <w:p w14:paraId="236600E5"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1B3D03C5" w14:textId="77777777" w:rsidR="00000000" w:rsidRDefault="00C01C43">
            <w:pPr>
              <w:rPr>
                <w:rFonts w:eastAsia="Times New Roman"/>
              </w:rPr>
            </w:pPr>
            <w:r>
              <w:rPr>
                <w:rFonts w:ascii="Arial" w:eastAsia="Times New Roman" w:hAnsi="Arial" w:cs="Arial"/>
                <w:color w:val="000000"/>
                <w:sz w:val="20"/>
                <w:szCs w:val="20"/>
              </w:rPr>
              <w:t>Form of Ira M. Birns Restricted Stock Unit Grant Agreement under the 2016 Omnibus Plan (incorporated by reference herein from Exhibit 10.17 to our 2017 10-K). *</w:t>
            </w:r>
          </w:p>
        </w:tc>
      </w:tr>
      <w:tr w:rsidR="00000000" w14:paraId="16B5B870" w14:textId="77777777">
        <w:trPr>
          <w:divId w:val="1135366133"/>
        </w:trPr>
        <w:tc>
          <w:tcPr>
            <w:tcW w:w="0" w:type="auto"/>
            <w:gridSpan w:val="3"/>
            <w:tcMar>
              <w:top w:w="30" w:type="dxa"/>
              <w:left w:w="20" w:type="dxa"/>
              <w:bottom w:w="30" w:type="dxa"/>
              <w:right w:w="20" w:type="dxa"/>
            </w:tcMar>
            <w:hideMark/>
          </w:tcPr>
          <w:p w14:paraId="6C777F72" w14:textId="77777777" w:rsidR="00000000" w:rsidRDefault="00C01C43">
            <w:pPr>
              <w:divId w:val="61220769"/>
              <w:rPr>
                <w:rFonts w:eastAsia="Times New Roman"/>
              </w:rPr>
            </w:pPr>
            <w:hyperlink r:id="rId27" w:history="1">
              <w:r>
                <w:rPr>
                  <w:rStyle w:val="a3"/>
                  <w:rFonts w:ascii="Arial" w:eastAsia="Times New Roman" w:hAnsi="Arial" w:cs="Arial"/>
                  <w:sz w:val="20"/>
                  <w:szCs w:val="20"/>
                </w:rPr>
                <w:t>10.18</w:t>
              </w:r>
            </w:hyperlink>
          </w:p>
        </w:tc>
        <w:tc>
          <w:tcPr>
            <w:tcW w:w="0" w:type="auto"/>
            <w:gridSpan w:val="3"/>
            <w:tcMar>
              <w:top w:w="0" w:type="dxa"/>
              <w:left w:w="20" w:type="dxa"/>
              <w:bottom w:w="0" w:type="dxa"/>
              <w:right w:w="20" w:type="dxa"/>
            </w:tcMar>
            <w:vAlign w:val="center"/>
            <w:hideMark/>
          </w:tcPr>
          <w:p w14:paraId="3F612882"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0D5BD2E1" w14:textId="77777777" w:rsidR="00000000" w:rsidRDefault="00C01C43">
            <w:pPr>
              <w:rPr>
                <w:rFonts w:eastAsia="Times New Roman"/>
              </w:rPr>
            </w:pPr>
            <w:r>
              <w:rPr>
                <w:rFonts w:ascii="Arial" w:eastAsia="Times New Roman" w:hAnsi="Arial" w:cs="Arial"/>
                <w:color w:val="000000"/>
                <w:sz w:val="20"/>
                <w:szCs w:val="20"/>
              </w:rPr>
              <w:t>Form of Ira M. Birns Stock-Settled Stock Appreciation Right Agreement under the 2006 Omnibus Plan (incorporated by reference herein from Exhib</w:t>
            </w:r>
            <w:r>
              <w:rPr>
                <w:rFonts w:ascii="Arial" w:eastAsia="Times New Roman" w:hAnsi="Arial" w:cs="Arial"/>
                <w:color w:val="000000"/>
                <w:sz w:val="20"/>
                <w:szCs w:val="20"/>
              </w:rPr>
              <w:t>it 10.2 to our 2014 10-Q). *</w:t>
            </w:r>
          </w:p>
        </w:tc>
      </w:tr>
    </w:tbl>
    <w:p w14:paraId="54716B17" w14:textId="77777777" w:rsidR="00000000" w:rsidRDefault="00C01C43">
      <w:pPr>
        <w:jc w:val="center"/>
        <w:divId w:val="388040936"/>
        <w:rPr>
          <w:rFonts w:eastAsia="Times New Roman"/>
        </w:rPr>
      </w:pPr>
      <w:r>
        <w:rPr>
          <w:rFonts w:ascii="Arial" w:eastAsia="Times New Roman" w:hAnsi="Arial" w:cs="Arial"/>
          <w:color w:val="000000"/>
          <w:sz w:val="16"/>
          <w:szCs w:val="16"/>
        </w:rPr>
        <w:t>43</w:t>
      </w:r>
    </w:p>
    <w:p w14:paraId="1E26395C" w14:textId="77777777" w:rsidR="00000000" w:rsidRDefault="00C01C43">
      <w:pPr>
        <w:rPr>
          <w:rFonts w:eastAsia="Times New Roman"/>
        </w:rPr>
      </w:pPr>
      <w:r>
        <w:rPr>
          <w:rFonts w:eastAsia="Times New Roman"/>
        </w:rPr>
        <w:pict w14:anchorId="46DDAAC5">
          <v:rect id="_x0000_i1072" style="width:0;height:1.5pt" o:hralign="center" o:hrstd="t" o:hr="t" fillcolor="#a0a0a0" stroked="f"/>
        </w:pict>
      </w:r>
    </w:p>
    <w:p w14:paraId="3B733665" w14:textId="77777777" w:rsidR="00000000" w:rsidRDefault="00C01C43">
      <w:pPr>
        <w:divId w:val="286207249"/>
        <w:rPr>
          <w:rFonts w:eastAsia="Times New Roman"/>
        </w:rPr>
      </w:pPr>
      <w:hyperlink w:anchor="i39de2a441966435e8a888354900c7540_7" w:history="1">
        <w:r>
          <w:rPr>
            <w:rStyle w:val="a3"/>
            <w:rFonts w:ascii="Arial" w:eastAsia="Times New Roman" w:hAnsi="Arial" w:cs="Arial"/>
            <w:sz w:val="20"/>
            <w:szCs w:val="20"/>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61"/>
        <w:gridCol w:w="673"/>
        <w:gridCol w:w="36"/>
        <w:gridCol w:w="36"/>
        <w:gridCol w:w="36"/>
        <w:gridCol w:w="36"/>
        <w:gridCol w:w="45"/>
        <w:gridCol w:w="7320"/>
        <w:gridCol w:w="38"/>
      </w:tblGrid>
      <w:tr w:rsidR="00000000" w14:paraId="51D8F0B1" w14:textId="77777777">
        <w:trPr>
          <w:divId w:val="1852065805"/>
        </w:trPr>
        <w:tc>
          <w:tcPr>
            <w:tcW w:w="50" w:type="pct"/>
            <w:vAlign w:val="center"/>
            <w:hideMark/>
          </w:tcPr>
          <w:p w14:paraId="4DFA8E77" w14:textId="77777777" w:rsidR="00000000" w:rsidRDefault="00C01C43">
            <w:pPr>
              <w:rPr>
                <w:rFonts w:eastAsia="Times New Roman"/>
              </w:rPr>
            </w:pPr>
          </w:p>
        </w:tc>
        <w:tc>
          <w:tcPr>
            <w:tcW w:w="421" w:type="pct"/>
            <w:vAlign w:val="center"/>
            <w:hideMark/>
          </w:tcPr>
          <w:p w14:paraId="203859E7" w14:textId="77777777" w:rsidR="00000000" w:rsidRDefault="00C01C43">
            <w:pPr>
              <w:rPr>
                <w:rFonts w:eastAsia="Times New Roman"/>
                <w:sz w:val="20"/>
                <w:szCs w:val="20"/>
              </w:rPr>
            </w:pPr>
          </w:p>
        </w:tc>
        <w:tc>
          <w:tcPr>
            <w:tcW w:w="5" w:type="pct"/>
            <w:vAlign w:val="center"/>
            <w:hideMark/>
          </w:tcPr>
          <w:p w14:paraId="2CDDB143" w14:textId="77777777" w:rsidR="00000000" w:rsidRDefault="00C01C43">
            <w:pPr>
              <w:rPr>
                <w:rFonts w:eastAsia="Times New Roman"/>
                <w:sz w:val="20"/>
                <w:szCs w:val="20"/>
              </w:rPr>
            </w:pPr>
          </w:p>
        </w:tc>
        <w:tc>
          <w:tcPr>
            <w:tcW w:w="5" w:type="pct"/>
            <w:vAlign w:val="center"/>
            <w:hideMark/>
          </w:tcPr>
          <w:p w14:paraId="4FE60F9C" w14:textId="77777777" w:rsidR="00000000" w:rsidRDefault="00C01C43">
            <w:pPr>
              <w:rPr>
                <w:rFonts w:eastAsia="Times New Roman"/>
                <w:sz w:val="20"/>
                <w:szCs w:val="20"/>
              </w:rPr>
            </w:pPr>
          </w:p>
        </w:tc>
        <w:tc>
          <w:tcPr>
            <w:tcW w:w="26" w:type="pct"/>
            <w:vAlign w:val="center"/>
            <w:hideMark/>
          </w:tcPr>
          <w:p w14:paraId="47F1BD52" w14:textId="77777777" w:rsidR="00000000" w:rsidRDefault="00C01C43">
            <w:pPr>
              <w:rPr>
                <w:rFonts w:eastAsia="Times New Roman"/>
                <w:sz w:val="20"/>
                <w:szCs w:val="20"/>
              </w:rPr>
            </w:pPr>
          </w:p>
        </w:tc>
        <w:tc>
          <w:tcPr>
            <w:tcW w:w="5" w:type="pct"/>
            <w:vAlign w:val="center"/>
            <w:hideMark/>
          </w:tcPr>
          <w:p w14:paraId="1FF8D0FA" w14:textId="77777777" w:rsidR="00000000" w:rsidRDefault="00C01C43">
            <w:pPr>
              <w:rPr>
                <w:rFonts w:eastAsia="Times New Roman"/>
                <w:sz w:val="20"/>
                <w:szCs w:val="20"/>
              </w:rPr>
            </w:pPr>
          </w:p>
        </w:tc>
        <w:tc>
          <w:tcPr>
            <w:tcW w:w="50" w:type="pct"/>
            <w:vAlign w:val="center"/>
            <w:hideMark/>
          </w:tcPr>
          <w:p w14:paraId="2775C6A9" w14:textId="77777777" w:rsidR="00000000" w:rsidRDefault="00C01C43">
            <w:pPr>
              <w:rPr>
                <w:rFonts w:eastAsia="Times New Roman"/>
                <w:sz w:val="20"/>
                <w:szCs w:val="20"/>
              </w:rPr>
            </w:pPr>
          </w:p>
        </w:tc>
        <w:tc>
          <w:tcPr>
            <w:tcW w:w="4431" w:type="pct"/>
            <w:vAlign w:val="center"/>
            <w:hideMark/>
          </w:tcPr>
          <w:p w14:paraId="6C5311F1" w14:textId="77777777" w:rsidR="00000000" w:rsidRDefault="00C01C43">
            <w:pPr>
              <w:rPr>
                <w:rFonts w:eastAsia="Times New Roman"/>
                <w:sz w:val="20"/>
                <w:szCs w:val="20"/>
              </w:rPr>
            </w:pPr>
          </w:p>
        </w:tc>
        <w:tc>
          <w:tcPr>
            <w:tcW w:w="5" w:type="pct"/>
            <w:vAlign w:val="center"/>
            <w:hideMark/>
          </w:tcPr>
          <w:p w14:paraId="49E42E81" w14:textId="77777777" w:rsidR="00000000" w:rsidRDefault="00C01C43">
            <w:pPr>
              <w:rPr>
                <w:rFonts w:eastAsia="Times New Roman"/>
                <w:sz w:val="20"/>
                <w:szCs w:val="20"/>
              </w:rPr>
            </w:pPr>
          </w:p>
        </w:tc>
      </w:tr>
      <w:tr w:rsidR="00000000" w14:paraId="2B720CB1" w14:textId="77777777">
        <w:trPr>
          <w:divId w:val="1852065805"/>
        </w:trPr>
        <w:tc>
          <w:tcPr>
            <w:tcW w:w="0" w:type="auto"/>
            <w:gridSpan w:val="3"/>
            <w:tcBorders>
              <w:bottom w:val="single" w:sz="8" w:space="0" w:color="000000"/>
            </w:tcBorders>
            <w:tcMar>
              <w:top w:w="30" w:type="dxa"/>
              <w:left w:w="20" w:type="dxa"/>
              <w:bottom w:w="30" w:type="dxa"/>
              <w:right w:w="20" w:type="dxa"/>
            </w:tcMar>
            <w:vAlign w:val="bottom"/>
            <w:hideMark/>
          </w:tcPr>
          <w:p w14:paraId="0A968A60" w14:textId="77777777" w:rsidR="00000000" w:rsidRDefault="00C01C43">
            <w:pPr>
              <w:rPr>
                <w:rFonts w:eastAsia="Times New Roman"/>
              </w:rPr>
            </w:pPr>
            <w:r>
              <w:rPr>
                <w:rFonts w:ascii="Arial" w:eastAsia="Times New Roman" w:hAnsi="Arial" w:cs="Arial"/>
                <w:b/>
                <w:bCs/>
                <w:color w:val="000000"/>
                <w:sz w:val="16"/>
                <w:szCs w:val="16"/>
              </w:rPr>
              <w:t>Exhibit No.</w:t>
            </w:r>
          </w:p>
        </w:tc>
        <w:tc>
          <w:tcPr>
            <w:tcW w:w="0" w:type="auto"/>
            <w:gridSpan w:val="3"/>
            <w:tcMar>
              <w:top w:w="0" w:type="dxa"/>
              <w:left w:w="20" w:type="dxa"/>
              <w:bottom w:w="0" w:type="dxa"/>
              <w:right w:w="20" w:type="dxa"/>
            </w:tcMar>
            <w:vAlign w:val="center"/>
            <w:hideMark/>
          </w:tcPr>
          <w:p w14:paraId="4C4730B5" w14:textId="77777777" w:rsidR="00000000" w:rsidRDefault="00C01C43">
            <w:pP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224738E" w14:textId="77777777" w:rsidR="00000000" w:rsidRDefault="00C01C43">
            <w:pPr>
              <w:rPr>
                <w:rFonts w:eastAsia="Times New Roman"/>
              </w:rPr>
            </w:pPr>
            <w:r>
              <w:rPr>
                <w:rFonts w:ascii="Arial" w:eastAsia="Times New Roman" w:hAnsi="Arial" w:cs="Arial"/>
                <w:b/>
                <w:bCs/>
                <w:color w:val="000000"/>
                <w:sz w:val="16"/>
                <w:szCs w:val="16"/>
              </w:rPr>
              <w:t>Description</w:t>
            </w:r>
          </w:p>
        </w:tc>
      </w:tr>
      <w:tr w:rsidR="00000000" w14:paraId="710E1947" w14:textId="77777777">
        <w:trPr>
          <w:divId w:val="1852065805"/>
        </w:trPr>
        <w:tc>
          <w:tcPr>
            <w:tcW w:w="0" w:type="auto"/>
            <w:gridSpan w:val="3"/>
            <w:tcMar>
              <w:top w:w="30" w:type="dxa"/>
              <w:left w:w="20" w:type="dxa"/>
              <w:bottom w:w="30" w:type="dxa"/>
              <w:right w:w="20" w:type="dxa"/>
            </w:tcMar>
            <w:hideMark/>
          </w:tcPr>
          <w:p w14:paraId="515DB0AD" w14:textId="77777777" w:rsidR="00000000" w:rsidRDefault="00C01C43">
            <w:pPr>
              <w:divId w:val="172233547"/>
              <w:rPr>
                <w:rFonts w:eastAsia="Times New Roman"/>
              </w:rPr>
            </w:pPr>
            <w:hyperlink r:id="rId28" w:history="1">
              <w:r>
                <w:rPr>
                  <w:rStyle w:val="a3"/>
                  <w:rFonts w:ascii="Arial" w:eastAsia="Times New Roman" w:hAnsi="Arial" w:cs="Arial"/>
                  <w:sz w:val="20"/>
                  <w:szCs w:val="20"/>
                </w:rPr>
                <w:t>10.19</w:t>
              </w:r>
            </w:hyperlink>
          </w:p>
        </w:tc>
        <w:tc>
          <w:tcPr>
            <w:tcW w:w="0" w:type="auto"/>
            <w:gridSpan w:val="3"/>
            <w:tcMar>
              <w:top w:w="0" w:type="dxa"/>
              <w:left w:w="20" w:type="dxa"/>
              <w:bottom w:w="0" w:type="dxa"/>
              <w:right w:w="20" w:type="dxa"/>
            </w:tcMar>
            <w:vAlign w:val="center"/>
            <w:hideMark/>
          </w:tcPr>
          <w:p w14:paraId="124FB68A"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171A8FDF" w14:textId="77777777" w:rsidR="00000000" w:rsidRDefault="00C01C43">
            <w:pPr>
              <w:jc w:val="both"/>
              <w:rPr>
                <w:rFonts w:eastAsia="Times New Roman"/>
              </w:rPr>
            </w:pPr>
            <w:r>
              <w:rPr>
                <w:rFonts w:ascii="Arial" w:eastAsia="Times New Roman" w:hAnsi="Arial" w:cs="Arial"/>
                <w:color w:val="000000"/>
                <w:sz w:val="20"/>
                <w:szCs w:val="20"/>
              </w:rPr>
              <w:t>Form of Michael J. Crosby and John P. Rau 2016 Performance-Based Restricted Stock Unit Grant Agreement under the 2006 Omnibus Plan (incorporated by reference herein from Exhibit 10.21 to our 2017 10-K). *</w:t>
            </w:r>
          </w:p>
        </w:tc>
      </w:tr>
      <w:tr w:rsidR="00000000" w14:paraId="49DE32E8" w14:textId="77777777">
        <w:trPr>
          <w:divId w:val="1852065805"/>
        </w:trPr>
        <w:tc>
          <w:tcPr>
            <w:tcW w:w="0" w:type="auto"/>
            <w:gridSpan w:val="3"/>
            <w:tcMar>
              <w:top w:w="30" w:type="dxa"/>
              <w:left w:w="20" w:type="dxa"/>
              <w:bottom w:w="30" w:type="dxa"/>
              <w:right w:w="20" w:type="dxa"/>
            </w:tcMar>
            <w:hideMark/>
          </w:tcPr>
          <w:p w14:paraId="44ECACA2" w14:textId="77777777" w:rsidR="00000000" w:rsidRDefault="00C01C43">
            <w:pPr>
              <w:divId w:val="655838219"/>
              <w:rPr>
                <w:rFonts w:eastAsia="Times New Roman"/>
              </w:rPr>
            </w:pPr>
            <w:hyperlink r:id="rId29" w:history="1">
              <w:r>
                <w:rPr>
                  <w:rStyle w:val="a3"/>
                  <w:rFonts w:ascii="Arial" w:eastAsia="Times New Roman" w:hAnsi="Arial" w:cs="Arial"/>
                  <w:sz w:val="20"/>
                  <w:szCs w:val="20"/>
                </w:rPr>
                <w:t>10.20</w:t>
              </w:r>
            </w:hyperlink>
          </w:p>
        </w:tc>
        <w:tc>
          <w:tcPr>
            <w:tcW w:w="0" w:type="auto"/>
            <w:gridSpan w:val="3"/>
            <w:tcMar>
              <w:top w:w="0" w:type="dxa"/>
              <w:left w:w="20" w:type="dxa"/>
              <w:bottom w:w="0" w:type="dxa"/>
              <w:right w:w="20" w:type="dxa"/>
            </w:tcMar>
            <w:vAlign w:val="center"/>
            <w:hideMark/>
          </w:tcPr>
          <w:p w14:paraId="46A795CC"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262A8FDF" w14:textId="77777777" w:rsidR="00000000" w:rsidRDefault="00C01C43">
            <w:pPr>
              <w:jc w:val="both"/>
              <w:rPr>
                <w:rFonts w:eastAsia="Times New Roman"/>
              </w:rPr>
            </w:pPr>
            <w:r>
              <w:rPr>
                <w:rFonts w:ascii="Arial" w:eastAsia="Times New Roman" w:hAnsi="Arial" w:cs="Arial"/>
                <w:color w:val="000000"/>
                <w:sz w:val="20"/>
                <w:szCs w:val="20"/>
              </w:rPr>
              <w:t>Form of Michael J. Crosby and John P. Rau Restricted Stock Grant Agreement under the 2006 Omnibus Plan (incorporated by reference herein from Exhibit 10.4 to our 2017 10-Q). *</w:t>
            </w:r>
          </w:p>
        </w:tc>
      </w:tr>
      <w:tr w:rsidR="00000000" w14:paraId="7A03F730" w14:textId="77777777">
        <w:trPr>
          <w:divId w:val="1852065805"/>
        </w:trPr>
        <w:tc>
          <w:tcPr>
            <w:tcW w:w="0" w:type="auto"/>
            <w:gridSpan w:val="3"/>
            <w:tcMar>
              <w:top w:w="30" w:type="dxa"/>
              <w:left w:w="20" w:type="dxa"/>
              <w:bottom w:w="30" w:type="dxa"/>
              <w:right w:w="20" w:type="dxa"/>
            </w:tcMar>
            <w:hideMark/>
          </w:tcPr>
          <w:p w14:paraId="6C53C066" w14:textId="77777777" w:rsidR="00000000" w:rsidRDefault="00C01C43">
            <w:pPr>
              <w:divId w:val="1864978459"/>
              <w:rPr>
                <w:rFonts w:eastAsia="Times New Roman"/>
              </w:rPr>
            </w:pPr>
            <w:hyperlink r:id="rId30" w:history="1">
              <w:r>
                <w:rPr>
                  <w:rStyle w:val="a3"/>
                  <w:rFonts w:ascii="Arial" w:eastAsia="Times New Roman" w:hAnsi="Arial" w:cs="Arial"/>
                  <w:sz w:val="20"/>
                  <w:szCs w:val="20"/>
                </w:rPr>
                <w:t>10.21</w:t>
              </w:r>
            </w:hyperlink>
          </w:p>
        </w:tc>
        <w:tc>
          <w:tcPr>
            <w:tcW w:w="0" w:type="auto"/>
            <w:gridSpan w:val="3"/>
            <w:tcMar>
              <w:top w:w="0" w:type="dxa"/>
              <w:left w:w="20" w:type="dxa"/>
              <w:bottom w:w="0" w:type="dxa"/>
              <w:right w:w="20" w:type="dxa"/>
            </w:tcMar>
            <w:vAlign w:val="center"/>
            <w:hideMark/>
          </w:tcPr>
          <w:p w14:paraId="64090C41"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4A27F58D" w14:textId="77777777" w:rsidR="00000000" w:rsidRDefault="00C01C43">
            <w:pPr>
              <w:jc w:val="both"/>
              <w:rPr>
                <w:rFonts w:eastAsia="Times New Roman"/>
              </w:rPr>
            </w:pPr>
            <w:r>
              <w:rPr>
                <w:rFonts w:ascii="Arial" w:eastAsia="Times New Roman" w:hAnsi="Arial" w:cs="Arial"/>
                <w:color w:val="000000"/>
                <w:sz w:val="20"/>
                <w:szCs w:val="20"/>
              </w:rPr>
              <w:t>Form of John P. Rau Restricted Stock Grant Agreement under the 2006 Omnibus Plan (incorporated by reference herein from Exhibit 10.5 to our 2017 10-Q). *</w:t>
            </w:r>
          </w:p>
        </w:tc>
      </w:tr>
      <w:tr w:rsidR="00000000" w14:paraId="216F42AB" w14:textId="77777777">
        <w:trPr>
          <w:divId w:val="1852065805"/>
        </w:trPr>
        <w:tc>
          <w:tcPr>
            <w:tcW w:w="0" w:type="auto"/>
            <w:gridSpan w:val="3"/>
            <w:tcMar>
              <w:top w:w="30" w:type="dxa"/>
              <w:left w:w="20" w:type="dxa"/>
              <w:bottom w:w="30" w:type="dxa"/>
              <w:right w:w="20" w:type="dxa"/>
            </w:tcMar>
            <w:hideMark/>
          </w:tcPr>
          <w:p w14:paraId="052EEBE5" w14:textId="77777777" w:rsidR="00000000" w:rsidRDefault="00C01C43">
            <w:pPr>
              <w:divId w:val="869492165"/>
              <w:rPr>
                <w:rFonts w:eastAsia="Times New Roman"/>
              </w:rPr>
            </w:pPr>
            <w:hyperlink r:id="rId31" w:history="1">
              <w:r>
                <w:rPr>
                  <w:rStyle w:val="a3"/>
                  <w:rFonts w:ascii="Arial" w:eastAsia="Times New Roman" w:hAnsi="Arial" w:cs="Arial"/>
                  <w:sz w:val="20"/>
                  <w:szCs w:val="20"/>
                </w:rPr>
                <w:t>10.22</w:t>
              </w:r>
            </w:hyperlink>
          </w:p>
        </w:tc>
        <w:tc>
          <w:tcPr>
            <w:tcW w:w="0" w:type="auto"/>
            <w:gridSpan w:val="3"/>
            <w:tcMar>
              <w:top w:w="0" w:type="dxa"/>
              <w:left w:w="20" w:type="dxa"/>
              <w:bottom w:w="0" w:type="dxa"/>
              <w:right w:w="20" w:type="dxa"/>
            </w:tcMar>
            <w:vAlign w:val="center"/>
            <w:hideMark/>
          </w:tcPr>
          <w:p w14:paraId="741C629E"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00002A9C" w14:textId="77777777" w:rsidR="00000000" w:rsidRDefault="00C01C43">
            <w:pPr>
              <w:jc w:val="both"/>
              <w:rPr>
                <w:rFonts w:eastAsia="Times New Roman"/>
              </w:rPr>
            </w:pPr>
            <w:r>
              <w:rPr>
                <w:rFonts w:ascii="Arial" w:eastAsia="Times New Roman" w:hAnsi="Arial" w:cs="Arial"/>
                <w:color w:val="000000"/>
                <w:sz w:val="20"/>
                <w:szCs w:val="20"/>
              </w:rPr>
              <w:t>Form of Michael J. Crosby and John P. Rau Restricted Stock Unit Grant Agreement under the 2006 Omnibus Plan (incorporated by reference herein from</w:t>
            </w:r>
            <w:r>
              <w:rPr>
                <w:rFonts w:ascii="Arial" w:eastAsia="Times New Roman" w:hAnsi="Arial" w:cs="Arial"/>
                <w:color w:val="000000"/>
                <w:sz w:val="20"/>
                <w:szCs w:val="20"/>
              </w:rPr>
              <w:t xml:space="preserve"> Exhibit 10.24 to our 2017 10-K). *</w:t>
            </w:r>
          </w:p>
        </w:tc>
      </w:tr>
      <w:tr w:rsidR="00000000" w14:paraId="26E44DAB" w14:textId="77777777">
        <w:trPr>
          <w:divId w:val="1852065805"/>
        </w:trPr>
        <w:tc>
          <w:tcPr>
            <w:tcW w:w="0" w:type="auto"/>
            <w:gridSpan w:val="3"/>
            <w:tcMar>
              <w:top w:w="30" w:type="dxa"/>
              <w:left w:w="20" w:type="dxa"/>
              <w:bottom w:w="30" w:type="dxa"/>
              <w:right w:w="20" w:type="dxa"/>
            </w:tcMar>
            <w:hideMark/>
          </w:tcPr>
          <w:p w14:paraId="445D631A" w14:textId="77777777" w:rsidR="00000000" w:rsidRDefault="00C01C43">
            <w:pPr>
              <w:divId w:val="1397317719"/>
              <w:rPr>
                <w:rFonts w:eastAsia="Times New Roman"/>
              </w:rPr>
            </w:pPr>
            <w:hyperlink r:id="rId32" w:history="1">
              <w:r>
                <w:rPr>
                  <w:rStyle w:val="a3"/>
                  <w:rFonts w:ascii="Arial" w:eastAsia="Times New Roman" w:hAnsi="Arial" w:cs="Arial"/>
                  <w:sz w:val="20"/>
                  <w:szCs w:val="20"/>
                </w:rPr>
                <w:t>10.23</w:t>
              </w:r>
            </w:hyperlink>
          </w:p>
        </w:tc>
        <w:tc>
          <w:tcPr>
            <w:tcW w:w="0" w:type="auto"/>
            <w:gridSpan w:val="3"/>
            <w:tcMar>
              <w:top w:w="0" w:type="dxa"/>
              <w:left w:w="20" w:type="dxa"/>
              <w:bottom w:w="0" w:type="dxa"/>
              <w:right w:w="20" w:type="dxa"/>
            </w:tcMar>
            <w:vAlign w:val="center"/>
            <w:hideMark/>
          </w:tcPr>
          <w:p w14:paraId="4DAFC0EC"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6A890DD3" w14:textId="77777777" w:rsidR="00000000" w:rsidRDefault="00C01C43">
            <w:pPr>
              <w:jc w:val="both"/>
              <w:rPr>
                <w:rFonts w:eastAsia="Times New Roman"/>
              </w:rPr>
            </w:pPr>
            <w:r>
              <w:rPr>
                <w:rFonts w:ascii="Arial" w:eastAsia="Times New Roman" w:hAnsi="Arial" w:cs="Arial"/>
                <w:color w:val="000000"/>
                <w:sz w:val="20"/>
                <w:szCs w:val="20"/>
              </w:rPr>
              <w:t xml:space="preserve">Performance-Based Restricted Stock Unit Grant Agreement, dated as of November 10, 2017, between World Fuel </w:t>
            </w:r>
            <w:r>
              <w:rPr>
                <w:rFonts w:ascii="Arial" w:eastAsia="Times New Roman" w:hAnsi="Arial" w:cs="Arial"/>
                <w:color w:val="000000"/>
                <w:sz w:val="20"/>
                <w:szCs w:val="20"/>
              </w:rPr>
              <w:t>Services Corporation and Jeffrey P. Smith (incorporated by reference herein from Exhibit 10.25 to our 2017 10-K). *</w:t>
            </w:r>
          </w:p>
        </w:tc>
      </w:tr>
      <w:tr w:rsidR="00000000" w14:paraId="2B86BB4F" w14:textId="77777777">
        <w:trPr>
          <w:divId w:val="1852065805"/>
        </w:trPr>
        <w:tc>
          <w:tcPr>
            <w:tcW w:w="0" w:type="auto"/>
            <w:gridSpan w:val="3"/>
            <w:tcMar>
              <w:top w:w="30" w:type="dxa"/>
              <w:left w:w="20" w:type="dxa"/>
              <w:bottom w:w="30" w:type="dxa"/>
              <w:right w:w="20" w:type="dxa"/>
            </w:tcMar>
            <w:hideMark/>
          </w:tcPr>
          <w:p w14:paraId="1F844FD2" w14:textId="77777777" w:rsidR="00000000" w:rsidRDefault="00C01C43">
            <w:pPr>
              <w:divId w:val="273488511"/>
              <w:rPr>
                <w:rFonts w:eastAsia="Times New Roman"/>
              </w:rPr>
            </w:pPr>
            <w:hyperlink r:id="rId33" w:history="1">
              <w:r>
                <w:rPr>
                  <w:rStyle w:val="a3"/>
                  <w:rFonts w:ascii="Arial" w:eastAsia="Times New Roman" w:hAnsi="Arial" w:cs="Arial"/>
                  <w:sz w:val="20"/>
                  <w:szCs w:val="20"/>
                </w:rPr>
                <w:t>10.24</w:t>
              </w:r>
            </w:hyperlink>
          </w:p>
        </w:tc>
        <w:tc>
          <w:tcPr>
            <w:tcW w:w="0" w:type="auto"/>
            <w:gridSpan w:val="3"/>
            <w:tcMar>
              <w:top w:w="0" w:type="dxa"/>
              <w:left w:w="20" w:type="dxa"/>
              <w:bottom w:w="0" w:type="dxa"/>
              <w:right w:w="20" w:type="dxa"/>
            </w:tcMar>
            <w:vAlign w:val="center"/>
            <w:hideMark/>
          </w:tcPr>
          <w:p w14:paraId="31F6F5B2"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6A3C6F4D" w14:textId="77777777" w:rsidR="00000000" w:rsidRDefault="00C01C43">
            <w:pPr>
              <w:rPr>
                <w:rFonts w:eastAsia="Times New Roman"/>
              </w:rPr>
            </w:pPr>
            <w:r>
              <w:rPr>
                <w:rFonts w:ascii="Arial" w:eastAsia="Times New Roman" w:hAnsi="Arial" w:cs="Arial"/>
                <w:color w:val="000000"/>
                <w:sz w:val="20"/>
                <w:szCs w:val="20"/>
              </w:rPr>
              <w:t>Form of Named Executive Officer Stock-Settled Stock Appreciation Right Agreement under the 2016 Omnibus Plan.*</w:t>
            </w:r>
          </w:p>
        </w:tc>
      </w:tr>
      <w:tr w:rsidR="00000000" w14:paraId="2C929886" w14:textId="77777777">
        <w:trPr>
          <w:divId w:val="1852065805"/>
        </w:trPr>
        <w:tc>
          <w:tcPr>
            <w:tcW w:w="0" w:type="auto"/>
            <w:gridSpan w:val="3"/>
            <w:tcMar>
              <w:top w:w="30" w:type="dxa"/>
              <w:left w:w="20" w:type="dxa"/>
              <w:bottom w:w="30" w:type="dxa"/>
              <w:right w:w="20" w:type="dxa"/>
            </w:tcMar>
            <w:hideMark/>
          </w:tcPr>
          <w:p w14:paraId="6ACC9379" w14:textId="77777777" w:rsidR="00000000" w:rsidRDefault="00C01C43">
            <w:pPr>
              <w:divId w:val="2010522778"/>
              <w:rPr>
                <w:rFonts w:eastAsia="Times New Roman"/>
              </w:rPr>
            </w:pPr>
            <w:hyperlink r:id="rId34" w:history="1">
              <w:r>
                <w:rPr>
                  <w:rStyle w:val="a3"/>
                  <w:rFonts w:ascii="Arial" w:eastAsia="Times New Roman" w:hAnsi="Arial" w:cs="Arial"/>
                  <w:sz w:val="20"/>
                  <w:szCs w:val="20"/>
                </w:rPr>
                <w:t>10.25</w:t>
              </w:r>
            </w:hyperlink>
          </w:p>
        </w:tc>
        <w:tc>
          <w:tcPr>
            <w:tcW w:w="0" w:type="auto"/>
            <w:gridSpan w:val="3"/>
            <w:tcMar>
              <w:top w:w="0" w:type="dxa"/>
              <w:left w:w="20" w:type="dxa"/>
              <w:bottom w:w="0" w:type="dxa"/>
              <w:right w:w="20" w:type="dxa"/>
            </w:tcMar>
            <w:vAlign w:val="center"/>
            <w:hideMark/>
          </w:tcPr>
          <w:p w14:paraId="454277A0"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21F419E8" w14:textId="77777777" w:rsidR="00000000" w:rsidRDefault="00C01C43">
            <w:pPr>
              <w:jc w:val="both"/>
              <w:rPr>
                <w:rFonts w:eastAsia="Times New Roman"/>
              </w:rPr>
            </w:pPr>
            <w:r>
              <w:rPr>
                <w:rFonts w:ascii="Arial" w:eastAsia="Times New Roman" w:hAnsi="Arial" w:cs="Arial"/>
                <w:color w:val="000000"/>
                <w:sz w:val="20"/>
                <w:szCs w:val="20"/>
              </w:rPr>
              <w:t xml:space="preserve">Fourth Amended and Restated </w:t>
            </w:r>
            <w:r>
              <w:rPr>
                <w:rFonts w:ascii="Arial" w:eastAsia="Times New Roman" w:hAnsi="Arial" w:cs="Arial"/>
                <w:color w:val="000000"/>
                <w:sz w:val="20"/>
                <w:szCs w:val="20"/>
              </w:rPr>
              <w:t>Credit Agreement, dated as of October 10, 2013, among World Fuel Services Corporation, World Fuel Services Europe, Ltd. and World Fuel Services (Singapore) Pte Ltd, as borrowers, Bank of America, N.A., as administrative agent, and the financial institution</w:t>
            </w:r>
            <w:r>
              <w:rPr>
                <w:rFonts w:ascii="Arial" w:eastAsia="Times New Roman" w:hAnsi="Arial" w:cs="Arial"/>
                <w:color w:val="000000"/>
                <w:sz w:val="20"/>
                <w:szCs w:val="20"/>
              </w:rPr>
              <w:t>s named therein as lenders (incorporated herein by reference to Exhibit 10.1 to our Current Report on Form 8-K filed on October 11, 2013).*</w:t>
            </w:r>
          </w:p>
        </w:tc>
      </w:tr>
      <w:tr w:rsidR="00000000" w14:paraId="347F5C17" w14:textId="77777777">
        <w:trPr>
          <w:divId w:val="1852065805"/>
        </w:trPr>
        <w:tc>
          <w:tcPr>
            <w:tcW w:w="0" w:type="auto"/>
            <w:gridSpan w:val="3"/>
            <w:tcMar>
              <w:top w:w="30" w:type="dxa"/>
              <w:left w:w="20" w:type="dxa"/>
              <w:bottom w:w="30" w:type="dxa"/>
              <w:right w:w="20" w:type="dxa"/>
            </w:tcMar>
            <w:hideMark/>
          </w:tcPr>
          <w:p w14:paraId="0EF20BD9" w14:textId="77777777" w:rsidR="00000000" w:rsidRDefault="00C01C43">
            <w:pPr>
              <w:divId w:val="1288588943"/>
              <w:rPr>
                <w:rFonts w:eastAsia="Times New Roman"/>
              </w:rPr>
            </w:pPr>
            <w:hyperlink r:id="rId35" w:history="1">
              <w:r>
                <w:rPr>
                  <w:rStyle w:val="a3"/>
                  <w:rFonts w:ascii="Arial" w:eastAsia="Times New Roman" w:hAnsi="Arial" w:cs="Arial"/>
                  <w:sz w:val="20"/>
                  <w:szCs w:val="20"/>
                </w:rPr>
                <w:t>10.2</w:t>
              </w:r>
              <w:r>
                <w:rPr>
                  <w:rStyle w:val="a3"/>
                  <w:rFonts w:ascii="Arial" w:eastAsia="Times New Roman" w:hAnsi="Arial" w:cs="Arial"/>
                  <w:sz w:val="20"/>
                  <w:szCs w:val="20"/>
                </w:rPr>
                <w:t>6</w:t>
              </w:r>
            </w:hyperlink>
          </w:p>
        </w:tc>
        <w:tc>
          <w:tcPr>
            <w:tcW w:w="0" w:type="auto"/>
            <w:gridSpan w:val="3"/>
            <w:tcMar>
              <w:top w:w="0" w:type="dxa"/>
              <w:left w:w="20" w:type="dxa"/>
              <w:bottom w:w="0" w:type="dxa"/>
              <w:right w:w="20" w:type="dxa"/>
            </w:tcMar>
            <w:vAlign w:val="center"/>
            <w:hideMark/>
          </w:tcPr>
          <w:p w14:paraId="76BD3C06"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54B4BB39" w14:textId="77777777" w:rsidR="00000000" w:rsidRDefault="00C01C43">
            <w:pPr>
              <w:jc w:val="both"/>
              <w:rPr>
                <w:rFonts w:eastAsia="Times New Roman"/>
              </w:rPr>
            </w:pPr>
            <w:r>
              <w:rPr>
                <w:rFonts w:ascii="Arial" w:eastAsia="Times New Roman" w:hAnsi="Arial" w:cs="Arial"/>
                <w:color w:val="000000"/>
                <w:sz w:val="20"/>
                <w:szCs w:val="20"/>
              </w:rPr>
              <w:t>Amendment No. 1 to the Fourth Amended and Restated Credit Agreement, and Joinder Agreement, dated as of January 30, 2015, among World Fuel Services Corporation, World Fuel Services Europe, Ltd. and World Fuel Services (Singapore) Pte Ltd, as borrowe</w:t>
            </w:r>
            <w:r>
              <w:rPr>
                <w:rFonts w:ascii="Arial" w:eastAsia="Times New Roman" w:hAnsi="Arial" w:cs="Arial"/>
                <w:color w:val="000000"/>
                <w:sz w:val="20"/>
                <w:szCs w:val="20"/>
              </w:rPr>
              <w:t>rs, Bank of America, N.A., as administrative agent, and the financial institutions named therein as lenders (incorporated by reference herein from Exhibit 10.1 to our Current Report on Form 8-K filed on February 5, 2015).</w:t>
            </w:r>
          </w:p>
        </w:tc>
      </w:tr>
      <w:tr w:rsidR="00000000" w14:paraId="0204C010" w14:textId="77777777">
        <w:trPr>
          <w:divId w:val="1852065805"/>
        </w:trPr>
        <w:tc>
          <w:tcPr>
            <w:tcW w:w="0" w:type="auto"/>
            <w:gridSpan w:val="3"/>
            <w:tcMar>
              <w:top w:w="30" w:type="dxa"/>
              <w:left w:w="20" w:type="dxa"/>
              <w:bottom w:w="30" w:type="dxa"/>
              <w:right w:w="20" w:type="dxa"/>
            </w:tcMar>
            <w:hideMark/>
          </w:tcPr>
          <w:p w14:paraId="14FCA4CB" w14:textId="77777777" w:rsidR="00000000" w:rsidRDefault="00C01C43">
            <w:pPr>
              <w:divId w:val="1651015271"/>
              <w:rPr>
                <w:rFonts w:eastAsia="Times New Roman"/>
              </w:rPr>
            </w:pPr>
            <w:hyperlink r:id="rId36" w:history="1">
              <w:r>
                <w:rPr>
                  <w:rStyle w:val="a3"/>
                  <w:rFonts w:ascii="Arial" w:eastAsia="Times New Roman" w:hAnsi="Arial" w:cs="Arial"/>
                  <w:sz w:val="20"/>
                  <w:szCs w:val="20"/>
                </w:rPr>
                <w:t>10.27</w:t>
              </w:r>
            </w:hyperlink>
          </w:p>
        </w:tc>
        <w:tc>
          <w:tcPr>
            <w:tcW w:w="0" w:type="auto"/>
            <w:gridSpan w:val="3"/>
            <w:tcMar>
              <w:top w:w="0" w:type="dxa"/>
              <w:left w:w="20" w:type="dxa"/>
              <w:bottom w:w="0" w:type="dxa"/>
              <w:right w:w="20" w:type="dxa"/>
            </w:tcMar>
            <w:vAlign w:val="center"/>
            <w:hideMark/>
          </w:tcPr>
          <w:p w14:paraId="3B4AA955"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3A4EF473" w14:textId="77777777" w:rsidR="00000000" w:rsidRDefault="00C01C43">
            <w:pPr>
              <w:jc w:val="both"/>
              <w:rPr>
                <w:rFonts w:eastAsia="Times New Roman"/>
              </w:rPr>
            </w:pPr>
            <w:r>
              <w:rPr>
                <w:rFonts w:ascii="Arial" w:eastAsia="Times New Roman" w:hAnsi="Arial" w:cs="Arial"/>
                <w:color w:val="000000"/>
                <w:sz w:val="20"/>
                <w:szCs w:val="20"/>
              </w:rPr>
              <w:t>Amendment No. 2 to the Fourth Amended and Restated Credit Agreement, and Joinder Agreement, dated as of October 26, 2016, among World Fuel Services</w:t>
            </w:r>
            <w:r>
              <w:rPr>
                <w:rFonts w:ascii="Arial" w:eastAsia="Times New Roman" w:hAnsi="Arial" w:cs="Arial"/>
                <w:color w:val="000000"/>
                <w:sz w:val="20"/>
                <w:szCs w:val="20"/>
              </w:rPr>
              <w:t xml:space="preserve"> Corporation, World Fuel Services Europe, Ltd. and World Fuel Services (Singapore) Pte Ltd, as borrowers, Bank of America, N.A., as administrative agent, and the financial institutions named therein as lenders (incorporated by reference herein from Exhibit</w:t>
            </w:r>
            <w:r>
              <w:rPr>
                <w:rFonts w:ascii="Arial" w:eastAsia="Times New Roman" w:hAnsi="Arial" w:cs="Arial"/>
                <w:color w:val="000000"/>
                <w:sz w:val="20"/>
                <w:szCs w:val="20"/>
              </w:rPr>
              <w:t xml:space="preserve"> 10.1 to our Current Report on Form 8-K filed on October 27, 2016).</w:t>
            </w:r>
          </w:p>
        </w:tc>
      </w:tr>
      <w:tr w:rsidR="00000000" w14:paraId="3D18E0BD" w14:textId="77777777">
        <w:trPr>
          <w:divId w:val="1852065805"/>
        </w:trPr>
        <w:tc>
          <w:tcPr>
            <w:tcW w:w="0" w:type="auto"/>
            <w:gridSpan w:val="3"/>
            <w:tcMar>
              <w:top w:w="30" w:type="dxa"/>
              <w:left w:w="20" w:type="dxa"/>
              <w:bottom w:w="30" w:type="dxa"/>
              <w:right w:w="20" w:type="dxa"/>
            </w:tcMar>
            <w:hideMark/>
          </w:tcPr>
          <w:p w14:paraId="0B48E8F4" w14:textId="77777777" w:rsidR="00000000" w:rsidRDefault="00C01C43">
            <w:pPr>
              <w:divId w:val="1977223440"/>
              <w:rPr>
                <w:rFonts w:eastAsia="Times New Roman"/>
              </w:rPr>
            </w:pPr>
            <w:hyperlink r:id="rId37" w:history="1">
              <w:r>
                <w:rPr>
                  <w:rStyle w:val="a3"/>
                  <w:rFonts w:ascii="Arial" w:eastAsia="Times New Roman" w:hAnsi="Arial" w:cs="Arial"/>
                  <w:sz w:val="20"/>
                  <w:szCs w:val="20"/>
                </w:rPr>
                <w:t>10.28</w:t>
              </w:r>
            </w:hyperlink>
          </w:p>
        </w:tc>
        <w:tc>
          <w:tcPr>
            <w:tcW w:w="0" w:type="auto"/>
            <w:gridSpan w:val="3"/>
            <w:tcMar>
              <w:top w:w="0" w:type="dxa"/>
              <w:left w:w="20" w:type="dxa"/>
              <w:bottom w:w="0" w:type="dxa"/>
              <w:right w:w="20" w:type="dxa"/>
            </w:tcMar>
            <w:vAlign w:val="center"/>
            <w:hideMark/>
          </w:tcPr>
          <w:p w14:paraId="071D8288"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1225541F" w14:textId="77777777" w:rsidR="00000000" w:rsidRDefault="00C01C43">
            <w:pPr>
              <w:rPr>
                <w:rFonts w:eastAsia="Times New Roman"/>
              </w:rPr>
            </w:pPr>
            <w:r>
              <w:rPr>
                <w:rFonts w:ascii="Arial" w:eastAsia="Times New Roman" w:hAnsi="Arial" w:cs="Arial"/>
                <w:color w:val="000000"/>
                <w:sz w:val="20"/>
                <w:szCs w:val="20"/>
              </w:rPr>
              <w:t>Amendment No. 3 to the Fourth Amended and Restated Credit Agreement, dated a</w:t>
            </w:r>
            <w:r>
              <w:rPr>
                <w:rFonts w:ascii="Arial" w:eastAsia="Times New Roman" w:hAnsi="Arial" w:cs="Arial"/>
                <w:color w:val="000000"/>
                <w:sz w:val="20"/>
                <w:szCs w:val="20"/>
              </w:rPr>
              <w:t>s of May 12, 2017, among World Fuel Services Corporation, World Fuel Services Europe, Ltd. and World Fuel Services (Singapore) Pte Ltd, as borrowers, Bank of America, N.A., as administrative agent, and the financial institutions named therein as lenders (i</w:t>
            </w:r>
            <w:r>
              <w:rPr>
                <w:rFonts w:ascii="Arial" w:eastAsia="Times New Roman" w:hAnsi="Arial" w:cs="Arial"/>
                <w:color w:val="000000"/>
                <w:sz w:val="20"/>
                <w:szCs w:val="20"/>
              </w:rPr>
              <w:t>ncorporated by reference herein from Exhibit 10.2 to our 2017 10-Q).</w:t>
            </w:r>
          </w:p>
        </w:tc>
      </w:tr>
      <w:tr w:rsidR="00000000" w14:paraId="02C5E138" w14:textId="77777777">
        <w:trPr>
          <w:divId w:val="1852065805"/>
        </w:trPr>
        <w:tc>
          <w:tcPr>
            <w:tcW w:w="0" w:type="auto"/>
            <w:gridSpan w:val="3"/>
            <w:tcMar>
              <w:top w:w="30" w:type="dxa"/>
              <w:left w:w="20" w:type="dxa"/>
              <w:bottom w:w="30" w:type="dxa"/>
              <w:right w:w="20" w:type="dxa"/>
            </w:tcMar>
            <w:hideMark/>
          </w:tcPr>
          <w:p w14:paraId="7E727D6F" w14:textId="77777777" w:rsidR="00000000" w:rsidRDefault="00C01C43">
            <w:pPr>
              <w:divId w:val="771121283"/>
              <w:rPr>
                <w:rFonts w:eastAsia="Times New Roman"/>
              </w:rPr>
            </w:pPr>
            <w:hyperlink r:id="rId38" w:history="1">
              <w:r>
                <w:rPr>
                  <w:rStyle w:val="a3"/>
                  <w:rFonts w:ascii="Arial" w:eastAsia="Times New Roman" w:hAnsi="Arial" w:cs="Arial"/>
                  <w:sz w:val="20"/>
                  <w:szCs w:val="20"/>
                </w:rPr>
                <w:t>10.29</w:t>
              </w:r>
            </w:hyperlink>
          </w:p>
        </w:tc>
        <w:tc>
          <w:tcPr>
            <w:tcW w:w="0" w:type="auto"/>
            <w:gridSpan w:val="3"/>
            <w:tcMar>
              <w:top w:w="0" w:type="dxa"/>
              <w:left w:w="20" w:type="dxa"/>
              <w:bottom w:w="0" w:type="dxa"/>
              <w:right w:w="20" w:type="dxa"/>
            </w:tcMar>
            <w:vAlign w:val="center"/>
            <w:hideMark/>
          </w:tcPr>
          <w:p w14:paraId="0943162C"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6DB6396C" w14:textId="77777777" w:rsidR="00000000" w:rsidRDefault="00C01C43">
            <w:pPr>
              <w:rPr>
                <w:rFonts w:eastAsia="Times New Roman"/>
              </w:rPr>
            </w:pPr>
            <w:r>
              <w:rPr>
                <w:rFonts w:ascii="Arial" w:eastAsia="Times New Roman" w:hAnsi="Arial" w:cs="Arial"/>
                <w:color w:val="000000"/>
                <w:sz w:val="20"/>
                <w:szCs w:val="20"/>
              </w:rPr>
              <w:t>Amendment No. 4 to the Fourth Amended and Restated Credit Agreement, dated as January 30, 2018, among World Fuel Services Corporation, World Fuel Services Europe, Ltd. and World Fuel Services (Singapore) Pte Ltd, as borrowers, Bank of America, N.A., as adm</w:t>
            </w:r>
            <w:r>
              <w:rPr>
                <w:rFonts w:ascii="Arial" w:eastAsia="Times New Roman" w:hAnsi="Arial" w:cs="Arial"/>
                <w:color w:val="000000"/>
                <w:sz w:val="20"/>
                <w:szCs w:val="20"/>
              </w:rPr>
              <w:t>inistrative agent, and the financial institutions named therein as lenders (incorporated by reference herein from Exhibit 10.30 to our 2017 10-K).</w:t>
            </w:r>
          </w:p>
        </w:tc>
      </w:tr>
      <w:tr w:rsidR="00000000" w14:paraId="2F3E0970" w14:textId="77777777">
        <w:trPr>
          <w:divId w:val="1852065805"/>
        </w:trPr>
        <w:tc>
          <w:tcPr>
            <w:tcW w:w="0" w:type="auto"/>
            <w:gridSpan w:val="3"/>
            <w:tcMar>
              <w:top w:w="30" w:type="dxa"/>
              <w:left w:w="20" w:type="dxa"/>
              <w:bottom w:w="30" w:type="dxa"/>
              <w:right w:w="20" w:type="dxa"/>
            </w:tcMar>
            <w:hideMark/>
          </w:tcPr>
          <w:p w14:paraId="7C5DD3EB" w14:textId="77777777" w:rsidR="00000000" w:rsidRDefault="00C01C43">
            <w:pPr>
              <w:divId w:val="351227916"/>
              <w:rPr>
                <w:rFonts w:eastAsia="Times New Roman"/>
              </w:rPr>
            </w:pPr>
            <w:hyperlink r:id="rId39" w:history="1">
              <w:r>
                <w:rPr>
                  <w:rStyle w:val="a3"/>
                  <w:rFonts w:ascii="Arial" w:eastAsia="Times New Roman" w:hAnsi="Arial" w:cs="Arial"/>
                  <w:sz w:val="20"/>
                  <w:szCs w:val="20"/>
                </w:rPr>
                <w:t>10.30</w:t>
              </w:r>
            </w:hyperlink>
          </w:p>
        </w:tc>
        <w:tc>
          <w:tcPr>
            <w:tcW w:w="0" w:type="auto"/>
            <w:gridSpan w:val="3"/>
            <w:tcMar>
              <w:top w:w="0" w:type="dxa"/>
              <w:left w:w="20" w:type="dxa"/>
              <w:bottom w:w="0" w:type="dxa"/>
              <w:right w:w="20" w:type="dxa"/>
            </w:tcMar>
            <w:vAlign w:val="center"/>
            <w:hideMark/>
          </w:tcPr>
          <w:p w14:paraId="3697CF84"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7900D025" w14:textId="77777777" w:rsidR="00000000" w:rsidRDefault="00C01C43">
            <w:pPr>
              <w:rPr>
                <w:rFonts w:eastAsia="Times New Roman"/>
              </w:rPr>
            </w:pPr>
            <w:r>
              <w:rPr>
                <w:rFonts w:ascii="Arial" w:eastAsia="Times New Roman" w:hAnsi="Arial" w:cs="Arial"/>
                <w:color w:val="000000"/>
                <w:sz w:val="20"/>
                <w:szCs w:val="20"/>
              </w:rPr>
              <w:t xml:space="preserve">Amendment No. 5 to the Fourth Amended and Restated Credit Agreement, dated as of October 26, 2016, among World Fuel Services Corporation, World Fuel Services Europe, Ltd., World Fuel Services (Singapore) Pte Ltd, and certain other Subsidiaries, </w:t>
            </w:r>
            <w:r>
              <w:rPr>
                <w:rFonts w:ascii="Arial" w:eastAsia="Times New Roman" w:hAnsi="Arial" w:cs="Arial"/>
                <w:color w:val="000000"/>
                <w:sz w:val="20"/>
                <w:szCs w:val="20"/>
              </w:rPr>
              <w:t>as borrowers, Bank of America, N.A., as administrative agent, and the financial institutions named therein as lenders (incorporated by reference herein from Exhibit 10.1 to our Current Report on Form 8-K filed on July 24, 2019).</w:t>
            </w:r>
          </w:p>
        </w:tc>
      </w:tr>
      <w:tr w:rsidR="00000000" w14:paraId="23A1948F" w14:textId="77777777">
        <w:trPr>
          <w:divId w:val="1852065805"/>
        </w:trPr>
        <w:tc>
          <w:tcPr>
            <w:tcW w:w="0" w:type="auto"/>
            <w:gridSpan w:val="3"/>
            <w:tcMar>
              <w:top w:w="30" w:type="dxa"/>
              <w:left w:w="20" w:type="dxa"/>
              <w:bottom w:w="30" w:type="dxa"/>
              <w:right w:w="20" w:type="dxa"/>
            </w:tcMar>
            <w:hideMark/>
          </w:tcPr>
          <w:p w14:paraId="79FCDA09" w14:textId="77777777" w:rsidR="00000000" w:rsidRDefault="00C01C43">
            <w:pPr>
              <w:divId w:val="1877309919"/>
              <w:rPr>
                <w:rFonts w:eastAsia="Times New Roman"/>
              </w:rPr>
            </w:pPr>
            <w:hyperlink r:id="rId40" w:history="1">
              <w:r>
                <w:rPr>
                  <w:rStyle w:val="a3"/>
                  <w:rFonts w:ascii="Arial" w:eastAsia="Times New Roman" w:hAnsi="Arial" w:cs="Arial"/>
                  <w:sz w:val="20"/>
                  <w:szCs w:val="20"/>
                </w:rPr>
                <w:t>21.1</w:t>
              </w:r>
            </w:hyperlink>
          </w:p>
        </w:tc>
        <w:tc>
          <w:tcPr>
            <w:tcW w:w="0" w:type="auto"/>
            <w:gridSpan w:val="3"/>
            <w:tcMar>
              <w:top w:w="0" w:type="dxa"/>
              <w:left w:w="20" w:type="dxa"/>
              <w:bottom w:w="0" w:type="dxa"/>
              <w:right w:w="20" w:type="dxa"/>
            </w:tcMar>
            <w:vAlign w:val="center"/>
            <w:hideMark/>
          </w:tcPr>
          <w:p w14:paraId="74458EFE"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2B8B8CB4" w14:textId="77777777" w:rsidR="00000000" w:rsidRDefault="00C01C43">
            <w:pPr>
              <w:jc w:val="both"/>
              <w:rPr>
                <w:rFonts w:eastAsia="Times New Roman"/>
              </w:rPr>
            </w:pPr>
            <w:r>
              <w:rPr>
                <w:rFonts w:ascii="Arial" w:eastAsia="Times New Roman" w:hAnsi="Arial" w:cs="Arial"/>
                <w:color w:val="000000"/>
                <w:sz w:val="20"/>
                <w:szCs w:val="20"/>
              </w:rPr>
              <w:t>Subsidiaries of the Registrant.</w:t>
            </w:r>
          </w:p>
        </w:tc>
      </w:tr>
      <w:tr w:rsidR="00000000" w14:paraId="1A099B82" w14:textId="77777777">
        <w:trPr>
          <w:divId w:val="1852065805"/>
        </w:trPr>
        <w:tc>
          <w:tcPr>
            <w:tcW w:w="0" w:type="auto"/>
            <w:gridSpan w:val="3"/>
            <w:tcMar>
              <w:top w:w="30" w:type="dxa"/>
              <w:left w:w="20" w:type="dxa"/>
              <w:bottom w:w="30" w:type="dxa"/>
              <w:right w:w="20" w:type="dxa"/>
            </w:tcMar>
            <w:hideMark/>
          </w:tcPr>
          <w:p w14:paraId="08CCEA26" w14:textId="77777777" w:rsidR="00000000" w:rsidRDefault="00C01C43">
            <w:pPr>
              <w:divId w:val="425612794"/>
              <w:rPr>
                <w:rFonts w:eastAsia="Times New Roman"/>
              </w:rPr>
            </w:pPr>
            <w:hyperlink r:id="rId41" w:history="1">
              <w:r>
                <w:rPr>
                  <w:rStyle w:val="a3"/>
                  <w:rFonts w:ascii="Arial" w:eastAsia="Times New Roman" w:hAnsi="Arial" w:cs="Arial"/>
                  <w:sz w:val="20"/>
                  <w:szCs w:val="20"/>
                </w:rPr>
                <w:t>23.1</w:t>
              </w:r>
            </w:hyperlink>
          </w:p>
        </w:tc>
        <w:tc>
          <w:tcPr>
            <w:tcW w:w="0" w:type="auto"/>
            <w:gridSpan w:val="3"/>
            <w:tcMar>
              <w:top w:w="0" w:type="dxa"/>
              <w:left w:w="20" w:type="dxa"/>
              <w:bottom w:w="0" w:type="dxa"/>
              <w:right w:w="20" w:type="dxa"/>
            </w:tcMar>
            <w:vAlign w:val="center"/>
            <w:hideMark/>
          </w:tcPr>
          <w:p w14:paraId="383F701F"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74BD3791" w14:textId="77777777" w:rsidR="00000000" w:rsidRDefault="00C01C43">
            <w:pPr>
              <w:jc w:val="both"/>
              <w:rPr>
                <w:rFonts w:eastAsia="Times New Roman"/>
              </w:rPr>
            </w:pPr>
            <w:r>
              <w:rPr>
                <w:rFonts w:ascii="Arial" w:eastAsia="Times New Roman" w:hAnsi="Arial" w:cs="Arial"/>
                <w:color w:val="000000"/>
                <w:sz w:val="20"/>
                <w:szCs w:val="20"/>
              </w:rPr>
              <w:t>Consent of Independent Registered Public Accounting Firm.</w:t>
            </w:r>
          </w:p>
        </w:tc>
      </w:tr>
      <w:tr w:rsidR="00000000" w14:paraId="75394072" w14:textId="77777777">
        <w:trPr>
          <w:divId w:val="1852065805"/>
        </w:trPr>
        <w:tc>
          <w:tcPr>
            <w:tcW w:w="0" w:type="auto"/>
            <w:gridSpan w:val="3"/>
            <w:tcMar>
              <w:top w:w="30" w:type="dxa"/>
              <w:left w:w="20" w:type="dxa"/>
              <w:bottom w:w="30" w:type="dxa"/>
              <w:right w:w="20" w:type="dxa"/>
            </w:tcMar>
            <w:hideMark/>
          </w:tcPr>
          <w:p w14:paraId="7D9F7801" w14:textId="77777777" w:rsidR="00000000" w:rsidRDefault="00C01C43">
            <w:pPr>
              <w:divId w:val="2011903810"/>
              <w:rPr>
                <w:rFonts w:eastAsia="Times New Roman"/>
              </w:rPr>
            </w:pPr>
            <w:hyperlink r:id="rId42" w:history="1">
              <w:r>
                <w:rPr>
                  <w:rStyle w:val="a3"/>
                  <w:rFonts w:ascii="Arial" w:eastAsia="Times New Roman" w:hAnsi="Arial" w:cs="Arial"/>
                  <w:sz w:val="20"/>
                  <w:szCs w:val="20"/>
                </w:rPr>
                <w:t>31.1</w:t>
              </w:r>
            </w:hyperlink>
          </w:p>
        </w:tc>
        <w:tc>
          <w:tcPr>
            <w:tcW w:w="0" w:type="auto"/>
            <w:gridSpan w:val="3"/>
            <w:tcMar>
              <w:top w:w="0" w:type="dxa"/>
              <w:left w:w="20" w:type="dxa"/>
              <w:bottom w:w="0" w:type="dxa"/>
              <w:right w:w="20" w:type="dxa"/>
            </w:tcMar>
            <w:vAlign w:val="center"/>
            <w:hideMark/>
          </w:tcPr>
          <w:p w14:paraId="69CBBDE4"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4840B3A9" w14:textId="77777777" w:rsidR="00000000" w:rsidRDefault="00C01C43">
            <w:pPr>
              <w:jc w:val="both"/>
              <w:rPr>
                <w:rFonts w:eastAsia="Times New Roman"/>
              </w:rPr>
            </w:pPr>
            <w:r>
              <w:rPr>
                <w:rFonts w:ascii="Arial" w:eastAsia="Times New Roman" w:hAnsi="Arial" w:cs="Arial"/>
                <w:color w:val="000000"/>
                <w:sz w:val="20"/>
                <w:szCs w:val="20"/>
              </w:rPr>
              <w:t>Certification of the Chief Executive Officer pursuant to Rule 13a</w:t>
            </w:r>
            <w:r>
              <w:rPr>
                <w:rFonts w:ascii="Arial" w:eastAsia="Times New Roman" w:hAnsi="Arial" w:cs="Arial"/>
                <w:color w:val="000000"/>
                <w:sz w:val="20"/>
                <w:szCs w:val="20"/>
              </w:rPr>
              <w:noBreakHyphen/>
              <w:t>14(a) or Rule 15d</w:t>
            </w:r>
            <w:r>
              <w:rPr>
                <w:rFonts w:ascii="Arial" w:eastAsia="Times New Roman" w:hAnsi="Arial" w:cs="Arial"/>
                <w:color w:val="000000"/>
                <w:sz w:val="20"/>
                <w:szCs w:val="20"/>
              </w:rPr>
              <w:noBreakHyphen/>
              <w:t>14(a).</w:t>
            </w:r>
          </w:p>
        </w:tc>
      </w:tr>
      <w:tr w:rsidR="00000000" w14:paraId="443BA2B8" w14:textId="77777777">
        <w:trPr>
          <w:divId w:val="1852065805"/>
        </w:trPr>
        <w:tc>
          <w:tcPr>
            <w:tcW w:w="0" w:type="auto"/>
            <w:gridSpan w:val="3"/>
            <w:tcMar>
              <w:top w:w="30" w:type="dxa"/>
              <w:left w:w="20" w:type="dxa"/>
              <w:bottom w:w="30" w:type="dxa"/>
              <w:right w:w="20" w:type="dxa"/>
            </w:tcMar>
            <w:hideMark/>
          </w:tcPr>
          <w:p w14:paraId="306A3E64" w14:textId="77777777" w:rsidR="00000000" w:rsidRDefault="00C01C43">
            <w:pPr>
              <w:divId w:val="137691239"/>
              <w:rPr>
                <w:rFonts w:eastAsia="Times New Roman"/>
              </w:rPr>
            </w:pPr>
            <w:hyperlink r:id="rId43" w:history="1">
              <w:r>
                <w:rPr>
                  <w:rStyle w:val="a3"/>
                  <w:rFonts w:ascii="Arial" w:eastAsia="Times New Roman" w:hAnsi="Arial" w:cs="Arial"/>
                  <w:sz w:val="20"/>
                  <w:szCs w:val="20"/>
                </w:rPr>
                <w:t>31.2</w:t>
              </w:r>
            </w:hyperlink>
          </w:p>
        </w:tc>
        <w:tc>
          <w:tcPr>
            <w:tcW w:w="0" w:type="auto"/>
            <w:gridSpan w:val="3"/>
            <w:tcMar>
              <w:top w:w="0" w:type="dxa"/>
              <w:left w:w="20" w:type="dxa"/>
              <w:bottom w:w="0" w:type="dxa"/>
              <w:right w:w="20" w:type="dxa"/>
            </w:tcMar>
            <w:vAlign w:val="center"/>
            <w:hideMark/>
          </w:tcPr>
          <w:p w14:paraId="76E8483C"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482811B2" w14:textId="77777777" w:rsidR="00000000" w:rsidRDefault="00C01C43">
            <w:pPr>
              <w:jc w:val="both"/>
              <w:rPr>
                <w:rFonts w:eastAsia="Times New Roman"/>
              </w:rPr>
            </w:pPr>
            <w:r>
              <w:rPr>
                <w:rFonts w:ascii="Arial" w:eastAsia="Times New Roman" w:hAnsi="Arial" w:cs="Arial"/>
                <w:color w:val="000000"/>
                <w:sz w:val="20"/>
                <w:szCs w:val="20"/>
              </w:rPr>
              <w:t>Certification of the Chief Financial Officer pursuant to Rule 13a</w:t>
            </w:r>
            <w:r>
              <w:rPr>
                <w:rFonts w:ascii="Arial" w:eastAsia="Times New Roman" w:hAnsi="Arial" w:cs="Arial"/>
                <w:color w:val="000000"/>
                <w:sz w:val="20"/>
                <w:szCs w:val="20"/>
              </w:rPr>
              <w:noBreakHyphen/>
              <w:t>14(a) or Rule 15d</w:t>
            </w:r>
            <w:r>
              <w:rPr>
                <w:rFonts w:ascii="Arial" w:eastAsia="Times New Roman" w:hAnsi="Arial" w:cs="Arial"/>
                <w:color w:val="000000"/>
                <w:sz w:val="20"/>
                <w:szCs w:val="20"/>
              </w:rPr>
              <w:noBreakHyphen/>
              <w:t>14(a).</w:t>
            </w:r>
          </w:p>
        </w:tc>
      </w:tr>
      <w:tr w:rsidR="00000000" w14:paraId="562E4F5C" w14:textId="77777777">
        <w:trPr>
          <w:divId w:val="1852065805"/>
        </w:trPr>
        <w:tc>
          <w:tcPr>
            <w:tcW w:w="0" w:type="auto"/>
            <w:gridSpan w:val="3"/>
            <w:tcMar>
              <w:top w:w="30" w:type="dxa"/>
              <w:left w:w="20" w:type="dxa"/>
              <w:bottom w:w="30" w:type="dxa"/>
              <w:right w:w="20" w:type="dxa"/>
            </w:tcMar>
            <w:hideMark/>
          </w:tcPr>
          <w:p w14:paraId="3EDE4A81" w14:textId="77777777" w:rsidR="00000000" w:rsidRDefault="00C01C43">
            <w:pPr>
              <w:divId w:val="147089479"/>
              <w:rPr>
                <w:rFonts w:eastAsia="Times New Roman"/>
              </w:rPr>
            </w:pPr>
            <w:hyperlink r:id="rId44" w:history="1">
              <w:r>
                <w:rPr>
                  <w:rStyle w:val="a3"/>
                  <w:rFonts w:ascii="Arial" w:eastAsia="Times New Roman" w:hAnsi="Arial" w:cs="Arial"/>
                  <w:sz w:val="20"/>
                  <w:szCs w:val="20"/>
                </w:rPr>
                <w:t>32.1</w:t>
              </w:r>
            </w:hyperlink>
          </w:p>
        </w:tc>
        <w:tc>
          <w:tcPr>
            <w:tcW w:w="0" w:type="auto"/>
            <w:gridSpan w:val="3"/>
            <w:tcMar>
              <w:top w:w="0" w:type="dxa"/>
              <w:left w:w="20" w:type="dxa"/>
              <w:bottom w:w="0" w:type="dxa"/>
              <w:right w:w="20" w:type="dxa"/>
            </w:tcMar>
            <w:vAlign w:val="center"/>
            <w:hideMark/>
          </w:tcPr>
          <w:p w14:paraId="70DD12A6"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6C2157B3" w14:textId="77777777" w:rsidR="00000000" w:rsidRDefault="00C01C43">
            <w:pPr>
              <w:jc w:val="both"/>
              <w:rPr>
                <w:rFonts w:eastAsia="Times New Roman"/>
              </w:rPr>
            </w:pPr>
            <w:r>
              <w:rPr>
                <w:rFonts w:ascii="Arial" w:eastAsia="Times New Roman" w:hAnsi="Arial" w:cs="Arial"/>
                <w:color w:val="000000"/>
                <w:sz w:val="20"/>
                <w:szCs w:val="20"/>
              </w:rPr>
              <w:t>Statement of Chief Executive Officer and Chief Financial Officer under Section 906 of the Sarbanes</w:t>
            </w:r>
            <w:r>
              <w:rPr>
                <w:rFonts w:ascii="Arial" w:eastAsia="Times New Roman" w:hAnsi="Arial" w:cs="Arial"/>
                <w:color w:val="000000"/>
                <w:sz w:val="20"/>
                <w:szCs w:val="20"/>
              </w:rPr>
              <w:noBreakHyphen/>
              <w:t>Oxley Act of 2002 (1</w:t>
            </w:r>
            <w:r>
              <w:rPr>
                <w:rFonts w:ascii="Arial" w:eastAsia="Times New Roman" w:hAnsi="Arial" w:cs="Arial"/>
                <w:color w:val="000000"/>
                <w:sz w:val="20"/>
                <w:szCs w:val="20"/>
              </w:rPr>
              <w:t>8 U.S.C. Section 1350).</w:t>
            </w:r>
          </w:p>
        </w:tc>
      </w:tr>
      <w:tr w:rsidR="00000000" w14:paraId="6FE7BE0A" w14:textId="77777777">
        <w:trPr>
          <w:divId w:val="1852065805"/>
        </w:trPr>
        <w:tc>
          <w:tcPr>
            <w:tcW w:w="0" w:type="auto"/>
            <w:gridSpan w:val="3"/>
            <w:tcMar>
              <w:top w:w="30" w:type="dxa"/>
              <w:left w:w="20" w:type="dxa"/>
              <w:bottom w:w="30" w:type="dxa"/>
              <w:right w:w="20" w:type="dxa"/>
            </w:tcMar>
            <w:hideMark/>
          </w:tcPr>
          <w:p w14:paraId="49A75476" w14:textId="77777777" w:rsidR="00000000" w:rsidRDefault="00C01C43">
            <w:pPr>
              <w:rPr>
                <w:rFonts w:eastAsia="Times New Roman"/>
              </w:rPr>
            </w:pPr>
            <w:r>
              <w:rPr>
                <w:rFonts w:ascii="Arial" w:eastAsia="Times New Roman" w:hAnsi="Arial" w:cs="Arial"/>
                <w:color w:val="000000"/>
                <w:sz w:val="20"/>
                <w:szCs w:val="20"/>
              </w:rPr>
              <w:t>101</w:t>
            </w:r>
          </w:p>
        </w:tc>
        <w:tc>
          <w:tcPr>
            <w:tcW w:w="0" w:type="auto"/>
            <w:gridSpan w:val="3"/>
            <w:tcMar>
              <w:top w:w="0" w:type="dxa"/>
              <w:left w:w="20" w:type="dxa"/>
              <w:bottom w:w="0" w:type="dxa"/>
              <w:right w:w="20" w:type="dxa"/>
            </w:tcMar>
            <w:vAlign w:val="center"/>
            <w:hideMark/>
          </w:tcPr>
          <w:p w14:paraId="33601D1E"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0949D11B" w14:textId="77777777" w:rsidR="00000000" w:rsidRDefault="00C01C43">
            <w:pPr>
              <w:jc w:val="both"/>
              <w:rPr>
                <w:rFonts w:eastAsia="Times New Roman"/>
              </w:rPr>
            </w:pPr>
            <w:r>
              <w:rPr>
                <w:rFonts w:ascii="Arial" w:eastAsia="Times New Roman" w:hAnsi="Arial" w:cs="Arial"/>
                <w:color w:val="000000"/>
                <w:sz w:val="20"/>
                <w:szCs w:val="20"/>
              </w:rPr>
              <w:t>The following materials from World Fuel Services Corporation’s Annual Report on Form 10-K for the year ended December 31, 2020, formatted in XBRL (Extensible Business Reporting Language); (i) Consolidated Balance Sheets,</w:t>
            </w:r>
            <w:r>
              <w:rPr>
                <w:rFonts w:ascii="Arial" w:eastAsia="Times New Roman" w:hAnsi="Arial" w:cs="Arial"/>
                <w:color w:val="000000"/>
                <w:sz w:val="20"/>
                <w:szCs w:val="20"/>
              </w:rPr>
              <w:t xml:space="preserve"> (ii) Consolidated Statements of Income and Comprehensive Income, (iii) Consolidated Statements of Shareholders’ Equity, (iv) Consolidated Statements of Cash Flows, and (v) Notes to the Consolidated Financial Statements.</w:t>
            </w:r>
          </w:p>
        </w:tc>
      </w:tr>
      <w:tr w:rsidR="00000000" w14:paraId="499721A3" w14:textId="77777777">
        <w:trPr>
          <w:divId w:val="1852065805"/>
        </w:trPr>
        <w:tc>
          <w:tcPr>
            <w:tcW w:w="0" w:type="auto"/>
            <w:gridSpan w:val="3"/>
            <w:tcMar>
              <w:top w:w="30" w:type="dxa"/>
              <w:left w:w="20" w:type="dxa"/>
              <w:bottom w:w="30" w:type="dxa"/>
              <w:right w:w="20" w:type="dxa"/>
            </w:tcMar>
            <w:hideMark/>
          </w:tcPr>
          <w:p w14:paraId="28727F8B" w14:textId="77777777" w:rsidR="00000000" w:rsidRDefault="00C01C43">
            <w:pPr>
              <w:rPr>
                <w:rFonts w:eastAsia="Times New Roman"/>
              </w:rPr>
            </w:pPr>
            <w:r>
              <w:rPr>
                <w:rFonts w:ascii="Arial" w:eastAsia="Times New Roman" w:hAnsi="Arial" w:cs="Arial"/>
                <w:color w:val="000000"/>
                <w:sz w:val="20"/>
                <w:szCs w:val="20"/>
              </w:rPr>
              <w:t>104</w:t>
            </w:r>
          </w:p>
        </w:tc>
        <w:tc>
          <w:tcPr>
            <w:tcW w:w="0" w:type="auto"/>
            <w:gridSpan w:val="3"/>
            <w:tcMar>
              <w:top w:w="0" w:type="dxa"/>
              <w:left w:w="20" w:type="dxa"/>
              <w:bottom w:w="0" w:type="dxa"/>
              <w:right w:w="20" w:type="dxa"/>
            </w:tcMar>
            <w:vAlign w:val="center"/>
            <w:hideMark/>
          </w:tcPr>
          <w:p w14:paraId="4B93BF5A"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7E20C0F3" w14:textId="77777777" w:rsidR="00000000" w:rsidRDefault="00C01C43">
            <w:pPr>
              <w:jc w:val="both"/>
              <w:rPr>
                <w:rFonts w:eastAsia="Times New Roman"/>
              </w:rPr>
            </w:pPr>
            <w:r>
              <w:rPr>
                <w:rFonts w:ascii="Arial" w:eastAsia="Times New Roman" w:hAnsi="Arial" w:cs="Arial"/>
                <w:color w:val="000000"/>
                <w:sz w:val="20"/>
                <w:szCs w:val="20"/>
              </w:rPr>
              <w:t>Cover page interactive file (formatted in Inline XBRL and contained in Exhibit 101).</w:t>
            </w:r>
          </w:p>
        </w:tc>
      </w:tr>
    </w:tbl>
    <w:p w14:paraId="45F251B1" w14:textId="77777777" w:rsidR="00000000" w:rsidRDefault="00C01C43">
      <w:pPr>
        <w:jc w:val="both"/>
        <w:divId w:val="966593399"/>
        <w:rPr>
          <w:rFonts w:eastAsia="Times New Roman"/>
        </w:rPr>
      </w:pPr>
      <w:r>
        <w:rPr>
          <w:rFonts w:ascii="Arial" w:eastAsia="Times New Roman" w:hAnsi="Arial" w:cs="Arial"/>
          <w:color w:val="000000"/>
          <w:sz w:val="20"/>
          <w:szCs w:val="20"/>
        </w:rPr>
        <w:t>*Management contracts and compensatory plans or arrangements required to be filed as exhibits to this form, pursuant to Item 15(b).</w:t>
      </w:r>
    </w:p>
    <w:p w14:paraId="7C34C738" w14:textId="77777777" w:rsidR="00000000" w:rsidRDefault="00C01C43">
      <w:pPr>
        <w:jc w:val="center"/>
        <w:divId w:val="1289630202"/>
        <w:rPr>
          <w:rFonts w:eastAsia="Times New Roman"/>
        </w:rPr>
      </w:pPr>
      <w:r>
        <w:rPr>
          <w:rFonts w:ascii="Arial" w:eastAsia="Times New Roman" w:hAnsi="Arial" w:cs="Arial"/>
          <w:color w:val="000000"/>
          <w:sz w:val="16"/>
          <w:szCs w:val="16"/>
        </w:rPr>
        <w:t>44</w:t>
      </w:r>
    </w:p>
    <w:p w14:paraId="0FCB99F8" w14:textId="77777777" w:rsidR="00000000" w:rsidRDefault="00C01C43">
      <w:pPr>
        <w:rPr>
          <w:rFonts w:eastAsia="Times New Roman"/>
        </w:rPr>
      </w:pPr>
      <w:r>
        <w:rPr>
          <w:rFonts w:eastAsia="Times New Roman"/>
        </w:rPr>
        <w:pict w14:anchorId="40ED3004">
          <v:rect id="_x0000_i1073" style="width:0;height:1.5pt" o:hralign="center" o:hrstd="t" o:hr="t" fillcolor="#a0a0a0" stroked="f"/>
        </w:pict>
      </w:r>
    </w:p>
    <w:p w14:paraId="10DE84DB" w14:textId="77777777" w:rsidR="00000000" w:rsidRDefault="00C01C43">
      <w:pPr>
        <w:divId w:val="482696870"/>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439B7D28" w14:textId="77777777" w:rsidR="00000000" w:rsidRDefault="00C01C43">
      <w:pPr>
        <w:jc w:val="both"/>
        <w:rPr>
          <w:rFonts w:eastAsia="Times New Roman"/>
        </w:rPr>
      </w:pPr>
      <w:r>
        <w:rPr>
          <w:rFonts w:ascii="Arial" w:eastAsia="Times New Roman" w:hAnsi="Arial" w:cs="Arial"/>
          <w:b/>
          <w:bCs/>
          <w:color w:val="000000"/>
        </w:rPr>
        <w:t>REPORT OF INDEPENDENT REGISTERED PUBLIC ACCOUNTING FIRM </w:t>
      </w:r>
    </w:p>
    <w:p w14:paraId="3F1D38D4" w14:textId="77777777" w:rsidR="00000000" w:rsidRDefault="00C01C43">
      <w:pPr>
        <w:jc w:val="both"/>
        <w:rPr>
          <w:rFonts w:eastAsia="Times New Roman"/>
        </w:rPr>
      </w:pPr>
    </w:p>
    <w:p w14:paraId="5F19F9ED" w14:textId="77777777" w:rsidR="00000000" w:rsidRDefault="00C01C43">
      <w:pPr>
        <w:jc w:val="both"/>
        <w:divId w:val="739061476"/>
        <w:rPr>
          <w:rFonts w:eastAsia="Times New Roman"/>
        </w:rPr>
      </w:pPr>
      <w:r>
        <w:rPr>
          <w:rFonts w:ascii="Arial" w:eastAsia="Times New Roman" w:hAnsi="Arial" w:cs="Arial"/>
          <w:color w:val="000000"/>
        </w:rPr>
        <w:t>To the Board of Directors and Shareholders of World Fuel Services Corporation</w:t>
      </w:r>
    </w:p>
    <w:p w14:paraId="0295DBEF" w14:textId="77777777" w:rsidR="00000000" w:rsidRDefault="00C01C43">
      <w:pPr>
        <w:jc w:val="both"/>
        <w:rPr>
          <w:rFonts w:eastAsia="Times New Roman"/>
        </w:rPr>
      </w:pPr>
      <w:r>
        <w:rPr>
          <w:rFonts w:ascii="Arial" w:eastAsia="Times New Roman" w:hAnsi="Arial" w:cs="Arial"/>
          <w:b/>
          <w:bCs/>
          <w:i/>
          <w:iCs/>
          <w:color w:val="000000"/>
          <w:sz w:val="20"/>
          <w:szCs w:val="20"/>
        </w:rPr>
        <w:t>Opinions on the Financial Statements and Internal Control over Financial Reporting</w:t>
      </w:r>
    </w:p>
    <w:p w14:paraId="4A230357" w14:textId="77777777" w:rsidR="00000000" w:rsidRDefault="00C01C43">
      <w:pPr>
        <w:divId w:val="1901017711"/>
        <w:rPr>
          <w:rFonts w:eastAsia="Times New Roman"/>
        </w:rPr>
      </w:pPr>
    </w:p>
    <w:p w14:paraId="3C43FE32" w14:textId="77777777" w:rsidR="00000000" w:rsidRDefault="00C01C43">
      <w:pPr>
        <w:jc w:val="both"/>
        <w:rPr>
          <w:rFonts w:eastAsia="Times New Roman"/>
        </w:rPr>
      </w:pPr>
      <w:r>
        <w:rPr>
          <w:rFonts w:ascii="Arial" w:eastAsia="Times New Roman" w:hAnsi="Arial" w:cs="Arial"/>
          <w:color w:val="000000"/>
          <w:sz w:val="20"/>
          <w:szCs w:val="20"/>
        </w:rPr>
        <w:t>We have audited the accompanying consolidated balance sheets of World Fuel Services Corporati</w:t>
      </w:r>
      <w:r>
        <w:rPr>
          <w:rFonts w:ascii="Arial" w:eastAsia="Times New Roman" w:hAnsi="Arial" w:cs="Arial"/>
          <w:color w:val="000000"/>
          <w:sz w:val="20"/>
          <w:szCs w:val="20"/>
        </w:rPr>
        <w:t>on and its subsidiaries (the “Company”) as of December 31, 2020 and 2019, and the related consolidated statements of income and comprehensive income, of shareholders' equity and of cash flows for each of the three years in the period ended December 31, 202</w:t>
      </w:r>
      <w:r>
        <w:rPr>
          <w:rFonts w:ascii="Arial" w:eastAsia="Times New Roman" w:hAnsi="Arial" w:cs="Arial"/>
          <w:color w:val="000000"/>
          <w:sz w:val="20"/>
          <w:szCs w:val="20"/>
        </w:rPr>
        <w:t xml:space="preserve">0, including the related notes (collectively referred to as the “consolidated financial statements”). We also have audited the Company's internal control over financial reporting as of December 31, 2020, based on criteria established in </w:t>
      </w:r>
      <w:r>
        <w:rPr>
          <w:rFonts w:ascii="Arial" w:eastAsia="Times New Roman" w:hAnsi="Arial" w:cs="Arial"/>
          <w:i/>
          <w:iCs/>
          <w:color w:val="000000"/>
          <w:sz w:val="20"/>
          <w:szCs w:val="20"/>
        </w:rPr>
        <w:t xml:space="preserve">Internal Control - </w:t>
      </w:r>
      <w:r>
        <w:rPr>
          <w:rFonts w:ascii="Arial" w:eastAsia="Times New Roman" w:hAnsi="Arial" w:cs="Arial"/>
          <w:i/>
          <w:iCs/>
          <w:color w:val="000000"/>
          <w:sz w:val="20"/>
          <w:szCs w:val="20"/>
        </w:rPr>
        <w:t>Integrated Framework</w:t>
      </w:r>
      <w:r>
        <w:rPr>
          <w:rFonts w:ascii="Arial" w:eastAsia="Times New Roman" w:hAnsi="Arial" w:cs="Arial"/>
          <w:color w:val="000000"/>
          <w:sz w:val="20"/>
          <w:szCs w:val="20"/>
        </w:rPr>
        <w:t xml:space="preserve"> (2013) issued by the Committee of Sponsoring Organizations of the Treadway Commission (COSO).</w:t>
      </w:r>
    </w:p>
    <w:p w14:paraId="177B89A0" w14:textId="77777777" w:rsidR="00000000" w:rsidRDefault="00C01C43">
      <w:pPr>
        <w:jc w:val="both"/>
        <w:rPr>
          <w:rFonts w:eastAsia="Times New Roman"/>
        </w:rPr>
      </w:pPr>
    </w:p>
    <w:p w14:paraId="795B8135" w14:textId="77777777" w:rsidR="00000000" w:rsidRDefault="00C01C43">
      <w:pPr>
        <w:jc w:val="both"/>
        <w:rPr>
          <w:rFonts w:eastAsia="Times New Roman"/>
        </w:rPr>
      </w:pPr>
      <w:r>
        <w:rPr>
          <w:rFonts w:ascii="Arial" w:eastAsia="Times New Roman" w:hAnsi="Arial" w:cs="Arial"/>
          <w:color w:val="000000"/>
          <w:sz w:val="20"/>
          <w:szCs w:val="20"/>
        </w:rPr>
        <w:t>In our opinion, the consolidated financial statements referred to above present fairly, in all material respects, the financial position of</w:t>
      </w:r>
      <w:r>
        <w:rPr>
          <w:rFonts w:ascii="Arial" w:eastAsia="Times New Roman" w:hAnsi="Arial" w:cs="Arial"/>
          <w:color w:val="000000"/>
          <w:sz w:val="20"/>
          <w:szCs w:val="20"/>
        </w:rPr>
        <w:t xml:space="preserve"> the Company as of December 31, 2020 and 2019, and the results of its operations and its cash flows for each of the three years in the period ended December 31, 2020 in conformity with accounting principles generally accepted in the United States of Americ</w:t>
      </w:r>
      <w:r>
        <w:rPr>
          <w:rFonts w:ascii="Arial" w:eastAsia="Times New Roman" w:hAnsi="Arial" w:cs="Arial"/>
          <w:color w:val="000000"/>
          <w:sz w:val="20"/>
          <w:szCs w:val="20"/>
        </w:rPr>
        <w:t xml:space="preserve">a. Also in our opinion, the Company maintained, in all material respects, effective internal control over financial reporting as of December 31, 2020, based on criteria established in </w:t>
      </w:r>
      <w:r>
        <w:rPr>
          <w:rFonts w:ascii="Arial" w:eastAsia="Times New Roman" w:hAnsi="Arial" w:cs="Arial"/>
          <w:i/>
          <w:iCs/>
          <w:color w:val="000000"/>
          <w:sz w:val="20"/>
          <w:szCs w:val="20"/>
        </w:rPr>
        <w:t>Internal Control - Integrated Framework</w:t>
      </w:r>
      <w:r>
        <w:rPr>
          <w:rFonts w:ascii="Arial" w:eastAsia="Times New Roman" w:hAnsi="Arial" w:cs="Arial"/>
          <w:color w:val="000000"/>
          <w:sz w:val="20"/>
          <w:szCs w:val="20"/>
        </w:rPr>
        <w:t xml:space="preserve"> (2013) issued by the COSO.</w:t>
      </w:r>
    </w:p>
    <w:p w14:paraId="4678D666" w14:textId="77777777" w:rsidR="00000000" w:rsidRDefault="00C01C43">
      <w:pPr>
        <w:jc w:val="both"/>
        <w:divId w:val="991250775"/>
        <w:rPr>
          <w:rFonts w:eastAsia="Times New Roman"/>
        </w:rPr>
      </w:pPr>
      <w:r>
        <w:rPr>
          <w:rFonts w:ascii="Arial" w:eastAsia="Times New Roman" w:hAnsi="Arial" w:cs="Arial"/>
          <w:i/>
          <w:iCs/>
          <w:color w:val="000000"/>
          <w:sz w:val="20"/>
          <w:szCs w:val="20"/>
        </w:rPr>
        <w:t>Chang</w:t>
      </w:r>
      <w:r>
        <w:rPr>
          <w:rFonts w:ascii="Arial" w:eastAsia="Times New Roman" w:hAnsi="Arial" w:cs="Arial"/>
          <w:i/>
          <w:iCs/>
          <w:color w:val="000000"/>
          <w:sz w:val="20"/>
          <w:szCs w:val="20"/>
        </w:rPr>
        <w:t>e in Accounting Principle</w:t>
      </w:r>
    </w:p>
    <w:p w14:paraId="24C5E28B" w14:textId="77777777" w:rsidR="00000000" w:rsidRDefault="00C01C43">
      <w:pPr>
        <w:jc w:val="both"/>
        <w:divId w:val="1023242197"/>
        <w:rPr>
          <w:rFonts w:eastAsia="Times New Roman"/>
        </w:rPr>
      </w:pPr>
      <w:r>
        <w:rPr>
          <w:rFonts w:ascii="Arial" w:eastAsia="Times New Roman" w:hAnsi="Arial" w:cs="Arial"/>
          <w:color w:val="000000"/>
          <w:sz w:val="20"/>
          <w:szCs w:val="20"/>
        </w:rPr>
        <w:t>As discussed in Note 1 to the consolidated financial statements, the Company changed the manner in which it accounts for leases in 2019.</w:t>
      </w:r>
    </w:p>
    <w:p w14:paraId="5690C004" w14:textId="77777777" w:rsidR="00000000" w:rsidRDefault="00C01C43">
      <w:pPr>
        <w:jc w:val="both"/>
        <w:divId w:val="1836989921"/>
        <w:rPr>
          <w:rFonts w:eastAsia="Times New Roman"/>
        </w:rPr>
      </w:pPr>
      <w:r>
        <w:rPr>
          <w:rFonts w:ascii="Arial" w:eastAsia="Times New Roman" w:hAnsi="Arial" w:cs="Arial"/>
          <w:b/>
          <w:bCs/>
          <w:i/>
          <w:iCs/>
          <w:color w:val="000000"/>
          <w:sz w:val="20"/>
          <w:szCs w:val="20"/>
        </w:rPr>
        <w:t>Basis for Opinions</w:t>
      </w:r>
    </w:p>
    <w:p w14:paraId="0A234B46" w14:textId="77777777" w:rsidR="00000000" w:rsidRDefault="00C01C43">
      <w:pPr>
        <w:jc w:val="both"/>
        <w:rPr>
          <w:rFonts w:eastAsia="Times New Roman"/>
        </w:rPr>
      </w:pPr>
    </w:p>
    <w:p w14:paraId="070B6C8A" w14:textId="77777777" w:rsidR="00000000" w:rsidRDefault="00C01C43">
      <w:pPr>
        <w:jc w:val="both"/>
        <w:rPr>
          <w:rFonts w:eastAsia="Times New Roman"/>
        </w:rPr>
      </w:pPr>
      <w:r>
        <w:rPr>
          <w:rFonts w:ascii="Arial" w:eastAsia="Times New Roman" w:hAnsi="Arial" w:cs="Arial"/>
          <w:color w:val="000000"/>
          <w:sz w:val="20"/>
          <w:szCs w:val="20"/>
        </w:rPr>
        <w:t>The Company's management is responsible for these consolidated financial</w:t>
      </w:r>
      <w:r>
        <w:rPr>
          <w:rFonts w:ascii="Arial" w:eastAsia="Times New Roman" w:hAnsi="Arial" w:cs="Arial"/>
          <w:color w:val="000000"/>
          <w:sz w:val="20"/>
          <w:szCs w:val="20"/>
        </w:rPr>
        <w:t xml:space="preserve"> statements, for maintaining effective internal control over financial reporting, and for its assessment of the effectiveness of internal control over financial reporting, included in Management's Report on Internal Control over Financial Reporting appeari</w:t>
      </w:r>
      <w:r>
        <w:rPr>
          <w:rFonts w:ascii="Arial" w:eastAsia="Times New Roman" w:hAnsi="Arial" w:cs="Arial"/>
          <w:color w:val="000000"/>
          <w:sz w:val="20"/>
          <w:szCs w:val="20"/>
        </w:rPr>
        <w:t>ng under Item 9A. Our responsibility is to express opinions on the Company’s consolidated financial statements and on the Company's internal control over financial reporting based on our audits. We are a public accounting firm registered with the Public Co</w:t>
      </w:r>
      <w:r>
        <w:rPr>
          <w:rFonts w:ascii="Arial" w:eastAsia="Times New Roman" w:hAnsi="Arial" w:cs="Arial"/>
          <w:color w:val="000000"/>
          <w:sz w:val="20"/>
          <w:szCs w:val="20"/>
        </w:rPr>
        <w:t>mpany Accounting Oversight Board (United States) (PCAOB) and are required to be independent with respect to the Company in accordance with the U.S. federal securities laws and the applicable rules and regulations of the Securities and Exchange Commission a</w:t>
      </w:r>
      <w:r>
        <w:rPr>
          <w:rFonts w:ascii="Arial" w:eastAsia="Times New Roman" w:hAnsi="Arial" w:cs="Arial"/>
          <w:color w:val="000000"/>
          <w:sz w:val="20"/>
          <w:szCs w:val="20"/>
        </w:rPr>
        <w:t>nd the PCAOB.</w:t>
      </w:r>
    </w:p>
    <w:p w14:paraId="5C4F8EC5" w14:textId="77777777" w:rsidR="00000000" w:rsidRDefault="00C01C43">
      <w:pPr>
        <w:jc w:val="both"/>
        <w:rPr>
          <w:rFonts w:eastAsia="Times New Roman"/>
        </w:rPr>
      </w:pPr>
    </w:p>
    <w:p w14:paraId="732514F3" w14:textId="77777777" w:rsidR="00000000" w:rsidRDefault="00C01C43">
      <w:pPr>
        <w:jc w:val="both"/>
        <w:rPr>
          <w:rFonts w:eastAsia="Times New Roman"/>
        </w:rPr>
      </w:pPr>
      <w:r>
        <w:rPr>
          <w:rFonts w:ascii="Arial" w:eastAsia="Times New Roman" w:hAnsi="Arial" w:cs="Arial"/>
          <w:color w:val="000000"/>
          <w:sz w:val="20"/>
          <w:szCs w:val="20"/>
        </w:rPr>
        <w:t>We conducted our audits in accordance with the standards of the PCAOB. Those standards require that we plan and perform the audits to obtain reasonable assurance about whether the consolidated financial statements are free of material misst</w:t>
      </w:r>
      <w:r>
        <w:rPr>
          <w:rFonts w:ascii="Arial" w:eastAsia="Times New Roman" w:hAnsi="Arial" w:cs="Arial"/>
          <w:color w:val="000000"/>
          <w:sz w:val="20"/>
          <w:szCs w:val="20"/>
        </w:rPr>
        <w:t>atement, whether due to error or fraud, and whether effective internal control over financial reporting was maintained in all material respects.</w:t>
      </w:r>
    </w:p>
    <w:p w14:paraId="70A19201" w14:textId="77777777" w:rsidR="00000000" w:rsidRDefault="00C01C43">
      <w:pPr>
        <w:jc w:val="both"/>
        <w:rPr>
          <w:rFonts w:eastAsia="Times New Roman"/>
        </w:rPr>
      </w:pPr>
    </w:p>
    <w:p w14:paraId="016B2794" w14:textId="77777777" w:rsidR="00000000" w:rsidRDefault="00C01C43">
      <w:pPr>
        <w:jc w:val="both"/>
        <w:rPr>
          <w:rFonts w:eastAsia="Times New Roman"/>
        </w:rPr>
      </w:pPr>
      <w:r>
        <w:rPr>
          <w:rFonts w:ascii="Arial" w:eastAsia="Times New Roman" w:hAnsi="Arial" w:cs="Arial"/>
          <w:color w:val="000000"/>
          <w:sz w:val="20"/>
          <w:szCs w:val="20"/>
        </w:rPr>
        <w:t xml:space="preserve">Our audits of the consolidated financial statements included performing procedures to assess the risks of material misstatement of the consolidated financial statements, whether due to error or fraud, and performing procedures that respond to those risks. </w:t>
      </w:r>
      <w:r>
        <w:rPr>
          <w:rFonts w:ascii="Arial" w:eastAsia="Times New Roman" w:hAnsi="Arial" w:cs="Arial"/>
          <w:color w:val="000000"/>
          <w:sz w:val="20"/>
          <w:szCs w:val="20"/>
        </w:rPr>
        <w:t>Such procedures included examining, on a test basis, evidence regarding the amounts and disclosures in the consolidated financial statements. Our audits also included evaluating the accounting principles used and significant estimates made by management, a</w:t>
      </w:r>
      <w:r>
        <w:rPr>
          <w:rFonts w:ascii="Arial" w:eastAsia="Times New Roman" w:hAnsi="Arial" w:cs="Arial"/>
          <w:color w:val="000000"/>
          <w:sz w:val="20"/>
          <w:szCs w:val="20"/>
        </w:rPr>
        <w:t>s well as evaluating the overall presentation of the consolidated financial statements. Our audit of internal control over financial reporting included obtaining an understanding of internal control over financial reporting, assessing the risk that a mater</w:t>
      </w:r>
      <w:r>
        <w:rPr>
          <w:rFonts w:ascii="Arial" w:eastAsia="Times New Roman" w:hAnsi="Arial" w:cs="Arial"/>
          <w:color w:val="000000"/>
          <w:sz w:val="20"/>
          <w:szCs w:val="20"/>
        </w:rPr>
        <w:t>ial weakness exists, and testing and evaluating the design and operating effectiveness of internal control based on the assessed risk. Our audits also included performing such other procedures as we considered necessary in the circumstances. We believe tha</w:t>
      </w:r>
      <w:r>
        <w:rPr>
          <w:rFonts w:ascii="Arial" w:eastAsia="Times New Roman" w:hAnsi="Arial" w:cs="Arial"/>
          <w:color w:val="000000"/>
          <w:sz w:val="20"/>
          <w:szCs w:val="20"/>
        </w:rPr>
        <w:t>t our audits provide a reasonable basis for our opinions.</w:t>
      </w:r>
    </w:p>
    <w:p w14:paraId="06DA0BF2" w14:textId="77777777" w:rsidR="00000000" w:rsidRDefault="00C01C43">
      <w:pPr>
        <w:jc w:val="both"/>
        <w:divId w:val="2140566884"/>
        <w:rPr>
          <w:rFonts w:eastAsia="Times New Roman"/>
        </w:rPr>
      </w:pPr>
    </w:p>
    <w:p w14:paraId="7608F8B6" w14:textId="77777777" w:rsidR="00000000" w:rsidRDefault="00C01C43">
      <w:pPr>
        <w:jc w:val="center"/>
        <w:divId w:val="542718385"/>
        <w:rPr>
          <w:rFonts w:eastAsia="Times New Roman"/>
        </w:rPr>
      </w:pPr>
      <w:r>
        <w:rPr>
          <w:rFonts w:ascii="Arial" w:eastAsia="Times New Roman" w:hAnsi="Arial" w:cs="Arial"/>
          <w:color w:val="000000"/>
          <w:sz w:val="16"/>
          <w:szCs w:val="16"/>
        </w:rPr>
        <w:t>45</w:t>
      </w:r>
    </w:p>
    <w:p w14:paraId="513A537E" w14:textId="77777777" w:rsidR="00000000" w:rsidRDefault="00C01C43">
      <w:pPr>
        <w:rPr>
          <w:rFonts w:eastAsia="Times New Roman"/>
        </w:rPr>
      </w:pPr>
      <w:r>
        <w:rPr>
          <w:rFonts w:eastAsia="Times New Roman"/>
        </w:rPr>
        <w:pict w14:anchorId="6657EB3C">
          <v:rect id="_x0000_i1074" style="width:0;height:1.5pt" o:hralign="center" o:hrstd="t" o:hr="t" fillcolor="#a0a0a0" stroked="f"/>
        </w:pict>
      </w:r>
    </w:p>
    <w:p w14:paraId="45A1E443" w14:textId="77777777" w:rsidR="00000000" w:rsidRDefault="00C01C43">
      <w:pPr>
        <w:divId w:val="1720397143"/>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6EBEAFDC" w14:textId="77777777" w:rsidR="00000000" w:rsidRDefault="00C01C43">
      <w:pPr>
        <w:jc w:val="both"/>
        <w:divId w:val="1285695226"/>
        <w:rPr>
          <w:rFonts w:eastAsia="Times New Roman"/>
        </w:rPr>
      </w:pPr>
      <w:r>
        <w:rPr>
          <w:rFonts w:ascii="Arial" w:eastAsia="Times New Roman" w:hAnsi="Arial" w:cs="Arial"/>
          <w:b/>
          <w:bCs/>
          <w:i/>
          <w:iCs/>
          <w:color w:val="000000"/>
          <w:sz w:val="20"/>
          <w:szCs w:val="20"/>
        </w:rPr>
        <w:t>Definition and Limitations of Internal Control over Financial Reporting</w:t>
      </w:r>
    </w:p>
    <w:p w14:paraId="246D7CBD" w14:textId="77777777" w:rsidR="00000000" w:rsidRDefault="00C01C43">
      <w:pPr>
        <w:jc w:val="both"/>
        <w:rPr>
          <w:rFonts w:eastAsia="Times New Roman"/>
        </w:rPr>
      </w:pPr>
    </w:p>
    <w:p w14:paraId="17573535" w14:textId="77777777" w:rsidR="00000000" w:rsidRDefault="00C01C43">
      <w:pPr>
        <w:jc w:val="both"/>
        <w:rPr>
          <w:rFonts w:eastAsia="Times New Roman"/>
        </w:rPr>
      </w:pPr>
      <w:r>
        <w:rPr>
          <w:rFonts w:ascii="Arial" w:eastAsia="Times New Roman" w:hAnsi="Arial" w:cs="Arial"/>
          <w:color w:val="000000"/>
          <w:sz w:val="20"/>
          <w:szCs w:val="20"/>
        </w:rPr>
        <w:t>A comp</w:t>
      </w:r>
      <w:r>
        <w:rPr>
          <w:rFonts w:ascii="Arial" w:eastAsia="Times New Roman" w:hAnsi="Arial" w:cs="Arial"/>
          <w:color w:val="000000"/>
          <w:sz w:val="20"/>
          <w:szCs w:val="20"/>
        </w:rPr>
        <w:t>any’s internal control over financial reporting is a process designed to provide reasonable assurance regarding the reliability of financial reporting and the preparation of financial statements for external purposes in accordance with generally accepted a</w:t>
      </w:r>
      <w:r>
        <w:rPr>
          <w:rFonts w:ascii="Arial" w:eastAsia="Times New Roman" w:hAnsi="Arial" w:cs="Arial"/>
          <w:color w:val="000000"/>
          <w:sz w:val="20"/>
          <w:szCs w:val="20"/>
        </w:rPr>
        <w:t>ccounting principles. A company’s internal control over financial reporting includes those policies and procedures that (i) pertain to the maintenance of records that, in reasonable detail, accurately and fairly reflect the transactions and dispositions of</w:t>
      </w:r>
      <w:r>
        <w:rPr>
          <w:rFonts w:ascii="Arial" w:eastAsia="Times New Roman" w:hAnsi="Arial" w:cs="Arial"/>
          <w:color w:val="000000"/>
          <w:sz w:val="20"/>
          <w:szCs w:val="20"/>
        </w:rPr>
        <w:t xml:space="preserve"> the assets of the company; (ii) provide reasonable assurance that transactions are recorded as necessary to permit preparation of financial statements in accordance with generally accepted accounting principles, and that receipts and expenditures of the c</w:t>
      </w:r>
      <w:r>
        <w:rPr>
          <w:rFonts w:ascii="Arial" w:eastAsia="Times New Roman" w:hAnsi="Arial" w:cs="Arial"/>
          <w:color w:val="000000"/>
          <w:sz w:val="20"/>
          <w:szCs w:val="20"/>
        </w:rPr>
        <w:t>ompany are being made only in accordance with authorizations of management and directors of the company; and (iii) provide reasonable assurance regarding prevention or timely detection of unauthorized acquisition, use, or disposition of the company’s asset</w:t>
      </w:r>
      <w:r>
        <w:rPr>
          <w:rFonts w:ascii="Arial" w:eastAsia="Times New Roman" w:hAnsi="Arial" w:cs="Arial"/>
          <w:color w:val="000000"/>
          <w:sz w:val="20"/>
          <w:szCs w:val="20"/>
        </w:rPr>
        <w:t>s that could have a material effect on the financial statements.</w:t>
      </w:r>
    </w:p>
    <w:p w14:paraId="07A0DDDE" w14:textId="77777777" w:rsidR="00000000" w:rsidRDefault="00C01C43">
      <w:pPr>
        <w:divId w:val="1507211317"/>
        <w:rPr>
          <w:rFonts w:eastAsia="Times New Roman"/>
        </w:rPr>
      </w:pPr>
    </w:p>
    <w:p w14:paraId="416C362F" w14:textId="77777777" w:rsidR="00000000" w:rsidRDefault="00C01C43">
      <w:pPr>
        <w:jc w:val="both"/>
        <w:rPr>
          <w:rFonts w:eastAsia="Times New Roman"/>
        </w:rPr>
      </w:pPr>
      <w:r>
        <w:rPr>
          <w:rFonts w:ascii="Arial" w:eastAsia="Times New Roman" w:hAnsi="Arial" w:cs="Arial"/>
          <w:color w:val="000000"/>
          <w:sz w:val="20"/>
          <w:szCs w:val="20"/>
        </w:rPr>
        <w:t>Because of its inherent limitations, internal control over financial reporting may not prevent or detect misstatements. Also, projections of any evaluation of effectiveness to future period</w:t>
      </w:r>
      <w:r>
        <w:rPr>
          <w:rFonts w:ascii="Arial" w:eastAsia="Times New Roman" w:hAnsi="Arial" w:cs="Arial"/>
          <w:color w:val="000000"/>
          <w:sz w:val="20"/>
          <w:szCs w:val="20"/>
        </w:rPr>
        <w:t>s are subject to the risk that controls may become inadequate because of changes in conditions, or that the degree of compliance with the policies or procedures may deteriorate.</w:t>
      </w:r>
    </w:p>
    <w:p w14:paraId="6F678D2D" w14:textId="77777777" w:rsidR="00000000" w:rsidRDefault="00C01C43">
      <w:pPr>
        <w:jc w:val="both"/>
        <w:divId w:val="1893536236"/>
        <w:rPr>
          <w:rFonts w:eastAsia="Times New Roman"/>
        </w:rPr>
      </w:pPr>
      <w:r>
        <w:rPr>
          <w:rFonts w:ascii="Arial" w:eastAsia="Times New Roman" w:hAnsi="Arial" w:cs="Arial"/>
          <w:b/>
          <w:bCs/>
          <w:i/>
          <w:iCs/>
          <w:color w:val="000000"/>
          <w:sz w:val="20"/>
          <w:szCs w:val="20"/>
        </w:rPr>
        <w:t>Critical Audit Matters</w:t>
      </w:r>
    </w:p>
    <w:p w14:paraId="729FEAF6" w14:textId="77777777" w:rsidR="00000000" w:rsidRDefault="00C01C43">
      <w:pPr>
        <w:jc w:val="both"/>
        <w:rPr>
          <w:rFonts w:eastAsia="Times New Roman"/>
        </w:rPr>
      </w:pPr>
    </w:p>
    <w:p w14:paraId="7C05C3B1" w14:textId="77777777" w:rsidR="00000000" w:rsidRDefault="00C01C43">
      <w:pPr>
        <w:jc w:val="both"/>
        <w:rPr>
          <w:rFonts w:eastAsia="Times New Roman"/>
        </w:rPr>
      </w:pPr>
      <w:r>
        <w:rPr>
          <w:rFonts w:ascii="Arial" w:eastAsia="Times New Roman" w:hAnsi="Arial" w:cs="Arial"/>
          <w:color w:val="000000"/>
          <w:sz w:val="20"/>
          <w:szCs w:val="20"/>
        </w:rPr>
        <w:t>The critical audit matter communicated below is a matter arising from the current period audit of the consolidated financial statements that was communicated or required to be communicated to the audit committee and that (i) relates to accounts or disclosu</w:t>
      </w:r>
      <w:r>
        <w:rPr>
          <w:rFonts w:ascii="Arial" w:eastAsia="Times New Roman" w:hAnsi="Arial" w:cs="Arial"/>
          <w:color w:val="000000"/>
          <w:sz w:val="20"/>
          <w:szCs w:val="20"/>
        </w:rPr>
        <w:t>res that are material to the</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consolidated financial statements and (ii) involved our especially challenging, subjective, or complex judgments. The communication of critical audit matters does not alter in any way our opinion on the consolidated financial s</w:t>
      </w:r>
      <w:r>
        <w:rPr>
          <w:rFonts w:ascii="Arial" w:eastAsia="Times New Roman" w:hAnsi="Arial" w:cs="Arial"/>
          <w:color w:val="000000"/>
          <w:sz w:val="20"/>
          <w:szCs w:val="20"/>
        </w:rPr>
        <w:t>tatements, taken as a whole, and we are not, by communicating the critical audit matter below, providing a separate opinion on the critical audit matter or on the accounts or disclosures to which it relates.</w:t>
      </w:r>
    </w:p>
    <w:p w14:paraId="043165E6" w14:textId="77777777" w:rsidR="00000000" w:rsidRDefault="00C01C43">
      <w:pPr>
        <w:jc w:val="both"/>
        <w:rPr>
          <w:rFonts w:eastAsia="Times New Roman"/>
        </w:rPr>
      </w:pPr>
    </w:p>
    <w:p w14:paraId="761EE11F" w14:textId="77777777" w:rsidR="00000000" w:rsidRDefault="00C01C43">
      <w:pPr>
        <w:jc w:val="both"/>
        <w:rPr>
          <w:rFonts w:eastAsia="Times New Roman"/>
        </w:rPr>
      </w:pPr>
      <w:r>
        <w:rPr>
          <w:rFonts w:ascii="Arial" w:eastAsia="Times New Roman" w:hAnsi="Arial" w:cs="Arial"/>
          <w:i/>
          <w:iCs/>
          <w:color w:val="000000"/>
          <w:sz w:val="20"/>
          <w:szCs w:val="20"/>
        </w:rPr>
        <w:t xml:space="preserve">Goodwill Impairment Assessment - Aviation and </w:t>
      </w:r>
      <w:r>
        <w:rPr>
          <w:rFonts w:ascii="Arial" w:eastAsia="Times New Roman" w:hAnsi="Arial" w:cs="Arial"/>
          <w:i/>
          <w:iCs/>
          <w:color w:val="000000"/>
          <w:sz w:val="20"/>
          <w:szCs w:val="20"/>
        </w:rPr>
        <w:t>Land Reporting Units</w:t>
      </w:r>
    </w:p>
    <w:p w14:paraId="19AF67C9" w14:textId="77777777" w:rsidR="00000000" w:rsidRDefault="00C01C43">
      <w:pPr>
        <w:jc w:val="both"/>
        <w:rPr>
          <w:rFonts w:eastAsia="Times New Roman"/>
        </w:rPr>
      </w:pPr>
    </w:p>
    <w:p w14:paraId="792D57DE" w14:textId="77777777" w:rsidR="00000000" w:rsidRDefault="00C01C43">
      <w:pPr>
        <w:jc w:val="both"/>
        <w:rPr>
          <w:rFonts w:eastAsia="Times New Roman"/>
        </w:rPr>
      </w:pPr>
      <w:r>
        <w:rPr>
          <w:rFonts w:ascii="Arial" w:eastAsia="Times New Roman" w:hAnsi="Arial" w:cs="Arial"/>
          <w:color w:val="000000"/>
          <w:sz w:val="20"/>
          <w:szCs w:val="20"/>
        </w:rPr>
        <w:t>As described in Notes 1 and 7 to the consolidated financial statements, the Company’s consolidated goodwill balance was $858.6 million as of December 31, 2020, which is allocated among the Aviation and Land reporting units. Managemen</w:t>
      </w:r>
      <w:r>
        <w:rPr>
          <w:rFonts w:ascii="Arial" w:eastAsia="Times New Roman" w:hAnsi="Arial" w:cs="Arial"/>
          <w:color w:val="000000"/>
          <w:sz w:val="20"/>
          <w:szCs w:val="20"/>
        </w:rPr>
        <w:t>t conducts an impairment assessment as of December 31 of each year, or more frequently if events or circumstances indicate that the carrying value of the goodwill may be impaired. To determine whether goodwill is impaired, management compares the fair valu</w:t>
      </w:r>
      <w:r>
        <w:rPr>
          <w:rFonts w:ascii="Arial" w:eastAsia="Times New Roman" w:hAnsi="Arial" w:cs="Arial"/>
          <w:color w:val="000000"/>
          <w:sz w:val="20"/>
          <w:szCs w:val="20"/>
        </w:rPr>
        <w:t>e of the reporting units to which goodwill was assigned to their respective carrying values to measure if any amount of goodwill should be impaired. In calculating fair value, management uses a combination of both an income and market approach. As disclose</w:t>
      </w:r>
      <w:r>
        <w:rPr>
          <w:rFonts w:ascii="Arial" w:eastAsia="Times New Roman" w:hAnsi="Arial" w:cs="Arial"/>
          <w:color w:val="000000"/>
          <w:sz w:val="20"/>
          <w:szCs w:val="20"/>
        </w:rPr>
        <w:t>d by management, under the income approach, management calculates the fair value of a reporting unit based on the present value of estimated future cash flows, which include assumptions related to expected growth rates, profitability, and a discount rate t</w:t>
      </w:r>
      <w:r>
        <w:rPr>
          <w:rFonts w:ascii="Arial" w:eastAsia="Times New Roman" w:hAnsi="Arial" w:cs="Arial"/>
          <w:color w:val="000000"/>
          <w:sz w:val="20"/>
          <w:szCs w:val="20"/>
        </w:rPr>
        <w:t>hat corresponds to a weighted-average cost of capital. Under the market approach, management uses a selection of global companies that correspond to each reporting unit to derive a market-based multiple.</w:t>
      </w:r>
    </w:p>
    <w:p w14:paraId="5B90D549" w14:textId="77777777" w:rsidR="00000000" w:rsidRDefault="00C01C43">
      <w:pPr>
        <w:jc w:val="both"/>
        <w:rPr>
          <w:rFonts w:eastAsia="Times New Roman"/>
        </w:rPr>
      </w:pPr>
    </w:p>
    <w:p w14:paraId="5E533240" w14:textId="77777777" w:rsidR="00000000" w:rsidRDefault="00C01C43">
      <w:pPr>
        <w:jc w:val="both"/>
        <w:rPr>
          <w:rFonts w:eastAsia="Times New Roman"/>
        </w:rPr>
      </w:pPr>
      <w:r>
        <w:rPr>
          <w:rFonts w:ascii="Arial" w:eastAsia="Times New Roman" w:hAnsi="Arial" w:cs="Arial"/>
          <w:color w:val="000000"/>
          <w:sz w:val="20"/>
          <w:szCs w:val="20"/>
        </w:rPr>
        <w:t>The principal considerations for our determination</w:t>
      </w:r>
      <w:r>
        <w:rPr>
          <w:rFonts w:ascii="Arial" w:eastAsia="Times New Roman" w:hAnsi="Arial" w:cs="Arial"/>
          <w:color w:val="000000"/>
          <w:sz w:val="20"/>
          <w:szCs w:val="20"/>
        </w:rPr>
        <w:t xml:space="preserve"> that performing procedures relating to the goodwill impairment assessment of the Aviation and Land reporting units is a critical audit matter are the significant judgment by management when developing the fair value of the reporting units, which in turn l</w:t>
      </w:r>
      <w:r>
        <w:rPr>
          <w:rFonts w:ascii="Arial" w:eastAsia="Times New Roman" w:hAnsi="Arial" w:cs="Arial"/>
          <w:color w:val="000000"/>
          <w:sz w:val="20"/>
          <w:szCs w:val="20"/>
        </w:rPr>
        <w:t>ed to a high degree of auditor judgment, subjectivity, and effort in performing procedures and evaluating management’s significant assumptions related to expected growth rates, profitability, and the discount rates. In addition, the audit effort involved t</w:t>
      </w:r>
      <w:r>
        <w:rPr>
          <w:rFonts w:ascii="Arial" w:eastAsia="Times New Roman" w:hAnsi="Arial" w:cs="Arial"/>
          <w:color w:val="000000"/>
          <w:sz w:val="20"/>
          <w:szCs w:val="20"/>
        </w:rPr>
        <w:t>he use of professionals with specialized skill and knowledge.</w:t>
      </w:r>
    </w:p>
    <w:p w14:paraId="38BBAE32" w14:textId="77777777" w:rsidR="00000000" w:rsidRDefault="00C01C43">
      <w:pPr>
        <w:jc w:val="both"/>
        <w:rPr>
          <w:rFonts w:eastAsia="Times New Roman"/>
        </w:rPr>
      </w:pPr>
    </w:p>
    <w:p w14:paraId="1316920D" w14:textId="77777777" w:rsidR="00000000" w:rsidRDefault="00C01C43">
      <w:pPr>
        <w:jc w:val="center"/>
        <w:divId w:val="609431791"/>
        <w:rPr>
          <w:rFonts w:eastAsia="Times New Roman"/>
        </w:rPr>
      </w:pPr>
      <w:r>
        <w:rPr>
          <w:rFonts w:ascii="Arial" w:eastAsia="Times New Roman" w:hAnsi="Arial" w:cs="Arial"/>
          <w:color w:val="000000"/>
          <w:sz w:val="16"/>
          <w:szCs w:val="16"/>
        </w:rPr>
        <w:t>46</w:t>
      </w:r>
    </w:p>
    <w:p w14:paraId="63EDC70D" w14:textId="77777777" w:rsidR="00000000" w:rsidRDefault="00C01C43">
      <w:pPr>
        <w:rPr>
          <w:rFonts w:eastAsia="Times New Roman"/>
        </w:rPr>
      </w:pPr>
      <w:r>
        <w:rPr>
          <w:rFonts w:eastAsia="Times New Roman"/>
        </w:rPr>
        <w:pict w14:anchorId="55E83835">
          <v:rect id="_x0000_i1075" style="width:0;height:1.5pt" o:hralign="center" o:hrstd="t" o:hr="t" fillcolor="#a0a0a0" stroked="f"/>
        </w:pict>
      </w:r>
    </w:p>
    <w:p w14:paraId="33FA1EC1" w14:textId="77777777" w:rsidR="00000000" w:rsidRDefault="00C01C43">
      <w:pPr>
        <w:divId w:val="2046173780"/>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D7AB492" w14:textId="77777777" w:rsidR="00000000" w:rsidRDefault="00C01C43">
      <w:pPr>
        <w:jc w:val="both"/>
        <w:rPr>
          <w:rFonts w:eastAsia="Times New Roman"/>
        </w:rPr>
      </w:pPr>
      <w:r>
        <w:rPr>
          <w:rFonts w:ascii="Arial" w:eastAsia="Times New Roman" w:hAnsi="Arial" w:cs="Arial"/>
          <w:color w:val="000000"/>
          <w:sz w:val="20"/>
          <w:szCs w:val="20"/>
        </w:rPr>
        <w:t>Addressing the matter involved performing procedures and evaluating audit evidence in connection with forming our overall opinion on the consolidated financial statements. These procedures included testing the effectiveness of controls relating to manageme</w:t>
      </w:r>
      <w:r>
        <w:rPr>
          <w:rFonts w:ascii="Arial" w:eastAsia="Times New Roman" w:hAnsi="Arial" w:cs="Arial"/>
          <w:color w:val="000000"/>
          <w:sz w:val="20"/>
          <w:szCs w:val="20"/>
        </w:rPr>
        <w:t>nt’s goodwill impairment assessment, including controls over the determination of the reporting units and significant assumptions used in the estimated future cash flows. These procedures also included, among others, testing management’s process for develo</w:t>
      </w:r>
      <w:r>
        <w:rPr>
          <w:rFonts w:ascii="Arial" w:eastAsia="Times New Roman" w:hAnsi="Arial" w:cs="Arial"/>
          <w:color w:val="000000"/>
          <w:sz w:val="20"/>
          <w:szCs w:val="20"/>
        </w:rPr>
        <w:t>ping the fair value of the Aviation and Land reporting units, which included evaluating the appropriateness of the income and market approaches; testing the completeness and accuracy of underlying data used in the income and market approaches; and evaluati</w:t>
      </w:r>
      <w:r>
        <w:rPr>
          <w:rFonts w:ascii="Arial" w:eastAsia="Times New Roman" w:hAnsi="Arial" w:cs="Arial"/>
          <w:color w:val="000000"/>
          <w:sz w:val="20"/>
          <w:szCs w:val="20"/>
        </w:rPr>
        <w:t>ng the reasonableness of significant assumptions related to expected growth rates, profitability, and the discount rates. Evaluating management’s assumptions related to expected growth rates and profitability involved evaluating whether the assumptions use</w:t>
      </w:r>
      <w:r>
        <w:rPr>
          <w:rFonts w:ascii="Arial" w:eastAsia="Times New Roman" w:hAnsi="Arial" w:cs="Arial"/>
          <w:color w:val="000000"/>
          <w:sz w:val="20"/>
          <w:szCs w:val="20"/>
        </w:rPr>
        <w:t xml:space="preserve">d were reasonable considering (i) the current and past performance of the reporting units; (ii) the consistency with external market and industry data; and (iii) whether these assumptions were consistent with evidence obtained in other areas of the audit. </w:t>
      </w:r>
      <w:r>
        <w:rPr>
          <w:rFonts w:ascii="Arial" w:eastAsia="Times New Roman" w:hAnsi="Arial" w:cs="Arial"/>
          <w:color w:val="000000"/>
          <w:sz w:val="20"/>
          <w:szCs w:val="20"/>
        </w:rPr>
        <w:t>Professionals with specialized skill and knowledge were used to assist in evaluating the appropriateness of the income and market approaches and evaluating the reasonableness of the discount rate assumptions.</w:t>
      </w:r>
    </w:p>
    <w:p w14:paraId="076E1272" w14:textId="77777777" w:rsidR="00000000" w:rsidRDefault="00C01C43">
      <w:pPr>
        <w:jc w:val="both"/>
        <w:rPr>
          <w:rFonts w:eastAsia="Times New Roman"/>
        </w:rPr>
      </w:pPr>
    </w:p>
    <w:p w14:paraId="24C644E1" w14:textId="77777777" w:rsidR="00000000" w:rsidRDefault="00C01C43">
      <w:pPr>
        <w:jc w:val="both"/>
        <w:rPr>
          <w:rFonts w:eastAsia="Times New Roman"/>
        </w:rPr>
      </w:pPr>
    </w:p>
    <w:p w14:paraId="654D3EAF" w14:textId="77777777" w:rsidR="00000000" w:rsidRDefault="00C01C43">
      <w:pPr>
        <w:jc w:val="both"/>
        <w:rPr>
          <w:rFonts w:eastAsia="Times New Roman"/>
        </w:rPr>
      </w:pPr>
    </w:p>
    <w:p w14:paraId="5F6A9C55" w14:textId="77777777" w:rsidR="00000000" w:rsidRDefault="00C01C43">
      <w:pPr>
        <w:jc w:val="both"/>
        <w:rPr>
          <w:rFonts w:eastAsia="Times New Roman"/>
        </w:rPr>
      </w:pPr>
      <w:r>
        <w:rPr>
          <w:rFonts w:ascii="Arial" w:eastAsia="Times New Roman" w:hAnsi="Arial" w:cs="Arial"/>
          <w:color w:val="000000"/>
          <w:sz w:val="20"/>
          <w:szCs w:val="20"/>
        </w:rPr>
        <w:t>/s/PricewaterhouseCoopers LLP</w:t>
      </w:r>
    </w:p>
    <w:p w14:paraId="17FC6424" w14:textId="77777777" w:rsidR="00000000" w:rsidRDefault="00C01C43">
      <w:pPr>
        <w:divId w:val="861476536"/>
        <w:rPr>
          <w:rFonts w:eastAsia="Times New Roman"/>
        </w:rPr>
      </w:pPr>
      <w:r>
        <w:rPr>
          <w:rFonts w:ascii="Arial" w:eastAsia="Times New Roman" w:hAnsi="Arial" w:cs="Arial"/>
          <w:color w:val="000000"/>
          <w:sz w:val="20"/>
          <w:szCs w:val="20"/>
        </w:rPr>
        <w:t>Miami, Flor</w:t>
      </w:r>
      <w:r>
        <w:rPr>
          <w:rFonts w:ascii="Arial" w:eastAsia="Times New Roman" w:hAnsi="Arial" w:cs="Arial"/>
          <w:color w:val="000000"/>
          <w:sz w:val="20"/>
          <w:szCs w:val="20"/>
        </w:rPr>
        <w:t>ida</w:t>
      </w:r>
    </w:p>
    <w:p w14:paraId="489A64D6" w14:textId="77777777" w:rsidR="00000000" w:rsidRDefault="00C01C43">
      <w:pPr>
        <w:divId w:val="415636598"/>
        <w:rPr>
          <w:rFonts w:eastAsia="Times New Roman"/>
        </w:rPr>
      </w:pPr>
      <w:r>
        <w:rPr>
          <w:rFonts w:ascii="Arial" w:eastAsia="Times New Roman" w:hAnsi="Arial" w:cs="Arial"/>
          <w:color w:val="000000"/>
          <w:sz w:val="20"/>
          <w:szCs w:val="20"/>
        </w:rPr>
        <w:t>February 26, 2021</w:t>
      </w:r>
    </w:p>
    <w:p w14:paraId="661B4294" w14:textId="77777777" w:rsidR="00000000" w:rsidRDefault="00C01C43">
      <w:pPr>
        <w:jc w:val="both"/>
        <w:rPr>
          <w:rFonts w:eastAsia="Times New Roman"/>
        </w:rPr>
      </w:pPr>
    </w:p>
    <w:p w14:paraId="3ED603A1" w14:textId="77777777" w:rsidR="00000000" w:rsidRDefault="00C01C43">
      <w:pPr>
        <w:jc w:val="both"/>
        <w:rPr>
          <w:rFonts w:eastAsia="Times New Roman"/>
        </w:rPr>
      </w:pPr>
      <w:r>
        <w:rPr>
          <w:rFonts w:ascii="Arial" w:eastAsia="Times New Roman" w:hAnsi="Arial" w:cs="Arial"/>
          <w:color w:val="000000"/>
          <w:sz w:val="20"/>
          <w:szCs w:val="20"/>
        </w:rPr>
        <w:t>We have served as the Company’s auditor since 2002.</w:t>
      </w:r>
    </w:p>
    <w:p w14:paraId="3356057D" w14:textId="77777777" w:rsidR="00000000" w:rsidRDefault="00C01C43">
      <w:pPr>
        <w:jc w:val="center"/>
        <w:divId w:val="1678118168"/>
        <w:rPr>
          <w:rFonts w:eastAsia="Times New Roman"/>
        </w:rPr>
      </w:pPr>
      <w:r>
        <w:rPr>
          <w:rFonts w:ascii="Arial" w:eastAsia="Times New Roman" w:hAnsi="Arial" w:cs="Arial"/>
          <w:color w:val="000000"/>
          <w:sz w:val="16"/>
          <w:szCs w:val="16"/>
        </w:rPr>
        <w:t>47</w:t>
      </w:r>
    </w:p>
    <w:p w14:paraId="061D69A0" w14:textId="77777777" w:rsidR="00000000" w:rsidRDefault="00C01C43">
      <w:pPr>
        <w:rPr>
          <w:rFonts w:eastAsia="Times New Roman"/>
        </w:rPr>
      </w:pPr>
      <w:r>
        <w:rPr>
          <w:rFonts w:eastAsia="Times New Roman"/>
        </w:rPr>
        <w:pict w14:anchorId="48C13A2C">
          <v:rect id="_x0000_i1076" style="width:0;height:1.5pt" o:hralign="center" o:hrstd="t" o:hr="t" fillcolor="#a0a0a0" stroked="f"/>
        </w:pict>
      </w:r>
    </w:p>
    <w:p w14:paraId="3169D11A" w14:textId="77777777" w:rsidR="00000000" w:rsidRDefault="00C01C43">
      <w:pPr>
        <w:divId w:val="1979260868"/>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4387B234" w14:textId="77777777" w:rsidR="00000000" w:rsidRDefault="00C01C43">
      <w:pPr>
        <w:jc w:val="both"/>
        <w:rPr>
          <w:rFonts w:eastAsia="Times New Roman"/>
        </w:rPr>
      </w:pPr>
      <w:r>
        <w:rPr>
          <w:rFonts w:ascii="Arial" w:eastAsia="Times New Roman" w:hAnsi="Arial" w:cs="Arial"/>
          <w:b/>
          <w:bCs/>
          <w:color w:val="000000"/>
        </w:rPr>
        <w:t xml:space="preserve">WORLD FUEL SERVICES CORPORATION </w:t>
      </w:r>
    </w:p>
    <w:p w14:paraId="47CC53F9" w14:textId="77777777" w:rsidR="00000000" w:rsidRDefault="00C01C43">
      <w:pPr>
        <w:jc w:val="both"/>
        <w:rPr>
          <w:rFonts w:eastAsia="Times New Roman"/>
        </w:rPr>
      </w:pPr>
      <w:r>
        <w:rPr>
          <w:rFonts w:ascii="Arial" w:eastAsia="Times New Roman" w:hAnsi="Arial" w:cs="Arial"/>
          <w:b/>
          <w:bCs/>
          <w:color w:val="000000"/>
        </w:rPr>
        <w:t>CONSOLIDATED BALANCE SHEETS</w:t>
      </w:r>
    </w:p>
    <w:p w14:paraId="04BE648E" w14:textId="77777777" w:rsidR="00000000" w:rsidRDefault="00C01C43">
      <w:pPr>
        <w:jc w:val="both"/>
        <w:divId w:val="1444809198"/>
        <w:rPr>
          <w:rFonts w:eastAsia="Times New Roman"/>
        </w:rPr>
      </w:pPr>
      <w:r>
        <w:rPr>
          <w:rFonts w:ascii="Arial" w:eastAsia="Times New Roman" w:hAnsi="Arial" w:cs="Arial"/>
          <w:color w:val="000000"/>
          <w:sz w:val="20"/>
          <w:szCs w:val="20"/>
        </w:rPr>
        <w:t>(In</w:t>
      </w:r>
      <w:r>
        <w:rPr>
          <w:rFonts w:ascii="Arial" w:eastAsia="Times New Roman" w:hAnsi="Arial" w:cs="Arial"/>
          <w:color w:val="000000"/>
          <w:sz w:val="20"/>
          <w:szCs w:val="20"/>
        </w:rPr>
        <w:t xml:space="preserve"> millions, except per share data)</w:t>
      </w:r>
    </w:p>
    <w:tbl>
      <w:tblPr>
        <w:tblW w:w="4985" w:type="pct"/>
        <w:tblCellMar>
          <w:top w:w="15" w:type="dxa"/>
          <w:left w:w="15" w:type="dxa"/>
          <w:bottom w:w="15" w:type="dxa"/>
          <w:right w:w="15" w:type="dxa"/>
        </w:tblCellMar>
        <w:tblLook w:val="04A0" w:firstRow="1" w:lastRow="0" w:firstColumn="1" w:lastColumn="0" w:noHBand="0" w:noVBand="1"/>
      </w:tblPr>
      <w:tblGrid>
        <w:gridCol w:w="40"/>
        <w:gridCol w:w="6257"/>
        <w:gridCol w:w="39"/>
        <w:gridCol w:w="132"/>
        <w:gridCol w:w="747"/>
        <w:gridCol w:w="36"/>
        <w:gridCol w:w="36"/>
        <w:gridCol w:w="43"/>
        <w:gridCol w:w="36"/>
        <w:gridCol w:w="132"/>
        <w:gridCol w:w="747"/>
        <w:gridCol w:w="36"/>
      </w:tblGrid>
      <w:tr w:rsidR="00000000" w14:paraId="1961A16E" w14:textId="77777777">
        <w:trPr>
          <w:divId w:val="1623031252"/>
        </w:trPr>
        <w:tc>
          <w:tcPr>
            <w:tcW w:w="50" w:type="pct"/>
            <w:vAlign w:val="center"/>
            <w:hideMark/>
          </w:tcPr>
          <w:p w14:paraId="1724610C" w14:textId="77777777" w:rsidR="00000000" w:rsidRDefault="00C01C43">
            <w:pPr>
              <w:jc w:val="both"/>
              <w:rPr>
                <w:rFonts w:eastAsia="Times New Roman"/>
              </w:rPr>
            </w:pPr>
          </w:p>
        </w:tc>
        <w:tc>
          <w:tcPr>
            <w:tcW w:w="3808" w:type="pct"/>
            <w:vAlign w:val="center"/>
            <w:hideMark/>
          </w:tcPr>
          <w:p w14:paraId="69ABCB72" w14:textId="77777777" w:rsidR="00000000" w:rsidRDefault="00C01C43">
            <w:pPr>
              <w:rPr>
                <w:rFonts w:eastAsia="Times New Roman"/>
                <w:sz w:val="20"/>
                <w:szCs w:val="20"/>
              </w:rPr>
            </w:pPr>
          </w:p>
        </w:tc>
        <w:tc>
          <w:tcPr>
            <w:tcW w:w="5" w:type="pct"/>
            <w:vAlign w:val="center"/>
            <w:hideMark/>
          </w:tcPr>
          <w:p w14:paraId="7EA8B631" w14:textId="77777777" w:rsidR="00000000" w:rsidRDefault="00C01C43">
            <w:pPr>
              <w:rPr>
                <w:rFonts w:eastAsia="Times New Roman"/>
                <w:sz w:val="20"/>
                <w:szCs w:val="20"/>
              </w:rPr>
            </w:pPr>
          </w:p>
        </w:tc>
        <w:tc>
          <w:tcPr>
            <w:tcW w:w="50" w:type="pct"/>
            <w:vAlign w:val="center"/>
            <w:hideMark/>
          </w:tcPr>
          <w:p w14:paraId="29627794" w14:textId="77777777" w:rsidR="00000000" w:rsidRDefault="00C01C43">
            <w:pPr>
              <w:rPr>
                <w:rFonts w:eastAsia="Times New Roman"/>
                <w:sz w:val="20"/>
                <w:szCs w:val="20"/>
              </w:rPr>
            </w:pPr>
          </w:p>
        </w:tc>
        <w:tc>
          <w:tcPr>
            <w:tcW w:w="480" w:type="pct"/>
            <w:vAlign w:val="center"/>
            <w:hideMark/>
          </w:tcPr>
          <w:p w14:paraId="41923352" w14:textId="77777777" w:rsidR="00000000" w:rsidRDefault="00C01C43">
            <w:pPr>
              <w:rPr>
                <w:rFonts w:eastAsia="Times New Roman"/>
                <w:sz w:val="20"/>
                <w:szCs w:val="20"/>
              </w:rPr>
            </w:pPr>
          </w:p>
        </w:tc>
        <w:tc>
          <w:tcPr>
            <w:tcW w:w="5" w:type="pct"/>
            <w:vAlign w:val="center"/>
            <w:hideMark/>
          </w:tcPr>
          <w:p w14:paraId="20C7A05D" w14:textId="77777777" w:rsidR="00000000" w:rsidRDefault="00C01C43">
            <w:pPr>
              <w:rPr>
                <w:rFonts w:eastAsia="Times New Roman"/>
                <w:sz w:val="20"/>
                <w:szCs w:val="20"/>
              </w:rPr>
            </w:pPr>
          </w:p>
        </w:tc>
        <w:tc>
          <w:tcPr>
            <w:tcW w:w="5" w:type="pct"/>
            <w:vAlign w:val="center"/>
            <w:hideMark/>
          </w:tcPr>
          <w:p w14:paraId="255FE5E1" w14:textId="77777777" w:rsidR="00000000" w:rsidRDefault="00C01C43">
            <w:pPr>
              <w:rPr>
                <w:rFonts w:eastAsia="Times New Roman"/>
                <w:sz w:val="20"/>
                <w:szCs w:val="20"/>
              </w:rPr>
            </w:pPr>
          </w:p>
        </w:tc>
        <w:tc>
          <w:tcPr>
            <w:tcW w:w="55" w:type="pct"/>
            <w:vAlign w:val="center"/>
            <w:hideMark/>
          </w:tcPr>
          <w:p w14:paraId="6B02B743" w14:textId="77777777" w:rsidR="00000000" w:rsidRDefault="00C01C43">
            <w:pPr>
              <w:rPr>
                <w:rFonts w:eastAsia="Times New Roman"/>
                <w:sz w:val="20"/>
                <w:szCs w:val="20"/>
              </w:rPr>
            </w:pPr>
          </w:p>
        </w:tc>
        <w:tc>
          <w:tcPr>
            <w:tcW w:w="5" w:type="pct"/>
            <w:vAlign w:val="center"/>
            <w:hideMark/>
          </w:tcPr>
          <w:p w14:paraId="623D6CF7" w14:textId="77777777" w:rsidR="00000000" w:rsidRDefault="00C01C43">
            <w:pPr>
              <w:rPr>
                <w:rFonts w:eastAsia="Times New Roman"/>
                <w:sz w:val="20"/>
                <w:szCs w:val="20"/>
              </w:rPr>
            </w:pPr>
          </w:p>
        </w:tc>
        <w:tc>
          <w:tcPr>
            <w:tcW w:w="50" w:type="pct"/>
            <w:vAlign w:val="center"/>
            <w:hideMark/>
          </w:tcPr>
          <w:p w14:paraId="698A21A9" w14:textId="77777777" w:rsidR="00000000" w:rsidRDefault="00C01C43">
            <w:pPr>
              <w:rPr>
                <w:rFonts w:eastAsia="Times New Roman"/>
                <w:sz w:val="20"/>
                <w:szCs w:val="20"/>
              </w:rPr>
            </w:pPr>
          </w:p>
        </w:tc>
        <w:tc>
          <w:tcPr>
            <w:tcW w:w="480" w:type="pct"/>
            <w:vAlign w:val="center"/>
            <w:hideMark/>
          </w:tcPr>
          <w:p w14:paraId="733A39BE" w14:textId="77777777" w:rsidR="00000000" w:rsidRDefault="00C01C43">
            <w:pPr>
              <w:rPr>
                <w:rFonts w:eastAsia="Times New Roman"/>
                <w:sz w:val="20"/>
                <w:szCs w:val="20"/>
              </w:rPr>
            </w:pPr>
          </w:p>
        </w:tc>
        <w:tc>
          <w:tcPr>
            <w:tcW w:w="5" w:type="pct"/>
            <w:vAlign w:val="center"/>
            <w:hideMark/>
          </w:tcPr>
          <w:p w14:paraId="1BC616B3" w14:textId="77777777" w:rsidR="00000000" w:rsidRDefault="00C01C43">
            <w:pPr>
              <w:rPr>
                <w:rFonts w:eastAsia="Times New Roman"/>
                <w:sz w:val="20"/>
                <w:szCs w:val="20"/>
              </w:rPr>
            </w:pPr>
          </w:p>
        </w:tc>
      </w:tr>
      <w:tr w:rsidR="00000000" w14:paraId="3FFD8863" w14:textId="77777777">
        <w:trPr>
          <w:divId w:val="1623031252"/>
        </w:trPr>
        <w:tc>
          <w:tcPr>
            <w:tcW w:w="0" w:type="auto"/>
            <w:gridSpan w:val="3"/>
            <w:tcMar>
              <w:top w:w="0" w:type="dxa"/>
              <w:left w:w="20" w:type="dxa"/>
              <w:bottom w:w="0" w:type="dxa"/>
              <w:right w:w="20" w:type="dxa"/>
            </w:tcMar>
            <w:vAlign w:val="center"/>
            <w:hideMark/>
          </w:tcPr>
          <w:p w14:paraId="517AA89D" w14:textId="77777777" w:rsidR="00000000" w:rsidRDefault="00C01C43">
            <w:pPr>
              <w:rPr>
                <w:rFonts w:eastAsia="Times New Roman"/>
                <w:sz w:val="20"/>
                <w:szCs w:val="20"/>
              </w:rPr>
            </w:pPr>
          </w:p>
        </w:tc>
        <w:tc>
          <w:tcPr>
            <w:tcW w:w="0" w:type="auto"/>
            <w:gridSpan w:val="9"/>
            <w:tcMar>
              <w:top w:w="30" w:type="dxa"/>
              <w:left w:w="20" w:type="dxa"/>
              <w:bottom w:w="30" w:type="dxa"/>
              <w:right w:w="20" w:type="dxa"/>
            </w:tcMar>
            <w:vAlign w:val="bottom"/>
            <w:hideMark/>
          </w:tcPr>
          <w:p w14:paraId="69A37CF4" w14:textId="77777777" w:rsidR="00000000" w:rsidRDefault="00C01C43">
            <w:pPr>
              <w:jc w:val="center"/>
              <w:rPr>
                <w:rFonts w:eastAsia="Times New Roman"/>
              </w:rPr>
            </w:pPr>
            <w:r>
              <w:rPr>
                <w:rFonts w:ascii="Arial" w:eastAsia="Times New Roman" w:hAnsi="Arial" w:cs="Arial"/>
                <w:b/>
                <w:bCs/>
                <w:color w:val="000000"/>
                <w:sz w:val="16"/>
                <w:szCs w:val="16"/>
              </w:rPr>
              <w:t>As of December 31,</w:t>
            </w:r>
          </w:p>
        </w:tc>
      </w:tr>
      <w:tr w:rsidR="00000000" w14:paraId="181A4F63" w14:textId="77777777">
        <w:trPr>
          <w:divId w:val="1623031252"/>
        </w:trPr>
        <w:tc>
          <w:tcPr>
            <w:tcW w:w="0" w:type="auto"/>
            <w:gridSpan w:val="3"/>
            <w:tcMar>
              <w:top w:w="0" w:type="dxa"/>
              <w:left w:w="20" w:type="dxa"/>
              <w:bottom w:w="0" w:type="dxa"/>
              <w:right w:w="20" w:type="dxa"/>
            </w:tcMar>
            <w:vAlign w:val="center"/>
            <w:hideMark/>
          </w:tcPr>
          <w:p w14:paraId="7C661F71"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D13E50"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A508477"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F69762" w14:textId="77777777" w:rsidR="00000000" w:rsidRDefault="00C01C43">
            <w:pPr>
              <w:jc w:val="center"/>
              <w:rPr>
                <w:rFonts w:eastAsia="Times New Roman"/>
              </w:rPr>
            </w:pPr>
            <w:r>
              <w:rPr>
                <w:rFonts w:ascii="Arial" w:eastAsia="Times New Roman" w:hAnsi="Arial" w:cs="Arial"/>
                <w:b/>
                <w:bCs/>
                <w:color w:val="000000"/>
                <w:sz w:val="16"/>
                <w:szCs w:val="16"/>
              </w:rPr>
              <w:t>2019</w:t>
            </w:r>
          </w:p>
        </w:tc>
      </w:tr>
      <w:tr w:rsidR="00000000" w14:paraId="0D1C7CE9" w14:textId="77777777">
        <w:trPr>
          <w:divId w:val="16230312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4645910" w14:textId="77777777" w:rsidR="00000000" w:rsidRDefault="00C01C43">
            <w:pPr>
              <w:rPr>
                <w:rFonts w:eastAsia="Times New Roman"/>
              </w:rPr>
            </w:pPr>
            <w:r>
              <w:rPr>
                <w:rFonts w:ascii="Arial" w:eastAsia="Times New Roman" w:hAnsi="Arial" w:cs="Arial"/>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B99B52"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8870D4"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5D5F45" w14:textId="77777777" w:rsidR="00000000" w:rsidRDefault="00C01C43">
            <w:pPr>
              <w:rPr>
                <w:rFonts w:eastAsia="Times New Roman"/>
                <w:sz w:val="20"/>
                <w:szCs w:val="20"/>
              </w:rPr>
            </w:pPr>
          </w:p>
        </w:tc>
      </w:tr>
      <w:tr w:rsidR="00000000" w14:paraId="2F890D76" w14:textId="77777777">
        <w:trPr>
          <w:divId w:val="1623031252"/>
        </w:trPr>
        <w:tc>
          <w:tcPr>
            <w:tcW w:w="0" w:type="auto"/>
            <w:gridSpan w:val="3"/>
            <w:shd w:val="clear" w:color="auto" w:fill="FFFFFF"/>
            <w:tcMar>
              <w:top w:w="30" w:type="dxa"/>
              <w:left w:w="20" w:type="dxa"/>
              <w:bottom w:w="30" w:type="dxa"/>
              <w:right w:w="20" w:type="dxa"/>
            </w:tcMar>
            <w:vAlign w:val="bottom"/>
            <w:hideMark/>
          </w:tcPr>
          <w:p w14:paraId="18F0BBE2" w14:textId="77777777" w:rsidR="00000000" w:rsidRDefault="00C01C43">
            <w:pPr>
              <w:rPr>
                <w:rFonts w:eastAsia="Times New Roman"/>
              </w:rPr>
            </w:pPr>
            <w:r>
              <w:rPr>
                <w:rFonts w:ascii="Arial" w:eastAsia="Times New Roman" w:hAnsi="Arial" w:cs="Arial"/>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66647A48" w14:textId="77777777" w:rsidR="00000000" w:rsidRDefault="00C01C43">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B40A4D"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FC0644" w14:textId="77777777" w:rsidR="00000000" w:rsidRDefault="00C01C43">
            <w:pPr>
              <w:rPr>
                <w:rFonts w:eastAsia="Times New Roman"/>
                <w:sz w:val="20"/>
                <w:szCs w:val="20"/>
              </w:rPr>
            </w:pPr>
          </w:p>
        </w:tc>
      </w:tr>
      <w:tr w:rsidR="00000000" w14:paraId="1C3D130F" w14:textId="77777777">
        <w:trPr>
          <w:divId w:val="1623031252"/>
        </w:trPr>
        <w:tc>
          <w:tcPr>
            <w:tcW w:w="0" w:type="auto"/>
            <w:gridSpan w:val="3"/>
            <w:shd w:val="clear" w:color="auto" w:fill="CCEEFF"/>
            <w:tcMar>
              <w:top w:w="30" w:type="dxa"/>
              <w:left w:w="20" w:type="dxa"/>
              <w:bottom w:w="30" w:type="dxa"/>
              <w:right w:w="20" w:type="dxa"/>
            </w:tcMar>
            <w:vAlign w:val="bottom"/>
            <w:hideMark/>
          </w:tcPr>
          <w:p w14:paraId="37D62888" w14:textId="77777777" w:rsidR="00000000" w:rsidRDefault="00C01C43">
            <w:pPr>
              <w:rPr>
                <w:rFonts w:eastAsia="Times New Roman"/>
              </w:rPr>
            </w:pPr>
            <w:r>
              <w:rPr>
                <w:rFonts w:ascii="Arial" w:eastAsia="Times New Roman" w:hAnsi="Arial" w:cs="Arial"/>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2DDDB9E1"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2E30C9BA" w14:textId="77777777" w:rsidR="00000000" w:rsidRDefault="00C01C43">
            <w:pPr>
              <w:jc w:val="right"/>
              <w:rPr>
                <w:rFonts w:eastAsia="Times New Roman"/>
              </w:rPr>
            </w:pPr>
            <w:r>
              <w:rPr>
                <w:rFonts w:ascii="Arial" w:eastAsia="Times New Roman" w:hAnsi="Arial" w:cs="Arial"/>
                <w:color w:val="000000"/>
                <w:sz w:val="20"/>
                <w:szCs w:val="20"/>
              </w:rPr>
              <w:t>658.8 </w:t>
            </w:r>
          </w:p>
        </w:tc>
        <w:tc>
          <w:tcPr>
            <w:tcW w:w="0" w:type="auto"/>
            <w:shd w:val="clear" w:color="auto" w:fill="CCEEFF"/>
            <w:tcMar>
              <w:top w:w="30" w:type="dxa"/>
              <w:left w:w="0" w:type="dxa"/>
              <w:bottom w:w="30" w:type="dxa"/>
              <w:right w:w="20" w:type="dxa"/>
            </w:tcMar>
            <w:vAlign w:val="bottom"/>
            <w:hideMark/>
          </w:tcPr>
          <w:p w14:paraId="20B7A80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B51A7C"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EC5E501"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08EF4F07" w14:textId="77777777" w:rsidR="00000000" w:rsidRDefault="00C01C43">
            <w:pPr>
              <w:jc w:val="right"/>
              <w:rPr>
                <w:rFonts w:eastAsia="Times New Roman"/>
              </w:rPr>
            </w:pPr>
            <w:r>
              <w:rPr>
                <w:rFonts w:ascii="Arial" w:eastAsia="Times New Roman" w:hAnsi="Arial" w:cs="Arial"/>
                <w:color w:val="000000"/>
                <w:sz w:val="20"/>
                <w:szCs w:val="20"/>
              </w:rPr>
              <w:t>186.1 </w:t>
            </w:r>
          </w:p>
        </w:tc>
        <w:tc>
          <w:tcPr>
            <w:tcW w:w="0" w:type="auto"/>
            <w:shd w:val="clear" w:color="auto" w:fill="CCEEFF"/>
            <w:tcMar>
              <w:top w:w="30" w:type="dxa"/>
              <w:left w:w="0" w:type="dxa"/>
              <w:bottom w:w="30" w:type="dxa"/>
              <w:right w:w="20" w:type="dxa"/>
            </w:tcMar>
            <w:vAlign w:val="bottom"/>
            <w:hideMark/>
          </w:tcPr>
          <w:p w14:paraId="5FB7762A" w14:textId="77777777" w:rsidR="00000000" w:rsidRDefault="00C01C43">
            <w:pPr>
              <w:jc w:val="right"/>
              <w:rPr>
                <w:rFonts w:eastAsia="Times New Roman"/>
              </w:rPr>
            </w:pPr>
          </w:p>
        </w:tc>
      </w:tr>
      <w:tr w:rsidR="00000000" w14:paraId="0DB2B4D2" w14:textId="77777777">
        <w:trPr>
          <w:divId w:val="1623031252"/>
        </w:trPr>
        <w:tc>
          <w:tcPr>
            <w:tcW w:w="0" w:type="auto"/>
            <w:gridSpan w:val="3"/>
            <w:shd w:val="clear" w:color="auto" w:fill="FFFFFF"/>
            <w:tcMar>
              <w:top w:w="30" w:type="dxa"/>
              <w:left w:w="20" w:type="dxa"/>
              <w:bottom w:w="30" w:type="dxa"/>
              <w:right w:w="20" w:type="dxa"/>
            </w:tcMar>
            <w:vAlign w:val="bottom"/>
            <w:hideMark/>
          </w:tcPr>
          <w:p w14:paraId="6E10EC34" w14:textId="77777777" w:rsidR="00000000" w:rsidRDefault="00C01C43">
            <w:pPr>
              <w:divId w:val="2134253061"/>
              <w:rPr>
                <w:rFonts w:eastAsia="Times New Roman"/>
              </w:rPr>
            </w:pPr>
            <w:r>
              <w:rPr>
                <w:rFonts w:ascii="Arial" w:eastAsia="Times New Roman" w:hAnsi="Arial" w:cs="Arial"/>
                <w:color w:val="000000"/>
                <w:sz w:val="20"/>
                <w:szCs w:val="20"/>
              </w:rPr>
              <w:t>Accounts receivable, net of allowance for credit losses of $53.8 million and $35.5 million as of December 31, 2020 and 2019, respectively</w:t>
            </w:r>
          </w:p>
        </w:tc>
        <w:tc>
          <w:tcPr>
            <w:tcW w:w="0" w:type="auto"/>
            <w:gridSpan w:val="2"/>
            <w:shd w:val="clear" w:color="auto" w:fill="FFFFFF"/>
            <w:tcMar>
              <w:top w:w="30" w:type="dxa"/>
              <w:left w:w="20" w:type="dxa"/>
              <w:bottom w:w="30" w:type="dxa"/>
              <w:right w:w="0" w:type="dxa"/>
            </w:tcMar>
            <w:vAlign w:val="bottom"/>
            <w:hideMark/>
          </w:tcPr>
          <w:p w14:paraId="1A428B37" w14:textId="77777777" w:rsidR="00000000" w:rsidRDefault="00C01C43">
            <w:pPr>
              <w:jc w:val="right"/>
              <w:rPr>
                <w:rFonts w:eastAsia="Times New Roman"/>
              </w:rPr>
            </w:pPr>
            <w:r>
              <w:rPr>
                <w:rFonts w:ascii="Arial" w:eastAsia="Times New Roman" w:hAnsi="Arial" w:cs="Arial"/>
                <w:color w:val="000000"/>
                <w:sz w:val="20"/>
                <w:szCs w:val="20"/>
              </w:rPr>
              <w:t>1,238.4 </w:t>
            </w:r>
          </w:p>
        </w:tc>
        <w:tc>
          <w:tcPr>
            <w:tcW w:w="0" w:type="auto"/>
            <w:shd w:val="clear" w:color="auto" w:fill="FFFFFF"/>
            <w:tcMar>
              <w:top w:w="30" w:type="dxa"/>
              <w:left w:w="0" w:type="dxa"/>
              <w:bottom w:w="30" w:type="dxa"/>
              <w:right w:w="20" w:type="dxa"/>
            </w:tcMar>
            <w:vAlign w:val="bottom"/>
            <w:hideMark/>
          </w:tcPr>
          <w:p w14:paraId="05E38E6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BD67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BEAE00" w14:textId="77777777" w:rsidR="00000000" w:rsidRDefault="00C01C43">
            <w:pPr>
              <w:jc w:val="right"/>
              <w:rPr>
                <w:rFonts w:eastAsia="Times New Roman"/>
              </w:rPr>
            </w:pPr>
            <w:r>
              <w:rPr>
                <w:rFonts w:ascii="Arial" w:eastAsia="Times New Roman" w:hAnsi="Arial" w:cs="Arial"/>
                <w:color w:val="000000"/>
                <w:sz w:val="20"/>
                <w:szCs w:val="20"/>
              </w:rPr>
              <w:t>2,891.9 </w:t>
            </w:r>
          </w:p>
        </w:tc>
        <w:tc>
          <w:tcPr>
            <w:tcW w:w="0" w:type="auto"/>
            <w:shd w:val="clear" w:color="auto" w:fill="FFFFFF"/>
            <w:tcMar>
              <w:top w:w="30" w:type="dxa"/>
              <w:left w:w="0" w:type="dxa"/>
              <w:bottom w:w="30" w:type="dxa"/>
              <w:right w:w="20" w:type="dxa"/>
            </w:tcMar>
            <w:vAlign w:val="bottom"/>
            <w:hideMark/>
          </w:tcPr>
          <w:p w14:paraId="772626FD" w14:textId="77777777" w:rsidR="00000000" w:rsidRDefault="00C01C43">
            <w:pPr>
              <w:jc w:val="right"/>
              <w:rPr>
                <w:rFonts w:eastAsia="Times New Roman"/>
              </w:rPr>
            </w:pPr>
          </w:p>
        </w:tc>
      </w:tr>
      <w:tr w:rsidR="00000000" w14:paraId="684D4252" w14:textId="77777777">
        <w:trPr>
          <w:divId w:val="1623031252"/>
        </w:trPr>
        <w:tc>
          <w:tcPr>
            <w:tcW w:w="0" w:type="auto"/>
            <w:gridSpan w:val="3"/>
            <w:shd w:val="clear" w:color="auto" w:fill="CCEEFF"/>
            <w:tcMar>
              <w:top w:w="30" w:type="dxa"/>
              <w:left w:w="20" w:type="dxa"/>
              <w:bottom w:w="30" w:type="dxa"/>
              <w:right w:w="20" w:type="dxa"/>
            </w:tcMar>
            <w:vAlign w:val="bottom"/>
            <w:hideMark/>
          </w:tcPr>
          <w:p w14:paraId="1BCF87FA" w14:textId="77777777" w:rsidR="00000000" w:rsidRDefault="00C01C43">
            <w:pPr>
              <w:rPr>
                <w:rFonts w:eastAsia="Times New Roman"/>
              </w:rPr>
            </w:pPr>
            <w:r>
              <w:rPr>
                <w:rFonts w:ascii="Arial" w:eastAsia="Times New Roman" w:hAnsi="Arial" w:cs="Arial"/>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03A03154" w14:textId="77777777" w:rsidR="00000000" w:rsidRDefault="00C01C43">
            <w:pPr>
              <w:jc w:val="right"/>
              <w:rPr>
                <w:rFonts w:eastAsia="Times New Roman"/>
              </w:rPr>
            </w:pPr>
            <w:r>
              <w:rPr>
                <w:rFonts w:ascii="Arial" w:eastAsia="Times New Roman" w:hAnsi="Arial" w:cs="Arial"/>
                <w:color w:val="000000"/>
                <w:sz w:val="20"/>
                <w:szCs w:val="20"/>
              </w:rPr>
              <w:t>344.3 </w:t>
            </w:r>
          </w:p>
        </w:tc>
        <w:tc>
          <w:tcPr>
            <w:tcW w:w="0" w:type="auto"/>
            <w:shd w:val="clear" w:color="auto" w:fill="CCEEFF"/>
            <w:tcMar>
              <w:top w:w="30" w:type="dxa"/>
              <w:left w:w="0" w:type="dxa"/>
              <w:bottom w:w="30" w:type="dxa"/>
              <w:right w:w="20" w:type="dxa"/>
            </w:tcMar>
            <w:vAlign w:val="bottom"/>
            <w:hideMark/>
          </w:tcPr>
          <w:p w14:paraId="33911D2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17955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C90B56" w14:textId="77777777" w:rsidR="00000000" w:rsidRDefault="00C01C43">
            <w:pPr>
              <w:jc w:val="right"/>
              <w:rPr>
                <w:rFonts w:eastAsia="Times New Roman"/>
              </w:rPr>
            </w:pPr>
            <w:r>
              <w:rPr>
                <w:rFonts w:ascii="Arial" w:eastAsia="Times New Roman" w:hAnsi="Arial" w:cs="Arial"/>
                <w:color w:val="000000"/>
                <w:sz w:val="20"/>
                <w:szCs w:val="20"/>
              </w:rPr>
              <w:t>593.3 </w:t>
            </w:r>
          </w:p>
        </w:tc>
        <w:tc>
          <w:tcPr>
            <w:tcW w:w="0" w:type="auto"/>
            <w:shd w:val="clear" w:color="auto" w:fill="CCEEFF"/>
            <w:tcMar>
              <w:top w:w="30" w:type="dxa"/>
              <w:left w:w="0" w:type="dxa"/>
              <w:bottom w:w="30" w:type="dxa"/>
              <w:right w:w="20" w:type="dxa"/>
            </w:tcMar>
            <w:vAlign w:val="bottom"/>
            <w:hideMark/>
          </w:tcPr>
          <w:p w14:paraId="1BC4CF31" w14:textId="77777777" w:rsidR="00000000" w:rsidRDefault="00C01C43">
            <w:pPr>
              <w:jc w:val="right"/>
              <w:rPr>
                <w:rFonts w:eastAsia="Times New Roman"/>
              </w:rPr>
            </w:pPr>
          </w:p>
        </w:tc>
      </w:tr>
      <w:tr w:rsidR="00000000" w14:paraId="1CED8373" w14:textId="77777777">
        <w:trPr>
          <w:divId w:val="1623031252"/>
        </w:trPr>
        <w:tc>
          <w:tcPr>
            <w:tcW w:w="0" w:type="auto"/>
            <w:gridSpan w:val="3"/>
            <w:shd w:val="clear" w:color="auto" w:fill="FFFFFF"/>
            <w:tcMar>
              <w:top w:w="30" w:type="dxa"/>
              <w:left w:w="20" w:type="dxa"/>
              <w:bottom w:w="30" w:type="dxa"/>
              <w:right w:w="20" w:type="dxa"/>
            </w:tcMar>
            <w:vAlign w:val="bottom"/>
            <w:hideMark/>
          </w:tcPr>
          <w:p w14:paraId="76F6347A" w14:textId="77777777" w:rsidR="00000000" w:rsidRDefault="00C01C43">
            <w:pPr>
              <w:rPr>
                <w:rFonts w:eastAsia="Times New Roman"/>
              </w:rPr>
            </w:pPr>
            <w:r>
              <w:rPr>
                <w:rFonts w:ascii="Arial" w:eastAsia="Times New Roman" w:hAnsi="Arial" w:cs="Arial"/>
                <w:color w:val="000000"/>
                <w:sz w:val="20"/>
                <w:szCs w:val="20"/>
              </w:rPr>
              <w:t>Prepaid expenses</w:t>
            </w:r>
          </w:p>
        </w:tc>
        <w:tc>
          <w:tcPr>
            <w:tcW w:w="0" w:type="auto"/>
            <w:gridSpan w:val="2"/>
            <w:shd w:val="clear" w:color="auto" w:fill="FFFFFF"/>
            <w:tcMar>
              <w:top w:w="30" w:type="dxa"/>
              <w:left w:w="20" w:type="dxa"/>
              <w:bottom w:w="30" w:type="dxa"/>
              <w:right w:w="0" w:type="dxa"/>
            </w:tcMar>
            <w:vAlign w:val="bottom"/>
            <w:hideMark/>
          </w:tcPr>
          <w:p w14:paraId="5E4833B7" w14:textId="77777777" w:rsidR="00000000" w:rsidRDefault="00C01C43">
            <w:pPr>
              <w:jc w:val="right"/>
              <w:rPr>
                <w:rFonts w:eastAsia="Times New Roman"/>
              </w:rPr>
            </w:pPr>
            <w:r>
              <w:rPr>
                <w:rFonts w:ascii="Arial" w:eastAsia="Times New Roman" w:hAnsi="Arial" w:cs="Arial"/>
                <w:color w:val="000000"/>
                <w:sz w:val="20"/>
                <w:szCs w:val="20"/>
              </w:rPr>
              <w:t>51.1 </w:t>
            </w:r>
          </w:p>
        </w:tc>
        <w:tc>
          <w:tcPr>
            <w:tcW w:w="0" w:type="auto"/>
            <w:shd w:val="clear" w:color="auto" w:fill="FFFFFF"/>
            <w:tcMar>
              <w:top w:w="30" w:type="dxa"/>
              <w:left w:w="0" w:type="dxa"/>
              <w:bottom w:w="30" w:type="dxa"/>
              <w:right w:w="20" w:type="dxa"/>
            </w:tcMar>
            <w:vAlign w:val="bottom"/>
            <w:hideMark/>
          </w:tcPr>
          <w:p w14:paraId="12F4D60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C3057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B54793" w14:textId="77777777" w:rsidR="00000000" w:rsidRDefault="00C01C43">
            <w:pPr>
              <w:jc w:val="right"/>
              <w:rPr>
                <w:rFonts w:eastAsia="Times New Roman"/>
              </w:rPr>
            </w:pPr>
            <w:r>
              <w:rPr>
                <w:rFonts w:ascii="Arial" w:eastAsia="Times New Roman" w:hAnsi="Arial" w:cs="Arial"/>
                <w:color w:val="000000"/>
                <w:sz w:val="20"/>
                <w:szCs w:val="20"/>
              </w:rPr>
              <w:t>80.6 </w:t>
            </w:r>
          </w:p>
        </w:tc>
        <w:tc>
          <w:tcPr>
            <w:tcW w:w="0" w:type="auto"/>
            <w:shd w:val="clear" w:color="auto" w:fill="FFFFFF"/>
            <w:tcMar>
              <w:top w:w="30" w:type="dxa"/>
              <w:left w:w="0" w:type="dxa"/>
              <w:bottom w:w="30" w:type="dxa"/>
              <w:right w:w="20" w:type="dxa"/>
            </w:tcMar>
            <w:vAlign w:val="bottom"/>
            <w:hideMark/>
          </w:tcPr>
          <w:p w14:paraId="0687A5BA" w14:textId="77777777" w:rsidR="00000000" w:rsidRDefault="00C01C43">
            <w:pPr>
              <w:jc w:val="right"/>
              <w:rPr>
                <w:rFonts w:eastAsia="Times New Roman"/>
              </w:rPr>
            </w:pPr>
          </w:p>
        </w:tc>
      </w:tr>
      <w:tr w:rsidR="00000000" w14:paraId="1EAE4F02" w14:textId="77777777">
        <w:trPr>
          <w:divId w:val="1623031252"/>
        </w:trPr>
        <w:tc>
          <w:tcPr>
            <w:tcW w:w="0" w:type="auto"/>
            <w:gridSpan w:val="3"/>
            <w:shd w:val="clear" w:color="auto" w:fill="CCEEFF"/>
            <w:tcMar>
              <w:top w:w="30" w:type="dxa"/>
              <w:left w:w="20" w:type="dxa"/>
              <w:bottom w:w="30" w:type="dxa"/>
              <w:right w:w="20" w:type="dxa"/>
            </w:tcMar>
            <w:vAlign w:val="bottom"/>
            <w:hideMark/>
          </w:tcPr>
          <w:p w14:paraId="5ED89310" w14:textId="77777777" w:rsidR="00000000" w:rsidRDefault="00C01C43">
            <w:pPr>
              <w:rPr>
                <w:rFonts w:eastAsia="Times New Roman"/>
              </w:rPr>
            </w:pPr>
            <w:r>
              <w:rPr>
                <w:rFonts w:ascii="Arial" w:eastAsia="Times New Roman" w:hAnsi="Arial" w:cs="Arial"/>
                <w:color w:val="000000"/>
                <w:sz w:val="20"/>
                <w:szCs w:val="20"/>
              </w:rPr>
              <w:t>Short-term derivative assets, net</w:t>
            </w:r>
          </w:p>
        </w:tc>
        <w:tc>
          <w:tcPr>
            <w:tcW w:w="0" w:type="auto"/>
            <w:gridSpan w:val="2"/>
            <w:shd w:val="clear" w:color="auto" w:fill="CCEEFF"/>
            <w:tcMar>
              <w:top w:w="30" w:type="dxa"/>
              <w:left w:w="20" w:type="dxa"/>
              <w:bottom w:w="30" w:type="dxa"/>
              <w:right w:w="0" w:type="dxa"/>
            </w:tcMar>
            <w:vAlign w:val="bottom"/>
            <w:hideMark/>
          </w:tcPr>
          <w:p w14:paraId="358EC72C" w14:textId="77777777" w:rsidR="00000000" w:rsidRDefault="00C01C43">
            <w:pPr>
              <w:jc w:val="right"/>
              <w:rPr>
                <w:rFonts w:eastAsia="Times New Roman"/>
              </w:rPr>
            </w:pPr>
            <w:r>
              <w:rPr>
                <w:rFonts w:ascii="Arial" w:eastAsia="Times New Roman" w:hAnsi="Arial" w:cs="Arial"/>
                <w:color w:val="000000"/>
                <w:sz w:val="20"/>
                <w:szCs w:val="20"/>
              </w:rPr>
              <w:t>66.4 </w:t>
            </w:r>
          </w:p>
        </w:tc>
        <w:tc>
          <w:tcPr>
            <w:tcW w:w="0" w:type="auto"/>
            <w:shd w:val="clear" w:color="auto" w:fill="CCEEFF"/>
            <w:tcMar>
              <w:top w:w="30" w:type="dxa"/>
              <w:left w:w="0" w:type="dxa"/>
              <w:bottom w:w="30" w:type="dxa"/>
              <w:right w:w="20" w:type="dxa"/>
            </w:tcMar>
            <w:vAlign w:val="bottom"/>
            <w:hideMark/>
          </w:tcPr>
          <w:p w14:paraId="417BAE3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7358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2DECDD" w14:textId="77777777" w:rsidR="00000000" w:rsidRDefault="00C01C43">
            <w:pPr>
              <w:jc w:val="right"/>
              <w:rPr>
                <w:rFonts w:eastAsia="Times New Roman"/>
              </w:rPr>
            </w:pPr>
            <w:r>
              <w:rPr>
                <w:rFonts w:ascii="Arial" w:eastAsia="Times New Roman" w:hAnsi="Arial" w:cs="Arial"/>
                <w:color w:val="000000"/>
                <w:sz w:val="20"/>
                <w:szCs w:val="20"/>
              </w:rPr>
              <w:t>59.5 </w:t>
            </w:r>
          </w:p>
        </w:tc>
        <w:tc>
          <w:tcPr>
            <w:tcW w:w="0" w:type="auto"/>
            <w:shd w:val="clear" w:color="auto" w:fill="CCEEFF"/>
            <w:tcMar>
              <w:top w:w="30" w:type="dxa"/>
              <w:left w:w="0" w:type="dxa"/>
              <w:bottom w:w="30" w:type="dxa"/>
              <w:right w:w="20" w:type="dxa"/>
            </w:tcMar>
            <w:vAlign w:val="bottom"/>
            <w:hideMark/>
          </w:tcPr>
          <w:p w14:paraId="4BE4AC2E" w14:textId="77777777" w:rsidR="00000000" w:rsidRDefault="00C01C43">
            <w:pPr>
              <w:jc w:val="right"/>
              <w:rPr>
                <w:rFonts w:eastAsia="Times New Roman"/>
              </w:rPr>
            </w:pPr>
          </w:p>
        </w:tc>
      </w:tr>
      <w:tr w:rsidR="00000000" w14:paraId="0983E5FC" w14:textId="77777777">
        <w:trPr>
          <w:divId w:val="1623031252"/>
        </w:trPr>
        <w:tc>
          <w:tcPr>
            <w:tcW w:w="0" w:type="auto"/>
            <w:gridSpan w:val="3"/>
            <w:shd w:val="clear" w:color="auto" w:fill="FFFFFF"/>
            <w:tcMar>
              <w:top w:w="30" w:type="dxa"/>
              <w:left w:w="20" w:type="dxa"/>
              <w:bottom w:w="30" w:type="dxa"/>
              <w:right w:w="20" w:type="dxa"/>
            </w:tcMar>
            <w:vAlign w:val="bottom"/>
            <w:hideMark/>
          </w:tcPr>
          <w:p w14:paraId="2019C197" w14:textId="77777777" w:rsidR="00000000" w:rsidRDefault="00C01C43">
            <w:pPr>
              <w:rPr>
                <w:rFonts w:eastAsia="Times New Roman"/>
              </w:rPr>
            </w:pPr>
            <w:r>
              <w:rPr>
                <w:rFonts w:ascii="Arial" w:eastAsia="Times New Roman" w:hAnsi="Arial" w:cs="Arial"/>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14:paraId="17248ABC" w14:textId="77777777" w:rsidR="00000000" w:rsidRDefault="00C01C43">
            <w:pPr>
              <w:jc w:val="right"/>
              <w:rPr>
                <w:rFonts w:eastAsia="Times New Roman"/>
              </w:rPr>
            </w:pPr>
            <w:r>
              <w:rPr>
                <w:rFonts w:ascii="Arial" w:eastAsia="Times New Roman" w:hAnsi="Arial" w:cs="Arial"/>
                <w:color w:val="000000"/>
                <w:sz w:val="20"/>
                <w:szCs w:val="20"/>
              </w:rPr>
              <w:t>280.4 </w:t>
            </w:r>
          </w:p>
        </w:tc>
        <w:tc>
          <w:tcPr>
            <w:tcW w:w="0" w:type="auto"/>
            <w:shd w:val="clear" w:color="auto" w:fill="FFFFFF"/>
            <w:tcMar>
              <w:top w:w="30" w:type="dxa"/>
              <w:left w:w="0" w:type="dxa"/>
              <w:bottom w:w="30" w:type="dxa"/>
              <w:right w:w="20" w:type="dxa"/>
            </w:tcMar>
            <w:vAlign w:val="bottom"/>
            <w:hideMark/>
          </w:tcPr>
          <w:p w14:paraId="6FEB0FB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C6828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8B0F01" w14:textId="77777777" w:rsidR="00000000" w:rsidRDefault="00C01C43">
            <w:pPr>
              <w:jc w:val="right"/>
              <w:rPr>
                <w:rFonts w:eastAsia="Times New Roman"/>
              </w:rPr>
            </w:pPr>
            <w:r>
              <w:rPr>
                <w:rFonts w:ascii="Arial" w:eastAsia="Times New Roman" w:hAnsi="Arial" w:cs="Arial"/>
                <w:color w:val="000000"/>
                <w:sz w:val="20"/>
                <w:szCs w:val="20"/>
              </w:rPr>
              <w:t>358.8 </w:t>
            </w:r>
          </w:p>
        </w:tc>
        <w:tc>
          <w:tcPr>
            <w:tcW w:w="0" w:type="auto"/>
            <w:shd w:val="clear" w:color="auto" w:fill="FFFFFF"/>
            <w:tcMar>
              <w:top w:w="30" w:type="dxa"/>
              <w:left w:w="0" w:type="dxa"/>
              <w:bottom w:w="30" w:type="dxa"/>
              <w:right w:w="20" w:type="dxa"/>
            </w:tcMar>
            <w:vAlign w:val="bottom"/>
            <w:hideMark/>
          </w:tcPr>
          <w:p w14:paraId="42CB3A2F" w14:textId="77777777" w:rsidR="00000000" w:rsidRDefault="00C01C43">
            <w:pPr>
              <w:jc w:val="right"/>
              <w:rPr>
                <w:rFonts w:eastAsia="Times New Roman"/>
              </w:rPr>
            </w:pPr>
          </w:p>
        </w:tc>
      </w:tr>
      <w:tr w:rsidR="00000000" w14:paraId="68A052C8" w14:textId="77777777">
        <w:trPr>
          <w:divId w:val="1623031252"/>
        </w:trPr>
        <w:tc>
          <w:tcPr>
            <w:tcW w:w="0" w:type="auto"/>
            <w:gridSpan w:val="3"/>
            <w:vAlign w:val="center"/>
            <w:hideMark/>
          </w:tcPr>
          <w:p w14:paraId="241A9DE9" w14:textId="77777777" w:rsidR="00000000" w:rsidRDefault="00C01C43">
            <w:pPr>
              <w:jc w:val="right"/>
              <w:rPr>
                <w:rFonts w:eastAsia="Times New Roman"/>
                <w:sz w:val="20"/>
                <w:szCs w:val="20"/>
              </w:rPr>
            </w:pPr>
          </w:p>
        </w:tc>
        <w:tc>
          <w:tcPr>
            <w:tcW w:w="0" w:type="auto"/>
            <w:gridSpan w:val="3"/>
            <w:vAlign w:val="center"/>
            <w:hideMark/>
          </w:tcPr>
          <w:p w14:paraId="2C28B150" w14:textId="77777777" w:rsidR="00000000" w:rsidRDefault="00C01C43">
            <w:pPr>
              <w:rPr>
                <w:rFonts w:eastAsia="Times New Roman"/>
                <w:sz w:val="20"/>
                <w:szCs w:val="20"/>
              </w:rPr>
            </w:pPr>
          </w:p>
        </w:tc>
        <w:tc>
          <w:tcPr>
            <w:tcW w:w="0" w:type="auto"/>
            <w:gridSpan w:val="3"/>
            <w:vAlign w:val="center"/>
            <w:hideMark/>
          </w:tcPr>
          <w:p w14:paraId="30271059" w14:textId="77777777" w:rsidR="00000000" w:rsidRDefault="00C01C43">
            <w:pPr>
              <w:rPr>
                <w:rFonts w:eastAsia="Times New Roman"/>
                <w:sz w:val="20"/>
                <w:szCs w:val="20"/>
              </w:rPr>
            </w:pPr>
          </w:p>
        </w:tc>
        <w:tc>
          <w:tcPr>
            <w:tcW w:w="0" w:type="auto"/>
            <w:gridSpan w:val="3"/>
            <w:vAlign w:val="center"/>
            <w:hideMark/>
          </w:tcPr>
          <w:p w14:paraId="65AAE858" w14:textId="77777777" w:rsidR="00000000" w:rsidRDefault="00C01C43">
            <w:pPr>
              <w:rPr>
                <w:rFonts w:eastAsia="Times New Roman"/>
                <w:sz w:val="20"/>
                <w:szCs w:val="20"/>
              </w:rPr>
            </w:pPr>
          </w:p>
        </w:tc>
      </w:tr>
      <w:tr w:rsidR="00000000" w14:paraId="46A46C42" w14:textId="77777777">
        <w:trPr>
          <w:divId w:val="16230312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94A230" w14:textId="77777777" w:rsidR="00000000" w:rsidRDefault="00C01C43">
            <w:pPr>
              <w:rPr>
                <w:rFonts w:eastAsia="Times New Roman"/>
              </w:rPr>
            </w:pPr>
            <w:r>
              <w:rPr>
                <w:rFonts w:ascii="Arial" w:eastAsia="Times New Roman" w:hAnsi="Arial" w:cs="Arial"/>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1EFBFC" w14:textId="77777777" w:rsidR="00000000" w:rsidRDefault="00C01C43">
            <w:pPr>
              <w:jc w:val="right"/>
              <w:rPr>
                <w:rFonts w:eastAsia="Times New Roman"/>
              </w:rPr>
            </w:pPr>
            <w:r>
              <w:rPr>
                <w:rFonts w:ascii="Arial" w:eastAsia="Times New Roman" w:hAnsi="Arial" w:cs="Arial"/>
                <w:color w:val="000000"/>
                <w:sz w:val="20"/>
                <w:szCs w:val="20"/>
              </w:rPr>
              <w:t>2,639.3 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B59F4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AC517D"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BF1B6D" w14:textId="77777777" w:rsidR="00000000" w:rsidRDefault="00C01C43">
            <w:pPr>
              <w:jc w:val="right"/>
              <w:rPr>
                <w:rFonts w:eastAsia="Times New Roman"/>
              </w:rPr>
            </w:pPr>
            <w:r>
              <w:rPr>
                <w:rFonts w:ascii="Arial" w:eastAsia="Times New Roman" w:hAnsi="Arial" w:cs="Arial"/>
                <w:color w:val="000000"/>
                <w:sz w:val="20"/>
                <w:szCs w:val="20"/>
              </w:rPr>
              <w:t>4,170.1 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8BF78B" w14:textId="77777777" w:rsidR="00000000" w:rsidRDefault="00C01C43">
            <w:pPr>
              <w:jc w:val="right"/>
              <w:rPr>
                <w:rFonts w:eastAsia="Times New Roman"/>
              </w:rPr>
            </w:pPr>
          </w:p>
        </w:tc>
      </w:tr>
      <w:tr w:rsidR="00000000" w14:paraId="4251B376" w14:textId="77777777">
        <w:trPr>
          <w:divId w:val="1623031252"/>
        </w:trPr>
        <w:tc>
          <w:tcPr>
            <w:tcW w:w="0" w:type="auto"/>
            <w:gridSpan w:val="3"/>
            <w:shd w:val="clear" w:color="auto" w:fill="FFFFFF"/>
            <w:tcMar>
              <w:top w:w="30" w:type="dxa"/>
              <w:left w:w="20" w:type="dxa"/>
              <w:bottom w:w="30" w:type="dxa"/>
              <w:right w:w="20" w:type="dxa"/>
            </w:tcMar>
            <w:vAlign w:val="bottom"/>
            <w:hideMark/>
          </w:tcPr>
          <w:p w14:paraId="2CD9F4DF" w14:textId="77777777" w:rsidR="00000000" w:rsidRDefault="00C01C43">
            <w:pPr>
              <w:rPr>
                <w:rFonts w:eastAsia="Times New Roman"/>
              </w:rPr>
            </w:pPr>
            <w:r>
              <w:rPr>
                <w:rFonts w:ascii="Arial" w:eastAsia="Times New Roman" w:hAnsi="Arial" w:cs="Arial"/>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14:paraId="4093E122" w14:textId="77777777" w:rsidR="00000000" w:rsidRDefault="00C01C43">
            <w:pPr>
              <w:jc w:val="right"/>
              <w:rPr>
                <w:rFonts w:eastAsia="Times New Roman"/>
              </w:rPr>
            </w:pPr>
            <w:r>
              <w:rPr>
                <w:rFonts w:ascii="Arial" w:eastAsia="Times New Roman" w:hAnsi="Arial" w:cs="Arial"/>
                <w:color w:val="000000"/>
                <w:sz w:val="20"/>
                <w:szCs w:val="20"/>
              </w:rPr>
              <w:t>342.6 </w:t>
            </w:r>
          </w:p>
        </w:tc>
        <w:tc>
          <w:tcPr>
            <w:tcW w:w="0" w:type="auto"/>
            <w:shd w:val="clear" w:color="auto" w:fill="FFFFFF"/>
            <w:tcMar>
              <w:top w:w="30" w:type="dxa"/>
              <w:left w:w="0" w:type="dxa"/>
              <w:bottom w:w="30" w:type="dxa"/>
              <w:right w:w="20" w:type="dxa"/>
            </w:tcMar>
            <w:vAlign w:val="bottom"/>
            <w:hideMark/>
          </w:tcPr>
          <w:p w14:paraId="0430B23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0B74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4D2F8" w14:textId="77777777" w:rsidR="00000000" w:rsidRDefault="00C01C43">
            <w:pPr>
              <w:jc w:val="right"/>
              <w:rPr>
                <w:rFonts w:eastAsia="Times New Roman"/>
              </w:rPr>
            </w:pPr>
            <w:r>
              <w:rPr>
                <w:rFonts w:ascii="Arial" w:eastAsia="Times New Roman" w:hAnsi="Arial" w:cs="Arial"/>
                <w:color w:val="000000"/>
                <w:sz w:val="20"/>
                <w:szCs w:val="20"/>
              </w:rPr>
              <w:t>360.9 </w:t>
            </w:r>
          </w:p>
        </w:tc>
        <w:tc>
          <w:tcPr>
            <w:tcW w:w="0" w:type="auto"/>
            <w:shd w:val="clear" w:color="auto" w:fill="FFFFFF"/>
            <w:tcMar>
              <w:top w:w="30" w:type="dxa"/>
              <w:left w:w="0" w:type="dxa"/>
              <w:bottom w:w="30" w:type="dxa"/>
              <w:right w:w="20" w:type="dxa"/>
            </w:tcMar>
            <w:vAlign w:val="bottom"/>
            <w:hideMark/>
          </w:tcPr>
          <w:p w14:paraId="294E77AB" w14:textId="77777777" w:rsidR="00000000" w:rsidRDefault="00C01C43">
            <w:pPr>
              <w:jc w:val="right"/>
              <w:rPr>
                <w:rFonts w:eastAsia="Times New Roman"/>
              </w:rPr>
            </w:pPr>
          </w:p>
        </w:tc>
      </w:tr>
      <w:tr w:rsidR="00000000" w14:paraId="05426D21" w14:textId="77777777">
        <w:trPr>
          <w:divId w:val="1623031252"/>
        </w:trPr>
        <w:tc>
          <w:tcPr>
            <w:tcW w:w="0" w:type="auto"/>
            <w:gridSpan w:val="3"/>
            <w:shd w:val="clear" w:color="auto" w:fill="CCEEFF"/>
            <w:tcMar>
              <w:top w:w="30" w:type="dxa"/>
              <w:left w:w="20" w:type="dxa"/>
              <w:bottom w:w="30" w:type="dxa"/>
              <w:right w:w="20" w:type="dxa"/>
            </w:tcMar>
            <w:vAlign w:val="bottom"/>
            <w:hideMark/>
          </w:tcPr>
          <w:p w14:paraId="535E95A0" w14:textId="77777777" w:rsidR="00000000" w:rsidRDefault="00C01C43">
            <w:pPr>
              <w:rPr>
                <w:rFonts w:eastAsia="Times New Roman"/>
              </w:rPr>
            </w:pPr>
            <w:r>
              <w:rPr>
                <w:rFonts w:ascii="Arial" w:eastAsia="Times New Roman" w:hAnsi="Arial" w:cs="Arial"/>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14:paraId="6E9EFA35" w14:textId="77777777" w:rsidR="00000000" w:rsidRDefault="00C01C43">
            <w:pPr>
              <w:jc w:val="right"/>
              <w:rPr>
                <w:rFonts w:eastAsia="Times New Roman"/>
              </w:rPr>
            </w:pPr>
            <w:r>
              <w:rPr>
                <w:rFonts w:ascii="Arial" w:eastAsia="Times New Roman" w:hAnsi="Arial" w:cs="Arial"/>
                <w:color w:val="000000"/>
                <w:sz w:val="20"/>
                <w:szCs w:val="20"/>
              </w:rPr>
              <w:t>858.6 </w:t>
            </w:r>
          </w:p>
        </w:tc>
        <w:tc>
          <w:tcPr>
            <w:tcW w:w="0" w:type="auto"/>
            <w:shd w:val="clear" w:color="auto" w:fill="CCEEFF"/>
            <w:tcMar>
              <w:top w:w="30" w:type="dxa"/>
              <w:left w:w="0" w:type="dxa"/>
              <w:bottom w:w="30" w:type="dxa"/>
              <w:right w:w="20" w:type="dxa"/>
            </w:tcMar>
            <w:vAlign w:val="bottom"/>
            <w:hideMark/>
          </w:tcPr>
          <w:p w14:paraId="63F1B05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7322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1BEA9F" w14:textId="77777777" w:rsidR="00000000" w:rsidRDefault="00C01C43">
            <w:pPr>
              <w:jc w:val="right"/>
              <w:rPr>
                <w:rFonts w:eastAsia="Times New Roman"/>
              </w:rPr>
            </w:pPr>
            <w:r>
              <w:rPr>
                <w:rFonts w:ascii="Arial" w:eastAsia="Times New Roman" w:hAnsi="Arial" w:cs="Arial"/>
                <w:color w:val="000000"/>
                <w:sz w:val="20"/>
                <w:szCs w:val="20"/>
              </w:rPr>
              <w:t>843.7 </w:t>
            </w:r>
          </w:p>
        </w:tc>
        <w:tc>
          <w:tcPr>
            <w:tcW w:w="0" w:type="auto"/>
            <w:shd w:val="clear" w:color="auto" w:fill="CCEEFF"/>
            <w:tcMar>
              <w:top w:w="30" w:type="dxa"/>
              <w:left w:w="0" w:type="dxa"/>
              <w:bottom w:w="30" w:type="dxa"/>
              <w:right w:w="20" w:type="dxa"/>
            </w:tcMar>
            <w:vAlign w:val="bottom"/>
            <w:hideMark/>
          </w:tcPr>
          <w:p w14:paraId="7704912D" w14:textId="77777777" w:rsidR="00000000" w:rsidRDefault="00C01C43">
            <w:pPr>
              <w:jc w:val="right"/>
              <w:rPr>
                <w:rFonts w:eastAsia="Times New Roman"/>
              </w:rPr>
            </w:pPr>
          </w:p>
        </w:tc>
      </w:tr>
      <w:tr w:rsidR="00000000" w14:paraId="4B5CB25B" w14:textId="77777777">
        <w:trPr>
          <w:divId w:val="1623031252"/>
        </w:trPr>
        <w:tc>
          <w:tcPr>
            <w:tcW w:w="0" w:type="auto"/>
            <w:gridSpan w:val="3"/>
            <w:shd w:val="clear" w:color="auto" w:fill="FFFFFF"/>
            <w:tcMar>
              <w:top w:w="30" w:type="dxa"/>
              <w:left w:w="20" w:type="dxa"/>
              <w:bottom w:w="30" w:type="dxa"/>
              <w:right w:w="20" w:type="dxa"/>
            </w:tcMar>
            <w:vAlign w:val="bottom"/>
            <w:hideMark/>
          </w:tcPr>
          <w:p w14:paraId="60612F2D" w14:textId="77777777" w:rsidR="00000000" w:rsidRDefault="00C01C43">
            <w:pPr>
              <w:rPr>
                <w:rFonts w:eastAsia="Times New Roman"/>
              </w:rPr>
            </w:pPr>
            <w:r>
              <w:rPr>
                <w:rFonts w:ascii="Arial" w:eastAsia="Times New Roman" w:hAnsi="Arial" w:cs="Arial"/>
                <w:color w:val="000000"/>
                <w:sz w:val="20"/>
                <w:szCs w:val="20"/>
              </w:rPr>
              <w:t>Identifiable intangible and other non-current assets</w:t>
            </w:r>
          </w:p>
        </w:tc>
        <w:tc>
          <w:tcPr>
            <w:tcW w:w="0" w:type="auto"/>
            <w:gridSpan w:val="2"/>
            <w:shd w:val="clear" w:color="auto" w:fill="FFFFFF"/>
            <w:tcMar>
              <w:top w:w="30" w:type="dxa"/>
              <w:left w:w="20" w:type="dxa"/>
              <w:bottom w:w="30" w:type="dxa"/>
              <w:right w:w="0" w:type="dxa"/>
            </w:tcMar>
            <w:vAlign w:val="bottom"/>
            <w:hideMark/>
          </w:tcPr>
          <w:p w14:paraId="0B5BC74A" w14:textId="77777777" w:rsidR="00000000" w:rsidRDefault="00C01C43">
            <w:pPr>
              <w:jc w:val="right"/>
              <w:rPr>
                <w:rFonts w:eastAsia="Times New Roman"/>
              </w:rPr>
            </w:pPr>
            <w:r>
              <w:rPr>
                <w:rFonts w:ascii="Arial" w:eastAsia="Times New Roman" w:hAnsi="Arial" w:cs="Arial"/>
                <w:color w:val="000000"/>
                <w:sz w:val="20"/>
                <w:szCs w:val="20"/>
              </w:rPr>
              <w:t>659.8 </w:t>
            </w:r>
          </w:p>
        </w:tc>
        <w:tc>
          <w:tcPr>
            <w:tcW w:w="0" w:type="auto"/>
            <w:shd w:val="clear" w:color="auto" w:fill="FFFFFF"/>
            <w:tcMar>
              <w:top w:w="30" w:type="dxa"/>
              <w:left w:w="0" w:type="dxa"/>
              <w:bottom w:w="30" w:type="dxa"/>
              <w:right w:w="20" w:type="dxa"/>
            </w:tcMar>
            <w:vAlign w:val="bottom"/>
            <w:hideMark/>
          </w:tcPr>
          <w:p w14:paraId="5AF9119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5829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0E8F93" w14:textId="77777777" w:rsidR="00000000" w:rsidRDefault="00C01C43">
            <w:pPr>
              <w:jc w:val="right"/>
              <w:rPr>
                <w:rFonts w:eastAsia="Times New Roman"/>
              </w:rPr>
            </w:pPr>
            <w:r>
              <w:rPr>
                <w:rFonts w:ascii="Arial" w:eastAsia="Times New Roman" w:hAnsi="Arial" w:cs="Arial"/>
                <w:color w:val="000000"/>
                <w:sz w:val="20"/>
                <w:szCs w:val="20"/>
              </w:rPr>
              <w:t>617.7 </w:t>
            </w:r>
          </w:p>
        </w:tc>
        <w:tc>
          <w:tcPr>
            <w:tcW w:w="0" w:type="auto"/>
            <w:shd w:val="clear" w:color="auto" w:fill="FFFFFF"/>
            <w:tcMar>
              <w:top w:w="30" w:type="dxa"/>
              <w:left w:w="0" w:type="dxa"/>
              <w:bottom w:w="30" w:type="dxa"/>
              <w:right w:w="20" w:type="dxa"/>
            </w:tcMar>
            <w:vAlign w:val="bottom"/>
            <w:hideMark/>
          </w:tcPr>
          <w:p w14:paraId="7BA6DC41" w14:textId="77777777" w:rsidR="00000000" w:rsidRDefault="00C01C43">
            <w:pPr>
              <w:jc w:val="right"/>
              <w:rPr>
                <w:rFonts w:eastAsia="Times New Roman"/>
              </w:rPr>
            </w:pPr>
          </w:p>
        </w:tc>
      </w:tr>
      <w:tr w:rsidR="00000000" w14:paraId="70134A32" w14:textId="77777777">
        <w:trPr>
          <w:divId w:val="1623031252"/>
        </w:trPr>
        <w:tc>
          <w:tcPr>
            <w:tcW w:w="0" w:type="auto"/>
            <w:gridSpan w:val="3"/>
            <w:vAlign w:val="center"/>
            <w:hideMark/>
          </w:tcPr>
          <w:p w14:paraId="3E3339EE" w14:textId="77777777" w:rsidR="00000000" w:rsidRDefault="00C01C43">
            <w:pPr>
              <w:jc w:val="right"/>
              <w:rPr>
                <w:rFonts w:eastAsia="Times New Roman"/>
                <w:sz w:val="20"/>
                <w:szCs w:val="20"/>
              </w:rPr>
            </w:pPr>
          </w:p>
        </w:tc>
        <w:tc>
          <w:tcPr>
            <w:tcW w:w="0" w:type="auto"/>
            <w:gridSpan w:val="3"/>
            <w:vAlign w:val="center"/>
            <w:hideMark/>
          </w:tcPr>
          <w:p w14:paraId="4E423661" w14:textId="77777777" w:rsidR="00000000" w:rsidRDefault="00C01C43">
            <w:pPr>
              <w:rPr>
                <w:rFonts w:eastAsia="Times New Roman"/>
                <w:sz w:val="20"/>
                <w:szCs w:val="20"/>
              </w:rPr>
            </w:pPr>
          </w:p>
        </w:tc>
        <w:tc>
          <w:tcPr>
            <w:tcW w:w="0" w:type="auto"/>
            <w:gridSpan w:val="3"/>
            <w:vAlign w:val="center"/>
            <w:hideMark/>
          </w:tcPr>
          <w:p w14:paraId="5D2CF5B0" w14:textId="77777777" w:rsidR="00000000" w:rsidRDefault="00C01C43">
            <w:pPr>
              <w:rPr>
                <w:rFonts w:eastAsia="Times New Roman"/>
                <w:sz w:val="20"/>
                <w:szCs w:val="20"/>
              </w:rPr>
            </w:pPr>
          </w:p>
        </w:tc>
        <w:tc>
          <w:tcPr>
            <w:tcW w:w="0" w:type="auto"/>
            <w:gridSpan w:val="3"/>
            <w:vAlign w:val="center"/>
            <w:hideMark/>
          </w:tcPr>
          <w:p w14:paraId="20DA4199" w14:textId="77777777" w:rsidR="00000000" w:rsidRDefault="00C01C43">
            <w:pPr>
              <w:rPr>
                <w:rFonts w:eastAsia="Times New Roman"/>
                <w:sz w:val="20"/>
                <w:szCs w:val="20"/>
              </w:rPr>
            </w:pPr>
          </w:p>
        </w:tc>
      </w:tr>
      <w:tr w:rsidR="00000000" w14:paraId="18F9C663" w14:textId="77777777">
        <w:trPr>
          <w:divId w:val="16230312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12422C" w14:textId="77777777" w:rsidR="00000000" w:rsidRDefault="00C01C43">
            <w:pPr>
              <w:rPr>
                <w:rFonts w:eastAsia="Times New Roman"/>
              </w:rPr>
            </w:pPr>
            <w:r>
              <w:rPr>
                <w:rFonts w:ascii="Arial" w:eastAsia="Times New Roman" w:hAnsi="Arial" w:cs="Arial"/>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815BF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B0EABD" w14:textId="77777777" w:rsidR="00000000" w:rsidRDefault="00C01C43">
            <w:pPr>
              <w:jc w:val="right"/>
              <w:rPr>
                <w:rFonts w:eastAsia="Times New Roman"/>
              </w:rPr>
            </w:pPr>
            <w:r>
              <w:rPr>
                <w:rFonts w:ascii="Arial" w:eastAsia="Times New Roman" w:hAnsi="Arial" w:cs="Arial"/>
                <w:color w:val="000000"/>
                <w:sz w:val="20"/>
                <w:szCs w:val="20"/>
              </w:rPr>
              <w:t>4,500.3 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2A4BB9"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A7C3D0"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0FC09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5CBD12" w14:textId="77777777" w:rsidR="00000000" w:rsidRDefault="00C01C43">
            <w:pPr>
              <w:jc w:val="right"/>
              <w:rPr>
                <w:rFonts w:eastAsia="Times New Roman"/>
              </w:rPr>
            </w:pPr>
            <w:r>
              <w:rPr>
                <w:rFonts w:ascii="Arial" w:eastAsia="Times New Roman" w:hAnsi="Arial" w:cs="Arial"/>
                <w:color w:val="000000"/>
                <w:sz w:val="20"/>
                <w:szCs w:val="20"/>
              </w:rPr>
              <w:t>5,992.4 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CE2F4E" w14:textId="77777777" w:rsidR="00000000" w:rsidRDefault="00C01C43">
            <w:pPr>
              <w:jc w:val="right"/>
              <w:rPr>
                <w:rFonts w:eastAsia="Times New Roman"/>
              </w:rPr>
            </w:pPr>
          </w:p>
        </w:tc>
      </w:tr>
      <w:tr w:rsidR="00000000" w14:paraId="1FCA1995" w14:textId="77777777">
        <w:trPr>
          <w:divId w:val="1623031252"/>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13C91F7" w14:textId="77777777" w:rsidR="00000000" w:rsidRDefault="00C01C43">
            <w:pPr>
              <w:rPr>
                <w:rFonts w:eastAsia="Times New Roman"/>
              </w:rPr>
            </w:pPr>
            <w:r>
              <w:rPr>
                <w:rFonts w:ascii="Arial" w:eastAsia="Times New Roman" w:hAnsi="Arial" w:cs="Arial"/>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BB88DF1" w14:textId="77777777" w:rsidR="00000000" w:rsidRDefault="00C01C4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22A2EE5"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755C097" w14:textId="77777777" w:rsidR="00000000" w:rsidRDefault="00C01C43">
            <w:pPr>
              <w:rPr>
                <w:rFonts w:eastAsia="Times New Roman"/>
                <w:sz w:val="20"/>
                <w:szCs w:val="20"/>
              </w:rPr>
            </w:pPr>
          </w:p>
        </w:tc>
      </w:tr>
      <w:tr w:rsidR="00000000" w14:paraId="5800A54C" w14:textId="77777777">
        <w:trPr>
          <w:divId w:val="1623031252"/>
        </w:trPr>
        <w:tc>
          <w:tcPr>
            <w:tcW w:w="0" w:type="auto"/>
            <w:gridSpan w:val="3"/>
            <w:shd w:val="clear" w:color="auto" w:fill="CCEEFF"/>
            <w:tcMar>
              <w:top w:w="30" w:type="dxa"/>
              <w:left w:w="20" w:type="dxa"/>
              <w:bottom w:w="30" w:type="dxa"/>
              <w:right w:w="20" w:type="dxa"/>
            </w:tcMar>
            <w:vAlign w:val="bottom"/>
            <w:hideMark/>
          </w:tcPr>
          <w:p w14:paraId="27442081" w14:textId="77777777" w:rsidR="00000000" w:rsidRDefault="00C01C43">
            <w:pPr>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14:paraId="7B9FB141" w14:textId="77777777" w:rsidR="00000000" w:rsidRDefault="00C01C4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FF3E3"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1C2D3F" w14:textId="77777777" w:rsidR="00000000" w:rsidRDefault="00C01C43">
            <w:pPr>
              <w:rPr>
                <w:rFonts w:eastAsia="Times New Roman"/>
                <w:sz w:val="20"/>
                <w:szCs w:val="20"/>
              </w:rPr>
            </w:pPr>
          </w:p>
        </w:tc>
      </w:tr>
      <w:tr w:rsidR="00000000" w14:paraId="372A7C7B" w14:textId="77777777">
        <w:trPr>
          <w:divId w:val="1623031252"/>
        </w:trPr>
        <w:tc>
          <w:tcPr>
            <w:tcW w:w="0" w:type="auto"/>
            <w:gridSpan w:val="3"/>
            <w:shd w:val="clear" w:color="auto" w:fill="FFFFFF"/>
            <w:tcMar>
              <w:top w:w="30" w:type="dxa"/>
              <w:left w:w="20" w:type="dxa"/>
              <w:bottom w:w="30" w:type="dxa"/>
              <w:right w:w="20" w:type="dxa"/>
            </w:tcMar>
            <w:vAlign w:val="bottom"/>
            <w:hideMark/>
          </w:tcPr>
          <w:p w14:paraId="2BD24587" w14:textId="77777777" w:rsidR="00000000" w:rsidRDefault="00C01C43">
            <w:pPr>
              <w:rPr>
                <w:rFonts w:eastAsia="Times New Roman"/>
              </w:rPr>
            </w:pPr>
            <w:r>
              <w:rPr>
                <w:rFonts w:ascii="Arial" w:eastAsia="Times New Roman" w:hAnsi="Arial" w:cs="Arial"/>
                <w:color w:val="000000"/>
                <w:sz w:val="20"/>
                <w:szCs w:val="20"/>
              </w:rPr>
              <w:t>Current maturities of long-term debt</w:t>
            </w:r>
          </w:p>
        </w:tc>
        <w:tc>
          <w:tcPr>
            <w:tcW w:w="0" w:type="auto"/>
            <w:shd w:val="clear" w:color="auto" w:fill="FFFFFF"/>
            <w:tcMar>
              <w:top w:w="30" w:type="dxa"/>
              <w:left w:w="20" w:type="dxa"/>
              <w:bottom w:w="30" w:type="dxa"/>
              <w:right w:w="0" w:type="dxa"/>
            </w:tcMar>
            <w:vAlign w:val="bottom"/>
            <w:hideMark/>
          </w:tcPr>
          <w:p w14:paraId="3CC21B9E"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DAA527D" w14:textId="77777777" w:rsidR="00000000" w:rsidRDefault="00C01C43">
            <w:pPr>
              <w:jc w:val="right"/>
              <w:rPr>
                <w:rFonts w:eastAsia="Times New Roman"/>
              </w:rPr>
            </w:pPr>
            <w:r>
              <w:rPr>
                <w:rFonts w:ascii="Arial" w:eastAsia="Times New Roman" w:hAnsi="Arial" w:cs="Arial"/>
                <w:color w:val="000000"/>
                <w:sz w:val="20"/>
                <w:szCs w:val="20"/>
              </w:rPr>
              <w:t>22.9 </w:t>
            </w:r>
          </w:p>
        </w:tc>
        <w:tc>
          <w:tcPr>
            <w:tcW w:w="0" w:type="auto"/>
            <w:shd w:val="clear" w:color="auto" w:fill="FFFFFF"/>
            <w:tcMar>
              <w:top w:w="30" w:type="dxa"/>
              <w:left w:w="0" w:type="dxa"/>
              <w:bottom w:w="30" w:type="dxa"/>
              <w:right w:w="20" w:type="dxa"/>
            </w:tcMar>
            <w:vAlign w:val="bottom"/>
            <w:hideMark/>
          </w:tcPr>
          <w:p w14:paraId="0A2B7A4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F9D3C"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3FE8A8"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3CD310D" w14:textId="77777777" w:rsidR="00000000" w:rsidRDefault="00C01C43">
            <w:pPr>
              <w:jc w:val="right"/>
              <w:rPr>
                <w:rFonts w:eastAsia="Times New Roman"/>
              </w:rPr>
            </w:pPr>
            <w:r>
              <w:rPr>
                <w:rFonts w:ascii="Arial" w:eastAsia="Times New Roman" w:hAnsi="Arial" w:cs="Arial"/>
                <w:color w:val="000000"/>
                <w:sz w:val="20"/>
                <w:szCs w:val="20"/>
              </w:rPr>
              <w:t>54.1 </w:t>
            </w:r>
          </w:p>
        </w:tc>
        <w:tc>
          <w:tcPr>
            <w:tcW w:w="0" w:type="auto"/>
            <w:shd w:val="clear" w:color="auto" w:fill="FFFFFF"/>
            <w:tcMar>
              <w:top w:w="30" w:type="dxa"/>
              <w:left w:w="0" w:type="dxa"/>
              <w:bottom w:w="30" w:type="dxa"/>
              <w:right w:w="20" w:type="dxa"/>
            </w:tcMar>
            <w:vAlign w:val="bottom"/>
            <w:hideMark/>
          </w:tcPr>
          <w:p w14:paraId="41DF8628" w14:textId="77777777" w:rsidR="00000000" w:rsidRDefault="00C01C43">
            <w:pPr>
              <w:jc w:val="right"/>
              <w:rPr>
                <w:rFonts w:eastAsia="Times New Roman"/>
              </w:rPr>
            </w:pPr>
          </w:p>
        </w:tc>
      </w:tr>
      <w:tr w:rsidR="00000000" w14:paraId="38F031B8" w14:textId="77777777">
        <w:trPr>
          <w:divId w:val="1623031252"/>
        </w:trPr>
        <w:tc>
          <w:tcPr>
            <w:tcW w:w="0" w:type="auto"/>
            <w:gridSpan w:val="3"/>
            <w:shd w:val="clear" w:color="auto" w:fill="CCEEFF"/>
            <w:tcMar>
              <w:top w:w="30" w:type="dxa"/>
              <w:left w:w="20" w:type="dxa"/>
              <w:bottom w:w="30" w:type="dxa"/>
              <w:right w:w="20" w:type="dxa"/>
            </w:tcMar>
            <w:vAlign w:val="bottom"/>
            <w:hideMark/>
          </w:tcPr>
          <w:p w14:paraId="73F64D40" w14:textId="77777777" w:rsidR="00000000" w:rsidRDefault="00C01C43">
            <w:pPr>
              <w:rPr>
                <w:rFonts w:eastAsia="Times New Roman"/>
              </w:rPr>
            </w:pPr>
            <w:r>
              <w:rPr>
                <w:rFonts w:ascii="Arial" w:eastAsia="Times New Roman" w:hAnsi="Arial" w:cs="Arial"/>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14:paraId="4AFE96E5" w14:textId="77777777" w:rsidR="00000000" w:rsidRDefault="00C01C43">
            <w:pPr>
              <w:jc w:val="right"/>
              <w:rPr>
                <w:rFonts w:eastAsia="Times New Roman"/>
              </w:rPr>
            </w:pPr>
            <w:r>
              <w:rPr>
                <w:rFonts w:ascii="Arial" w:eastAsia="Times New Roman" w:hAnsi="Arial" w:cs="Arial"/>
                <w:color w:val="000000"/>
                <w:sz w:val="20"/>
                <w:szCs w:val="20"/>
              </w:rPr>
              <w:t>1,214.7 </w:t>
            </w:r>
          </w:p>
        </w:tc>
        <w:tc>
          <w:tcPr>
            <w:tcW w:w="0" w:type="auto"/>
            <w:shd w:val="clear" w:color="auto" w:fill="CCEEFF"/>
            <w:tcMar>
              <w:top w:w="30" w:type="dxa"/>
              <w:left w:w="0" w:type="dxa"/>
              <w:bottom w:w="30" w:type="dxa"/>
              <w:right w:w="20" w:type="dxa"/>
            </w:tcMar>
            <w:vAlign w:val="bottom"/>
            <w:hideMark/>
          </w:tcPr>
          <w:p w14:paraId="23EFB8C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00E6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860932" w14:textId="77777777" w:rsidR="00000000" w:rsidRDefault="00C01C43">
            <w:pPr>
              <w:jc w:val="right"/>
              <w:rPr>
                <w:rFonts w:eastAsia="Times New Roman"/>
              </w:rPr>
            </w:pPr>
            <w:r>
              <w:rPr>
                <w:rFonts w:ascii="Arial" w:eastAsia="Times New Roman" w:hAnsi="Arial" w:cs="Arial"/>
                <w:color w:val="000000"/>
                <w:sz w:val="20"/>
                <w:szCs w:val="20"/>
              </w:rPr>
              <w:t>2,602.7 </w:t>
            </w:r>
          </w:p>
        </w:tc>
        <w:tc>
          <w:tcPr>
            <w:tcW w:w="0" w:type="auto"/>
            <w:shd w:val="clear" w:color="auto" w:fill="CCEEFF"/>
            <w:tcMar>
              <w:top w:w="30" w:type="dxa"/>
              <w:left w:w="0" w:type="dxa"/>
              <w:bottom w:w="30" w:type="dxa"/>
              <w:right w:w="20" w:type="dxa"/>
            </w:tcMar>
            <w:vAlign w:val="bottom"/>
            <w:hideMark/>
          </w:tcPr>
          <w:p w14:paraId="2C1B9357" w14:textId="77777777" w:rsidR="00000000" w:rsidRDefault="00C01C43">
            <w:pPr>
              <w:jc w:val="right"/>
              <w:rPr>
                <w:rFonts w:eastAsia="Times New Roman"/>
              </w:rPr>
            </w:pPr>
          </w:p>
        </w:tc>
      </w:tr>
      <w:tr w:rsidR="00000000" w14:paraId="6C0E455F" w14:textId="77777777">
        <w:trPr>
          <w:divId w:val="1623031252"/>
        </w:trPr>
        <w:tc>
          <w:tcPr>
            <w:tcW w:w="0" w:type="auto"/>
            <w:gridSpan w:val="3"/>
            <w:shd w:val="clear" w:color="auto" w:fill="FFFFFF"/>
            <w:tcMar>
              <w:top w:w="30" w:type="dxa"/>
              <w:left w:w="20" w:type="dxa"/>
              <w:bottom w:w="30" w:type="dxa"/>
              <w:right w:w="20" w:type="dxa"/>
            </w:tcMar>
            <w:vAlign w:val="bottom"/>
            <w:hideMark/>
          </w:tcPr>
          <w:p w14:paraId="71B033C3" w14:textId="77777777" w:rsidR="00000000" w:rsidRDefault="00C01C43">
            <w:pPr>
              <w:rPr>
                <w:rFonts w:eastAsia="Times New Roman"/>
              </w:rPr>
            </w:pPr>
            <w:r>
              <w:rPr>
                <w:rFonts w:ascii="Arial" w:eastAsia="Times New Roman" w:hAnsi="Arial" w:cs="Arial"/>
                <w:color w:val="000000"/>
                <w:sz w:val="20"/>
                <w:szCs w:val="20"/>
              </w:rPr>
              <w:t>Customer deposits</w:t>
            </w:r>
          </w:p>
        </w:tc>
        <w:tc>
          <w:tcPr>
            <w:tcW w:w="0" w:type="auto"/>
            <w:gridSpan w:val="2"/>
            <w:shd w:val="clear" w:color="auto" w:fill="FFFFFF"/>
            <w:tcMar>
              <w:top w:w="30" w:type="dxa"/>
              <w:left w:w="20" w:type="dxa"/>
              <w:bottom w:w="30" w:type="dxa"/>
              <w:right w:w="0" w:type="dxa"/>
            </w:tcMar>
            <w:vAlign w:val="bottom"/>
            <w:hideMark/>
          </w:tcPr>
          <w:p w14:paraId="0FBEAA77" w14:textId="77777777" w:rsidR="00000000" w:rsidRDefault="00C01C43">
            <w:pPr>
              <w:jc w:val="right"/>
              <w:rPr>
                <w:rFonts w:eastAsia="Times New Roman"/>
              </w:rPr>
            </w:pPr>
            <w:r>
              <w:rPr>
                <w:rFonts w:ascii="Arial" w:eastAsia="Times New Roman" w:hAnsi="Arial" w:cs="Arial"/>
                <w:color w:val="000000"/>
                <w:sz w:val="20"/>
                <w:szCs w:val="20"/>
              </w:rPr>
              <w:t>155.8 </w:t>
            </w:r>
          </w:p>
        </w:tc>
        <w:tc>
          <w:tcPr>
            <w:tcW w:w="0" w:type="auto"/>
            <w:shd w:val="clear" w:color="auto" w:fill="FFFFFF"/>
            <w:tcMar>
              <w:top w:w="30" w:type="dxa"/>
              <w:left w:w="0" w:type="dxa"/>
              <w:bottom w:w="30" w:type="dxa"/>
              <w:right w:w="20" w:type="dxa"/>
            </w:tcMar>
            <w:vAlign w:val="bottom"/>
            <w:hideMark/>
          </w:tcPr>
          <w:p w14:paraId="209E5CF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233D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CC34F" w14:textId="77777777" w:rsidR="00000000" w:rsidRDefault="00C01C43">
            <w:pPr>
              <w:jc w:val="right"/>
              <w:rPr>
                <w:rFonts w:eastAsia="Times New Roman"/>
              </w:rPr>
            </w:pPr>
            <w:r>
              <w:rPr>
                <w:rFonts w:ascii="Arial" w:eastAsia="Times New Roman" w:hAnsi="Arial" w:cs="Arial"/>
                <w:color w:val="000000"/>
                <w:sz w:val="20"/>
                <w:szCs w:val="20"/>
              </w:rPr>
              <w:t>126.7 </w:t>
            </w:r>
          </w:p>
        </w:tc>
        <w:tc>
          <w:tcPr>
            <w:tcW w:w="0" w:type="auto"/>
            <w:shd w:val="clear" w:color="auto" w:fill="FFFFFF"/>
            <w:tcMar>
              <w:top w:w="30" w:type="dxa"/>
              <w:left w:w="0" w:type="dxa"/>
              <w:bottom w:w="30" w:type="dxa"/>
              <w:right w:w="20" w:type="dxa"/>
            </w:tcMar>
            <w:vAlign w:val="bottom"/>
            <w:hideMark/>
          </w:tcPr>
          <w:p w14:paraId="578D8AAF" w14:textId="77777777" w:rsidR="00000000" w:rsidRDefault="00C01C43">
            <w:pPr>
              <w:jc w:val="right"/>
              <w:rPr>
                <w:rFonts w:eastAsia="Times New Roman"/>
              </w:rPr>
            </w:pPr>
          </w:p>
        </w:tc>
      </w:tr>
      <w:tr w:rsidR="00000000" w14:paraId="0BA84000" w14:textId="77777777">
        <w:trPr>
          <w:divId w:val="1623031252"/>
        </w:trPr>
        <w:tc>
          <w:tcPr>
            <w:tcW w:w="0" w:type="auto"/>
            <w:gridSpan w:val="3"/>
            <w:shd w:val="clear" w:color="auto" w:fill="CCEEFF"/>
            <w:tcMar>
              <w:top w:w="30" w:type="dxa"/>
              <w:left w:w="20" w:type="dxa"/>
              <w:bottom w:w="30" w:type="dxa"/>
              <w:right w:w="20" w:type="dxa"/>
            </w:tcMar>
            <w:vAlign w:val="bottom"/>
            <w:hideMark/>
          </w:tcPr>
          <w:p w14:paraId="7A8839A1" w14:textId="77777777" w:rsidR="00000000" w:rsidRDefault="00C01C43">
            <w:pPr>
              <w:rPr>
                <w:rFonts w:eastAsia="Times New Roman"/>
              </w:rPr>
            </w:pPr>
            <w:r>
              <w:rPr>
                <w:rFonts w:ascii="Arial" w:eastAsia="Times New Roman" w:hAnsi="Arial" w:cs="Arial"/>
                <w:color w:val="000000"/>
                <w:sz w:val="20"/>
                <w:szCs w:val="20"/>
              </w:rPr>
              <w:t>Accrued expenses and other current liabilities</w:t>
            </w:r>
          </w:p>
        </w:tc>
        <w:tc>
          <w:tcPr>
            <w:tcW w:w="0" w:type="auto"/>
            <w:gridSpan w:val="2"/>
            <w:shd w:val="clear" w:color="auto" w:fill="CCEEFF"/>
            <w:tcMar>
              <w:top w:w="30" w:type="dxa"/>
              <w:left w:w="20" w:type="dxa"/>
              <w:bottom w:w="30" w:type="dxa"/>
              <w:right w:w="0" w:type="dxa"/>
            </w:tcMar>
            <w:vAlign w:val="bottom"/>
            <w:hideMark/>
          </w:tcPr>
          <w:p w14:paraId="5717D9E3" w14:textId="77777777" w:rsidR="00000000" w:rsidRDefault="00C01C43">
            <w:pPr>
              <w:jc w:val="right"/>
              <w:rPr>
                <w:rFonts w:eastAsia="Times New Roman"/>
              </w:rPr>
            </w:pPr>
            <w:r>
              <w:rPr>
                <w:rFonts w:ascii="Arial" w:eastAsia="Times New Roman" w:hAnsi="Arial" w:cs="Arial"/>
                <w:color w:val="000000"/>
                <w:sz w:val="20"/>
                <w:szCs w:val="20"/>
              </w:rPr>
              <w:t>290.6 </w:t>
            </w:r>
          </w:p>
        </w:tc>
        <w:tc>
          <w:tcPr>
            <w:tcW w:w="0" w:type="auto"/>
            <w:shd w:val="clear" w:color="auto" w:fill="CCEEFF"/>
            <w:tcMar>
              <w:top w:w="30" w:type="dxa"/>
              <w:left w:w="0" w:type="dxa"/>
              <w:bottom w:w="30" w:type="dxa"/>
              <w:right w:w="20" w:type="dxa"/>
            </w:tcMar>
            <w:vAlign w:val="bottom"/>
            <w:hideMark/>
          </w:tcPr>
          <w:p w14:paraId="490EB1C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C80B9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71A54E" w14:textId="77777777" w:rsidR="00000000" w:rsidRDefault="00C01C43">
            <w:pPr>
              <w:jc w:val="right"/>
              <w:rPr>
                <w:rFonts w:eastAsia="Times New Roman"/>
              </w:rPr>
            </w:pPr>
            <w:r>
              <w:rPr>
                <w:rFonts w:ascii="Arial" w:eastAsia="Times New Roman" w:hAnsi="Arial" w:cs="Arial"/>
                <w:color w:val="000000"/>
                <w:sz w:val="20"/>
                <w:szCs w:val="20"/>
              </w:rPr>
              <w:t>378.9 </w:t>
            </w:r>
          </w:p>
        </w:tc>
        <w:tc>
          <w:tcPr>
            <w:tcW w:w="0" w:type="auto"/>
            <w:shd w:val="clear" w:color="auto" w:fill="CCEEFF"/>
            <w:tcMar>
              <w:top w:w="30" w:type="dxa"/>
              <w:left w:w="0" w:type="dxa"/>
              <w:bottom w:w="30" w:type="dxa"/>
              <w:right w:w="20" w:type="dxa"/>
            </w:tcMar>
            <w:vAlign w:val="bottom"/>
            <w:hideMark/>
          </w:tcPr>
          <w:p w14:paraId="6EDF6811" w14:textId="77777777" w:rsidR="00000000" w:rsidRDefault="00C01C43">
            <w:pPr>
              <w:jc w:val="right"/>
              <w:rPr>
                <w:rFonts w:eastAsia="Times New Roman"/>
              </w:rPr>
            </w:pPr>
          </w:p>
        </w:tc>
      </w:tr>
      <w:tr w:rsidR="00000000" w14:paraId="5B13EF7E" w14:textId="77777777">
        <w:trPr>
          <w:divId w:val="1623031252"/>
        </w:trPr>
        <w:tc>
          <w:tcPr>
            <w:tcW w:w="0" w:type="auto"/>
            <w:gridSpan w:val="3"/>
            <w:vAlign w:val="center"/>
            <w:hideMark/>
          </w:tcPr>
          <w:p w14:paraId="50AC0229" w14:textId="77777777" w:rsidR="00000000" w:rsidRDefault="00C01C43">
            <w:pPr>
              <w:jc w:val="right"/>
              <w:rPr>
                <w:rFonts w:eastAsia="Times New Roman"/>
                <w:sz w:val="20"/>
                <w:szCs w:val="20"/>
              </w:rPr>
            </w:pPr>
          </w:p>
        </w:tc>
        <w:tc>
          <w:tcPr>
            <w:tcW w:w="0" w:type="auto"/>
            <w:gridSpan w:val="3"/>
            <w:vAlign w:val="center"/>
            <w:hideMark/>
          </w:tcPr>
          <w:p w14:paraId="71DBC7A4" w14:textId="77777777" w:rsidR="00000000" w:rsidRDefault="00C01C43">
            <w:pPr>
              <w:rPr>
                <w:rFonts w:eastAsia="Times New Roman"/>
                <w:sz w:val="20"/>
                <w:szCs w:val="20"/>
              </w:rPr>
            </w:pPr>
          </w:p>
        </w:tc>
        <w:tc>
          <w:tcPr>
            <w:tcW w:w="0" w:type="auto"/>
            <w:gridSpan w:val="3"/>
            <w:vAlign w:val="center"/>
            <w:hideMark/>
          </w:tcPr>
          <w:p w14:paraId="1786DC3C" w14:textId="77777777" w:rsidR="00000000" w:rsidRDefault="00C01C43">
            <w:pPr>
              <w:rPr>
                <w:rFonts w:eastAsia="Times New Roman"/>
                <w:sz w:val="20"/>
                <w:szCs w:val="20"/>
              </w:rPr>
            </w:pPr>
          </w:p>
        </w:tc>
        <w:tc>
          <w:tcPr>
            <w:tcW w:w="0" w:type="auto"/>
            <w:gridSpan w:val="3"/>
            <w:vAlign w:val="center"/>
            <w:hideMark/>
          </w:tcPr>
          <w:p w14:paraId="2BBBB4CD" w14:textId="77777777" w:rsidR="00000000" w:rsidRDefault="00C01C43">
            <w:pPr>
              <w:rPr>
                <w:rFonts w:eastAsia="Times New Roman"/>
                <w:sz w:val="20"/>
                <w:szCs w:val="20"/>
              </w:rPr>
            </w:pPr>
          </w:p>
        </w:tc>
      </w:tr>
      <w:tr w:rsidR="00000000" w14:paraId="450399F7" w14:textId="77777777">
        <w:trPr>
          <w:divId w:val="1623031252"/>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6D79881" w14:textId="77777777" w:rsidR="00000000" w:rsidRDefault="00C01C43">
            <w:pPr>
              <w:rPr>
                <w:rFonts w:eastAsia="Times New Roman"/>
              </w:rPr>
            </w:pPr>
            <w:r>
              <w:rPr>
                <w:rFonts w:ascii="Arial" w:eastAsia="Times New Roman" w:hAnsi="Arial" w:cs="Arial"/>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025DA3" w14:textId="77777777" w:rsidR="00000000" w:rsidRDefault="00C01C43">
            <w:pPr>
              <w:jc w:val="right"/>
              <w:rPr>
                <w:rFonts w:eastAsia="Times New Roman"/>
              </w:rPr>
            </w:pPr>
            <w:r>
              <w:rPr>
                <w:rFonts w:ascii="Arial" w:eastAsia="Times New Roman" w:hAnsi="Arial" w:cs="Arial"/>
                <w:color w:val="000000"/>
                <w:sz w:val="20"/>
                <w:szCs w:val="20"/>
              </w:rPr>
              <w:t>1,684.0 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CF08B6"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8E076F"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BFF494" w14:textId="77777777" w:rsidR="00000000" w:rsidRDefault="00C01C43">
            <w:pPr>
              <w:jc w:val="right"/>
              <w:rPr>
                <w:rFonts w:eastAsia="Times New Roman"/>
              </w:rPr>
            </w:pPr>
            <w:r>
              <w:rPr>
                <w:rFonts w:ascii="Arial" w:eastAsia="Times New Roman" w:hAnsi="Arial" w:cs="Arial"/>
                <w:color w:val="000000"/>
                <w:sz w:val="20"/>
                <w:szCs w:val="20"/>
              </w:rPr>
              <w:t>3,162.4 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16C801" w14:textId="77777777" w:rsidR="00000000" w:rsidRDefault="00C01C43">
            <w:pPr>
              <w:jc w:val="right"/>
              <w:rPr>
                <w:rFonts w:eastAsia="Times New Roman"/>
              </w:rPr>
            </w:pPr>
          </w:p>
        </w:tc>
      </w:tr>
      <w:tr w:rsidR="00000000" w14:paraId="5C82AE48" w14:textId="77777777">
        <w:trPr>
          <w:divId w:val="1623031252"/>
        </w:trPr>
        <w:tc>
          <w:tcPr>
            <w:tcW w:w="0" w:type="auto"/>
            <w:gridSpan w:val="3"/>
            <w:shd w:val="clear" w:color="auto" w:fill="CCEEFF"/>
            <w:tcMar>
              <w:top w:w="30" w:type="dxa"/>
              <w:left w:w="20" w:type="dxa"/>
              <w:bottom w:w="30" w:type="dxa"/>
              <w:right w:w="20" w:type="dxa"/>
            </w:tcMar>
            <w:vAlign w:val="bottom"/>
            <w:hideMark/>
          </w:tcPr>
          <w:p w14:paraId="36367D23" w14:textId="77777777" w:rsidR="00000000" w:rsidRDefault="00C01C43">
            <w:pPr>
              <w:rPr>
                <w:rFonts w:eastAsia="Times New Roman"/>
              </w:rPr>
            </w:pPr>
            <w:r>
              <w:rPr>
                <w:rFonts w:ascii="Arial" w:eastAsia="Times New Roman" w:hAnsi="Arial" w:cs="Arial"/>
                <w:color w:val="000000"/>
                <w:sz w:val="20"/>
                <w:szCs w:val="20"/>
              </w:rPr>
              <w:t>Long-term deb</w:t>
            </w:r>
            <w:r>
              <w:rPr>
                <w:rFonts w:ascii="Arial" w:eastAsia="Times New Roman" w:hAnsi="Arial" w:cs="Arial"/>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636B6A79" w14:textId="77777777" w:rsidR="00000000" w:rsidRDefault="00C01C43">
            <w:pPr>
              <w:jc w:val="right"/>
              <w:rPr>
                <w:rFonts w:eastAsia="Times New Roman"/>
              </w:rPr>
            </w:pPr>
            <w:r>
              <w:rPr>
                <w:rFonts w:ascii="Arial" w:eastAsia="Times New Roman" w:hAnsi="Arial" w:cs="Arial"/>
                <w:color w:val="000000"/>
                <w:sz w:val="20"/>
                <w:szCs w:val="20"/>
              </w:rPr>
              <w:t>501.8 </w:t>
            </w:r>
          </w:p>
        </w:tc>
        <w:tc>
          <w:tcPr>
            <w:tcW w:w="0" w:type="auto"/>
            <w:shd w:val="clear" w:color="auto" w:fill="CCEEFF"/>
            <w:tcMar>
              <w:top w:w="30" w:type="dxa"/>
              <w:left w:w="0" w:type="dxa"/>
              <w:bottom w:w="30" w:type="dxa"/>
              <w:right w:w="20" w:type="dxa"/>
            </w:tcMar>
            <w:vAlign w:val="bottom"/>
            <w:hideMark/>
          </w:tcPr>
          <w:p w14:paraId="2AE09E1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DB50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B734EC" w14:textId="77777777" w:rsidR="00000000" w:rsidRDefault="00C01C43">
            <w:pPr>
              <w:jc w:val="right"/>
              <w:rPr>
                <w:rFonts w:eastAsia="Times New Roman"/>
              </w:rPr>
            </w:pPr>
            <w:r>
              <w:rPr>
                <w:rFonts w:ascii="Arial" w:eastAsia="Times New Roman" w:hAnsi="Arial" w:cs="Arial"/>
                <w:color w:val="000000"/>
                <w:sz w:val="20"/>
                <w:szCs w:val="20"/>
              </w:rPr>
              <w:t>574.7 </w:t>
            </w:r>
          </w:p>
        </w:tc>
        <w:tc>
          <w:tcPr>
            <w:tcW w:w="0" w:type="auto"/>
            <w:shd w:val="clear" w:color="auto" w:fill="CCEEFF"/>
            <w:tcMar>
              <w:top w:w="30" w:type="dxa"/>
              <w:left w:w="0" w:type="dxa"/>
              <w:bottom w:w="30" w:type="dxa"/>
              <w:right w:w="20" w:type="dxa"/>
            </w:tcMar>
            <w:vAlign w:val="bottom"/>
            <w:hideMark/>
          </w:tcPr>
          <w:p w14:paraId="5B7617FA" w14:textId="77777777" w:rsidR="00000000" w:rsidRDefault="00C01C43">
            <w:pPr>
              <w:jc w:val="right"/>
              <w:rPr>
                <w:rFonts w:eastAsia="Times New Roman"/>
              </w:rPr>
            </w:pPr>
          </w:p>
        </w:tc>
      </w:tr>
      <w:tr w:rsidR="00000000" w14:paraId="6C460D93" w14:textId="77777777">
        <w:trPr>
          <w:divId w:val="1623031252"/>
        </w:trPr>
        <w:tc>
          <w:tcPr>
            <w:tcW w:w="0" w:type="auto"/>
            <w:gridSpan w:val="3"/>
            <w:shd w:val="clear" w:color="auto" w:fill="FFFFFF"/>
            <w:tcMar>
              <w:top w:w="30" w:type="dxa"/>
              <w:left w:w="20" w:type="dxa"/>
              <w:bottom w:w="30" w:type="dxa"/>
              <w:right w:w="20" w:type="dxa"/>
            </w:tcMar>
            <w:vAlign w:val="bottom"/>
            <w:hideMark/>
          </w:tcPr>
          <w:p w14:paraId="1C64DF8B" w14:textId="77777777" w:rsidR="00000000" w:rsidRDefault="00C01C43">
            <w:pPr>
              <w:rPr>
                <w:rFonts w:eastAsia="Times New Roman"/>
              </w:rPr>
            </w:pPr>
            <w:r>
              <w:rPr>
                <w:rFonts w:ascii="Arial" w:eastAsia="Times New Roman" w:hAnsi="Arial" w:cs="Arial"/>
                <w:color w:val="000000"/>
                <w:sz w:val="20"/>
                <w:szCs w:val="20"/>
              </w:rPr>
              <w:t>Non-current income tax liabilities, net</w:t>
            </w:r>
          </w:p>
        </w:tc>
        <w:tc>
          <w:tcPr>
            <w:tcW w:w="0" w:type="auto"/>
            <w:gridSpan w:val="2"/>
            <w:shd w:val="clear" w:color="auto" w:fill="FFFFFF"/>
            <w:tcMar>
              <w:top w:w="30" w:type="dxa"/>
              <w:left w:w="20" w:type="dxa"/>
              <w:bottom w:w="30" w:type="dxa"/>
              <w:right w:w="0" w:type="dxa"/>
            </w:tcMar>
            <w:vAlign w:val="bottom"/>
            <w:hideMark/>
          </w:tcPr>
          <w:p w14:paraId="64E093BD" w14:textId="77777777" w:rsidR="00000000" w:rsidRDefault="00C01C43">
            <w:pPr>
              <w:jc w:val="right"/>
              <w:rPr>
                <w:rFonts w:eastAsia="Times New Roman"/>
              </w:rPr>
            </w:pPr>
            <w:r>
              <w:rPr>
                <w:rFonts w:ascii="Arial" w:eastAsia="Times New Roman" w:hAnsi="Arial" w:cs="Arial"/>
                <w:color w:val="000000"/>
                <w:sz w:val="20"/>
                <w:szCs w:val="20"/>
              </w:rPr>
              <w:t>215.5 </w:t>
            </w:r>
          </w:p>
        </w:tc>
        <w:tc>
          <w:tcPr>
            <w:tcW w:w="0" w:type="auto"/>
            <w:shd w:val="clear" w:color="auto" w:fill="FFFFFF"/>
            <w:tcMar>
              <w:top w:w="30" w:type="dxa"/>
              <w:left w:w="0" w:type="dxa"/>
              <w:bottom w:w="30" w:type="dxa"/>
              <w:right w:w="20" w:type="dxa"/>
            </w:tcMar>
            <w:vAlign w:val="bottom"/>
            <w:hideMark/>
          </w:tcPr>
          <w:p w14:paraId="1690950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B0E49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3E222F" w14:textId="77777777" w:rsidR="00000000" w:rsidRDefault="00C01C43">
            <w:pPr>
              <w:jc w:val="right"/>
              <w:rPr>
                <w:rFonts w:eastAsia="Times New Roman"/>
              </w:rPr>
            </w:pPr>
            <w:r>
              <w:rPr>
                <w:rFonts w:ascii="Arial" w:eastAsia="Times New Roman" w:hAnsi="Arial" w:cs="Arial"/>
                <w:color w:val="000000"/>
                <w:sz w:val="20"/>
                <w:szCs w:val="20"/>
              </w:rPr>
              <w:t>210.1 </w:t>
            </w:r>
          </w:p>
        </w:tc>
        <w:tc>
          <w:tcPr>
            <w:tcW w:w="0" w:type="auto"/>
            <w:shd w:val="clear" w:color="auto" w:fill="FFFFFF"/>
            <w:tcMar>
              <w:top w:w="30" w:type="dxa"/>
              <w:left w:w="0" w:type="dxa"/>
              <w:bottom w:w="30" w:type="dxa"/>
              <w:right w:w="20" w:type="dxa"/>
            </w:tcMar>
            <w:vAlign w:val="bottom"/>
            <w:hideMark/>
          </w:tcPr>
          <w:p w14:paraId="0EB26129" w14:textId="77777777" w:rsidR="00000000" w:rsidRDefault="00C01C43">
            <w:pPr>
              <w:jc w:val="right"/>
              <w:rPr>
                <w:rFonts w:eastAsia="Times New Roman"/>
              </w:rPr>
            </w:pPr>
          </w:p>
        </w:tc>
      </w:tr>
      <w:tr w:rsidR="00000000" w14:paraId="437CEEE6" w14:textId="77777777">
        <w:trPr>
          <w:divId w:val="1623031252"/>
        </w:trPr>
        <w:tc>
          <w:tcPr>
            <w:tcW w:w="0" w:type="auto"/>
            <w:gridSpan w:val="3"/>
            <w:shd w:val="clear" w:color="auto" w:fill="CCEEFF"/>
            <w:tcMar>
              <w:top w:w="30" w:type="dxa"/>
              <w:left w:w="20" w:type="dxa"/>
              <w:bottom w:w="30" w:type="dxa"/>
              <w:right w:w="20" w:type="dxa"/>
            </w:tcMar>
            <w:vAlign w:val="bottom"/>
            <w:hideMark/>
          </w:tcPr>
          <w:p w14:paraId="5683BCA2" w14:textId="77777777" w:rsidR="00000000" w:rsidRDefault="00C01C43">
            <w:pPr>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CCEEFF"/>
            <w:tcMar>
              <w:top w:w="30" w:type="dxa"/>
              <w:left w:w="20" w:type="dxa"/>
              <w:bottom w:w="30" w:type="dxa"/>
              <w:right w:w="0" w:type="dxa"/>
            </w:tcMar>
            <w:vAlign w:val="bottom"/>
            <w:hideMark/>
          </w:tcPr>
          <w:p w14:paraId="16E872FD" w14:textId="77777777" w:rsidR="00000000" w:rsidRDefault="00C01C43">
            <w:pPr>
              <w:jc w:val="right"/>
              <w:rPr>
                <w:rFonts w:eastAsia="Times New Roman"/>
              </w:rPr>
            </w:pPr>
            <w:r>
              <w:rPr>
                <w:rFonts w:ascii="Arial" w:eastAsia="Times New Roman" w:hAnsi="Arial" w:cs="Arial"/>
                <w:color w:val="000000"/>
                <w:sz w:val="20"/>
                <w:szCs w:val="20"/>
              </w:rPr>
              <w:t>186.1 </w:t>
            </w:r>
          </w:p>
        </w:tc>
        <w:tc>
          <w:tcPr>
            <w:tcW w:w="0" w:type="auto"/>
            <w:shd w:val="clear" w:color="auto" w:fill="CCEEFF"/>
            <w:tcMar>
              <w:top w:w="30" w:type="dxa"/>
              <w:left w:w="0" w:type="dxa"/>
              <w:bottom w:w="30" w:type="dxa"/>
              <w:right w:w="20" w:type="dxa"/>
            </w:tcMar>
            <w:vAlign w:val="bottom"/>
            <w:hideMark/>
          </w:tcPr>
          <w:p w14:paraId="6E90091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BA4FA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8EF42A" w14:textId="77777777" w:rsidR="00000000" w:rsidRDefault="00C01C43">
            <w:pPr>
              <w:jc w:val="right"/>
              <w:rPr>
                <w:rFonts w:eastAsia="Times New Roman"/>
              </w:rPr>
            </w:pPr>
            <w:r>
              <w:rPr>
                <w:rFonts w:ascii="Arial" w:eastAsia="Times New Roman" w:hAnsi="Arial" w:cs="Arial"/>
                <w:color w:val="000000"/>
                <w:sz w:val="20"/>
                <w:szCs w:val="20"/>
              </w:rPr>
              <w:t>151.3 </w:t>
            </w:r>
          </w:p>
        </w:tc>
        <w:tc>
          <w:tcPr>
            <w:tcW w:w="0" w:type="auto"/>
            <w:shd w:val="clear" w:color="auto" w:fill="CCEEFF"/>
            <w:tcMar>
              <w:top w:w="30" w:type="dxa"/>
              <w:left w:w="0" w:type="dxa"/>
              <w:bottom w:w="30" w:type="dxa"/>
              <w:right w:w="20" w:type="dxa"/>
            </w:tcMar>
            <w:vAlign w:val="bottom"/>
            <w:hideMark/>
          </w:tcPr>
          <w:p w14:paraId="0B39CD12" w14:textId="77777777" w:rsidR="00000000" w:rsidRDefault="00C01C43">
            <w:pPr>
              <w:jc w:val="right"/>
              <w:rPr>
                <w:rFonts w:eastAsia="Times New Roman"/>
              </w:rPr>
            </w:pPr>
          </w:p>
        </w:tc>
      </w:tr>
      <w:tr w:rsidR="00000000" w14:paraId="1924C3F3" w14:textId="77777777">
        <w:trPr>
          <w:divId w:val="1623031252"/>
        </w:trPr>
        <w:tc>
          <w:tcPr>
            <w:tcW w:w="0" w:type="auto"/>
            <w:gridSpan w:val="3"/>
            <w:vAlign w:val="center"/>
            <w:hideMark/>
          </w:tcPr>
          <w:p w14:paraId="2AE5D2B6" w14:textId="77777777" w:rsidR="00000000" w:rsidRDefault="00C01C43">
            <w:pPr>
              <w:jc w:val="right"/>
              <w:rPr>
                <w:rFonts w:eastAsia="Times New Roman"/>
                <w:sz w:val="20"/>
                <w:szCs w:val="20"/>
              </w:rPr>
            </w:pPr>
          </w:p>
        </w:tc>
        <w:tc>
          <w:tcPr>
            <w:tcW w:w="0" w:type="auto"/>
            <w:gridSpan w:val="3"/>
            <w:vAlign w:val="center"/>
            <w:hideMark/>
          </w:tcPr>
          <w:p w14:paraId="4DD14BD6" w14:textId="77777777" w:rsidR="00000000" w:rsidRDefault="00C01C43">
            <w:pPr>
              <w:rPr>
                <w:rFonts w:eastAsia="Times New Roman"/>
                <w:sz w:val="20"/>
                <w:szCs w:val="20"/>
              </w:rPr>
            </w:pPr>
          </w:p>
        </w:tc>
        <w:tc>
          <w:tcPr>
            <w:tcW w:w="0" w:type="auto"/>
            <w:gridSpan w:val="3"/>
            <w:vAlign w:val="center"/>
            <w:hideMark/>
          </w:tcPr>
          <w:p w14:paraId="715721A9" w14:textId="77777777" w:rsidR="00000000" w:rsidRDefault="00C01C43">
            <w:pPr>
              <w:rPr>
                <w:rFonts w:eastAsia="Times New Roman"/>
                <w:sz w:val="20"/>
                <w:szCs w:val="20"/>
              </w:rPr>
            </w:pPr>
          </w:p>
        </w:tc>
        <w:tc>
          <w:tcPr>
            <w:tcW w:w="0" w:type="auto"/>
            <w:gridSpan w:val="3"/>
            <w:vAlign w:val="center"/>
            <w:hideMark/>
          </w:tcPr>
          <w:p w14:paraId="36B35731" w14:textId="77777777" w:rsidR="00000000" w:rsidRDefault="00C01C43">
            <w:pPr>
              <w:rPr>
                <w:rFonts w:eastAsia="Times New Roman"/>
                <w:sz w:val="20"/>
                <w:szCs w:val="20"/>
              </w:rPr>
            </w:pPr>
          </w:p>
        </w:tc>
      </w:tr>
      <w:tr w:rsidR="00000000" w14:paraId="4647A1AB" w14:textId="77777777">
        <w:trPr>
          <w:divId w:val="1623031252"/>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27E1041" w14:textId="77777777" w:rsidR="00000000" w:rsidRDefault="00C01C43">
            <w:pPr>
              <w:rPr>
                <w:rFonts w:eastAsia="Times New Roman"/>
              </w:rPr>
            </w:pPr>
            <w:r>
              <w:rPr>
                <w:rFonts w:ascii="Arial" w:eastAsia="Times New Roman" w:hAnsi="Arial" w:cs="Arial"/>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425253" w14:textId="77777777" w:rsidR="00000000" w:rsidRDefault="00C01C43">
            <w:pPr>
              <w:jc w:val="right"/>
              <w:rPr>
                <w:rFonts w:eastAsia="Times New Roman"/>
              </w:rPr>
            </w:pPr>
            <w:r>
              <w:rPr>
                <w:rFonts w:ascii="Arial" w:eastAsia="Times New Roman" w:hAnsi="Arial" w:cs="Arial"/>
                <w:color w:val="000000"/>
                <w:sz w:val="20"/>
                <w:szCs w:val="20"/>
              </w:rPr>
              <w:t>2,587.4 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5D0348"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B53C5C9"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D787C3" w14:textId="77777777" w:rsidR="00000000" w:rsidRDefault="00C01C43">
            <w:pPr>
              <w:jc w:val="right"/>
              <w:rPr>
                <w:rFonts w:eastAsia="Times New Roman"/>
              </w:rPr>
            </w:pPr>
            <w:r>
              <w:rPr>
                <w:rFonts w:ascii="Arial" w:eastAsia="Times New Roman" w:hAnsi="Arial" w:cs="Arial"/>
                <w:color w:val="000000"/>
                <w:sz w:val="20"/>
                <w:szCs w:val="20"/>
              </w:rPr>
              <w:t>4,098.5 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801237" w14:textId="77777777" w:rsidR="00000000" w:rsidRDefault="00C01C43">
            <w:pPr>
              <w:jc w:val="right"/>
              <w:rPr>
                <w:rFonts w:eastAsia="Times New Roman"/>
              </w:rPr>
            </w:pPr>
          </w:p>
        </w:tc>
      </w:tr>
      <w:tr w:rsidR="00000000" w14:paraId="4672769B" w14:textId="77777777">
        <w:trPr>
          <w:divId w:val="16230312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5120738" w14:textId="77777777" w:rsidR="00000000" w:rsidRDefault="00C01C43">
            <w:pPr>
              <w:rPr>
                <w:rFonts w:eastAsia="Times New Roman"/>
              </w:rPr>
            </w:pPr>
            <w:r>
              <w:rPr>
                <w:rFonts w:ascii="Arial" w:eastAsia="Times New Roman" w:hAnsi="Arial" w:cs="Arial"/>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ABD0F9"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7CD44B"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E93A68" w14:textId="77777777" w:rsidR="00000000" w:rsidRDefault="00C01C43">
            <w:pPr>
              <w:rPr>
                <w:rFonts w:eastAsia="Times New Roman"/>
                <w:sz w:val="20"/>
                <w:szCs w:val="20"/>
              </w:rPr>
            </w:pPr>
          </w:p>
        </w:tc>
      </w:tr>
      <w:tr w:rsidR="00000000" w14:paraId="12E84DF6" w14:textId="77777777">
        <w:trPr>
          <w:divId w:val="1623031252"/>
        </w:trPr>
        <w:tc>
          <w:tcPr>
            <w:tcW w:w="0" w:type="auto"/>
            <w:gridSpan w:val="3"/>
            <w:shd w:val="clear" w:color="auto" w:fill="FFFFFF"/>
            <w:tcMar>
              <w:top w:w="30" w:type="dxa"/>
              <w:left w:w="20" w:type="dxa"/>
              <w:bottom w:w="30" w:type="dxa"/>
              <w:right w:w="20" w:type="dxa"/>
            </w:tcMar>
            <w:vAlign w:val="bottom"/>
            <w:hideMark/>
          </w:tcPr>
          <w:p w14:paraId="303CF572" w14:textId="77777777" w:rsidR="00000000" w:rsidRDefault="00C01C43">
            <w:pPr>
              <w:rPr>
                <w:rFonts w:eastAsia="Times New Roman"/>
              </w:rPr>
            </w:pPr>
            <w:r>
              <w:rPr>
                <w:rFonts w:ascii="Arial" w:eastAsia="Times New Roman" w:hAnsi="Arial" w:cs="Arial"/>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14:paraId="2DA0E7CA" w14:textId="77777777" w:rsidR="00000000" w:rsidRDefault="00C01C43">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8EDE7"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FB6F43" w14:textId="77777777" w:rsidR="00000000" w:rsidRDefault="00C01C43">
            <w:pPr>
              <w:rPr>
                <w:rFonts w:eastAsia="Times New Roman"/>
                <w:sz w:val="20"/>
                <w:szCs w:val="20"/>
              </w:rPr>
            </w:pPr>
          </w:p>
        </w:tc>
      </w:tr>
      <w:tr w:rsidR="00000000" w14:paraId="7DD6B009" w14:textId="77777777">
        <w:trPr>
          <w:divId w:val="1623031252"/>
        </w:trPr>
        <w:tc>
          <w:tcPr>
            <w:tcW w:w="0" w:type="auto"/>
            <w:gridSpan w:val="3"/>
            <w:shd w:val="clear" w:color="auto" w:fill="CCEEFF"/>
            <w:tcMar>
              <w:top w:w="30" w:type="dxa"/>
              <w:left w:w="20" w:type="dxa"/>
              <w:bottom w:w="30" w:type="dxa"/>
              <w:right w:w="20" w:type="dxa"/>
            </w:tcMar>
            <w:vAlign w:val="bottom"/>
            <w:hideMark/>
          </w:tcPr>
          <w:p w14:paraId="75038A11" w14:textId="77777777" w:rsidR="00000000" w:rsidRDefault="00C01C43">
            <w:pPr>
              <w:rPr>
                <w:rFonts w:eastAsia="Times New Roman"/>
              </w:rPr>
            </w:pPr>
            <w:r>
              <w:rPr>
                <w:rFonts w:ascii="Arial" w:eastAsia="Times New Roman" w:hAnsi="Arial" w:cs="Arial"/>
                <w:color w:val="000000"/>
                <w:sz w:val="20"/>
                <w:szCs w:val="20"/>
              </w:rPr>
              <w:t>World Fuel shareholders' equity:</w:t>
            </w:r>
          </w:p>
        </w:tc>
        <w:tc>
          <w:tcPr>
            <w:tcW w:w="0" w:type="auto"/>
            <w:gridSpan w:val="3"/>
            <w:shd w:val="clear" w:color="auto" w:fill="CCEEFF"/>
            <w:tcMar>
              <w:top w:w="0" w:type="dxa"/>
              <w:left w:w="20" w:type="dxa"/>
              <w:bottom w:w="0" w:type="dxa"/>
              <w:right w:w="20" w:type="dxa"/>
            </w:tcMar>
            <w:vAlign w:val="center"/>
            <w:hideMark/>
          </w:tcPr>
          <w:p w14:paraId="23D494C1" w14:textId="77777777" w:rsidR="00000000" w:rsidRDefault="00C01C4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5B7D37"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DF7D4D" w14:textId="77777777" w:rsidR="00000000" w:rsidRDefault="00C01C43">
            <w:pPr>
              <w:rPr>
                <w:rFonts w:eastAsia="Times New Roman"/>
                <w:sz w:val="20"/>
                <w:szCs w:val="20"/>
              </w:rPr>
            </w:pPr>
          </w:p>
        </w:tc>
      </w:tr>
      <w:tr w:rsidR="00000000" w14:paraId="270C4DD0" w14:textId="77777777">
        <w:trPr>
          <w:divId w:val="1623031252"/>
        </w:trPr>
        <w:tc>
          <w:tcPr>
            <w:tcW w:w="0" w:type="auto"/>
            <w:gridSpan w:val="3"/>
            <w:shd w:val="clear" w:color="auto" w:fill="FFFFFF"/>
            <w:tcMar>
              <w:top w:w="30" w:type="dxa"/>
              <w:left w:w="20" w:type="dxa"/>
              <w:bottom w:w="30" w:type="dxa"/>
              <w:right w:w="20" w:type="dxa"/>
            </w:tcMar>
            <w:vAlign w:val="bottom"/>
            <w:hideMark/>
          </w:tcPr>
          <w:p w14:paraId="302C4AE6" w14:textId="77777777" w:rsidR="00000000" w:rsidRDefault="00C01C43">
            <w:pPr>
              <w:divId w:val="870844992"/>
              <w:rPr>
                <w:rFonts w:eastAsia="Times New Roman"/>
              </w:rPr>
            </w:pPr>
            <w:r>
              <w:rPr>
                <w:rFonts w:ascii="Arial" w:eastAsia="Times New Roman" w:hAnsi="Arial" w:cs="Arial"/>
                <w:color w:val="000000"/>
                <w:sz w:val="20"/>
                <w:szCs w:val="20"/>
              </w:rPr>
              <w:t>Preferred stock, $1.00 par value; 0.1 shares authorized, none issued</w:t>
            </w:r>
          </w:p>
        </w:tc>
        <w:tc>
          <w:tcPr>
            <w:tcW w:w="0" w:type="auto"/>
            <w:gridSpan w:val="2"/>
            <w:shd w:val="clear" w:color="auto" w:fill="FFFFFF"/>
            <w:tcMar>
              <w:top w:w="30" w:type="dxa"/>
              <w:left w:w="20" w:type="dxa"/>
              <w:bottom w:w="30" w:type="dxa"/>
              <w:right w:w="0" w:type="dxa"/>
            </w:tcMar>
            <w:vAlign w:val="bottom"/>
            <w:hideMark/>
          </w:tcPr>
          <w:p w14:paraId="2E421653"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85F2D8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2FA9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3495E7"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2677BFD" w14:textId="77777777" w:rsidR="00000000" w:rsidRDefault="00C01C43">
            <w:pPr>
              <w:jc w:val="right"/>
              <w:rPr>
                <w:rFonts w:eastAsia="Times New Roman"/>
              </w:rPr>
            </w:pPr>
          </w:p>
        </w:tc>
      </w:tr>
      <w:tr w:rsidR="00000000" w14:paraId="7831B402" w14:textId="77777777">
        <w:trPr>
          <w:divId w:val="1623031252"/>
        </w:trPr>
        <w:tc>
          <w:tcPr>
            <w:tcW w:w="0" w:type="auto"/>
            <w:gridSpan w:val="3"/>
            <w:shd w:val="clear" w:color="auto" w:fill="CCEEFF"/>
            <w:tcMar>
              <w:top w:w="30" w:type="dxa"/>
              <w:left w:w="20" w:type="dxa"/>
              <w:bottom w:w="30" w:type="dxa"/>
              <w:right w:w="20" w:type="dxa"/>
            </w:tcMar>
            <w:vAlign w:val="bottom"/>
            <w:hideMark/>
          </w:tcPr>
          <w:p w14:paraId="1E11E12F" w14:textId="77777777" w:rsidR="00000000" w:rsidRDefault="00C01C43">
            <w:pPr>
              <w:divId w:val="995575507"/>
              <w:rPr>
                <w:rFonts w:eastAsia="Times New Roman"/>
              </w:rPr>
            </w:pPr>
            <w:r>
              <w:rPr>
                <w:rFonts w:ascii="Arial" w:eastAsia="Times New Roman" w:hAnsi="Arial" w:cs="Arial"/>
                <w:color w:val="000000"/>
                <w:sz w:val="20"/>
                <w:szCs w:val="20"/>
              </w:rPr>
              <w:t xml:space="preserve">Common stock, $0.01 par value; 100.0 </w:t>
            </w:r>
            <w:r>
              <w:rPr>
                <w:rFonts w:ascii="Arial" w:eastAsia="Times New Roman" w:hAnsi="Arial" w:cs="Arial"/>
                <w:color w:val="000000"/>
                <w:sz w:val="20"/>
                <w:szCs w:val="20"/>
              </w:rPr>
              <w:t>shares authorized, 62.9 and 65.2 issued and outstanding as of December 31, 2020 and 2019, respectively</w:t>
            </w:r>
          </w:p>
        </w:tc>
        <w:tc>
          <w:tcPr>
            <w:tcW w:w="0" w:type="auto"/>
            <w:gridSpan w:val="2"/>
            <w:shd w:val="clear" w:color="auto" w:fill="CCEEFF"/>
            <w:tcMar>
              <w:top w:w="30" w:type="dxa"/>
              <w:left w:w="20" w:type="dxa"/>
              <w:bottom w:w="30" w:type="dxa"/>
              <w:right w:w="0" w:type="dxa"/>
            </w:tcMar>
            <w:vAlign w:val="bottom"/>
            <w:hideMark/>
          </w:tcPr>
          <w:p w14:paraId="2EF87987" w14:textId="77777777" w:rsidR="00000000" w:rsidRDefault="00C01C43">
            <w:pPr>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14:paraId="0D5B056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A7C8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B857E0" w14:textId="77777777" w:rsidR="00000000" w:rsidRDefault="00C01C43">
            <w:pPr>
              <w:jc w:val="right"/>
              <w:rPr>
                <w:rFonts w:eastAsia="Times New Roman"/>
              </w:rPr>
            </w:pPr>
            <w:r>
              <w:rPr>
                <w:rFonts w:ascii="Arial" w:eastAsia="Times New Roman" w:hAnsi="Arial" w:cs="Arial"/>
                <w:color w:val="000000"/>
                <w:sz w:val="20"/>
                <w:szCs w:val="20"/>
              </w:rPr>
              <w:t>0.7 </w:t>
            </w:r>
          </w:p>
        </w:tc>
        <w:tc>
          <w:tcPr>
            <w:tcW w:w="0" w:type="auto"/>
            <w:shd w:val="clear" w:color="auto" w:fill="CCEEFF"/>
            <w:tcMar>
              <w:top w:w="30" w:type="dxa"/>
              <w:left w:w="0" w:type="dxa"/>
              <w:bottom w:w="30" w:type="dxa"/>
              <w:right w:w="20" w:type="dxa"/>
            </w:tcMar>
            <w:vAlign w:val="bottom"/>
            <w:hideMark/>
          </w:tcPr>
          <w:p w14:paraId="301030ED" w14:textId="77777777" w:rsidR="00000000" w:rsidRDefault="00C01C43">
            <w:pPr>
              <w:jc w:val="right"/>
              <w:rPr>
                <w:rFonts w:eastAsia="Times New Roman"/>
              </w:rPr>
            </w:pPr>
          </w:p>
        </w:tc>
      </w:tr>
      <w:tr w:rsidR="00000000" w14:paraId="09636AB4" w14:textId="77777777">
        <w:trPr>
          <w:divId w:val="1623031252"/>
        </w:trPr>
        <w:tc>
          <w:tcPr>
            <w:tcW w:w="0" w:type="auto"/>
            <w:gridSpan w:val="3"/>
            <w:shd w:val="clear" w:color="auto" w:fill="FFFFFF"/>
            <w:tcMar>
              <w:top w:w="30" w:type="dxa"/>
              <w:left w:w="20" w:type="dxa"/>
              <w:bottom w:w="30" w:type="dxa"/>
              <w:right w:w="20" w:type="dxa"/>
            </w:tcMar>
            <w:vAlign w:val="bottom"/>
            <w:hideMark/>
          </w:tcPr>
          <w:p w14:paraId="25D3AE9C" w14:textId="77777777" w:rsidR="00000000" w:rsidRDefault="00C01C43">
            <w:pPr>
              <w:rPr>
                <w:rFonts w:eastAsia="Times New Roman"/>
              </w:rPr>
            </w:pPr>
            <w:r>
              <w:rPr>
                <w:rFonts w:ascii="Arial" w:eastAsia="Times New Roman" w:hAnsi="Arial" w:cs="Arial"/>
                <w:color w:val="000000"/>
                <w:sz w:val="20"/>
                <w:szCs w:val="20"/>
              </w:rPr>
              <w:t>Capital in excess of par value</w:t>
            </w:r>
          </w:p>
        </w:tc>
        <w:tc>
          <w:tcPr>
            <w:tcW w:w="0" w:type="auto"/>
            <w:gridSpan w:val="2"/>
            <w:shd w:val="clear" w:color="auto" w:fill="FFFFFF"/>
            <w:tcMar>
              <w:top w:w="30" w:type="dxa"/>
              <w:left w:w="20" w:type="dxa"/>
              <w:bottom w:w="30" w:type="dxa"/>
              <w:right w:w="0" w:type="dxa"/>
            </w:tcMar>
            <w:vAlign w:val="bottom"/>
            <w:hideMark/>
          </w:tcPr>
          <w:p w14:paraId="44DE5024" w14:textId="77777777" w:rsidR="00000000" w:rsidRDefault="00C01C43">
            <w:pPr>
              <w:jc w:val="right"/>
              <w:rPr>
                <w:rFonts w:eastAsia="Times New Roman"/>
              </w:rPr>
            </w:pPr>
            <w:r>
              <w:rPr>
                <w:rFonts w:ascii="Arial" w:eastAsia="Times New Roman" w:hAnsi="Arial" w:cs="Arial"/>
                <w:color w:val="000000"/>
                <w:sz w:val="20"/>
                <w:szCs w:val="20"/>
              </w:rPr>
              <w:t>204.6 </w:t>
            </w:r>
          </w:p>
        </w:tc>
        <w:tc>
          <w:tcPr>
            <w:tcW w:w="0" w:type="auto"/>
            <w:shd w:val="clear" w:color="auto" w:fill="FFFFFF"/>
            <w:tcMar>
              <w:top w:w="30" w:type="dxa"/>
              <w:left w:w="0" w:type="dxa"/>
              <w:bottom w:w="30" w:type="dxa"/>
              <w:right w:w="20" w:type="dxa"/>
            </w:tcMar>
            <w:vAlign w:val="bottom"/>
            <w:hideMark/>
          </w:tcPr>
          <w:p w14:paraId="1FB55B2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5E9F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9D6E90" w14:textId="77777777" w:rsidR="00000000" w:rsidRDefault="00C01C43">
            <w:pPr>
              <w:jc w:val="right"/>
              <w:rPr>
                <w:rFonts w:eastAsia="Times New Roman"/>
              </w:rPr>
            </w:pPr>
            <w:r>
              <w:rPr>
                <w:rFonts w:ascii="Arial" w:eastAsia="Times New Roman" w:hAnsi="Arial" w:cs="Arial"/>
                <w:color w:val="000000"/>
                <w:sz w:val="20"/>
                <w:szCs w:val="20"/>
              </w:rPr>
              <w:t>274.7 </w:t>
            </w:r>
          </w:p>
        </w:tc>
        <w:tc>
          <w:tcPr>
            <w:tcW w:w="0" w:type="auto"/>
            <w:shd w:val="clear" w:color="auto" w:fill="FFFFFF"/>
            <w:tcMar>
              <w:top w:w="30" w:type="dxa"/>
              <w:left w:w="0" w:type="dxa"/>
              <w:bottom w:w="30" w:type="dxa"/>
              <w:right w:w="20" w:type="dxa"/>
            </w:tcMar>
            <w:vAlign w:val="bottom"/>
            <w:hideMark/>
          </w:tcPr>
          <w:p w14:paraId="43A76F3E" w14:textId="77777777" w:rsidR="00000000" w:rsidRDefault="00C01C43">
            <w:pPr>
              <w:jc w:val="right"/>
              <w:rPr>
                <w:rFonts w:eastAsia="Times New Roman"/>
              </w:rPr>
            </w:pPr>
          </w:p>
        </w:tc>
      </w:tr>
      <w:tr w:rsidR="00000000" w14:paraId="57158307" w14:textId="77777777">
        <w:trPr>
          <w:divId w:val="1623031252"/>
        </w:trPr>
        <w:tc>
          <w:tcPr>
            <w:tcW w:w="0" w:type="auto"/>
            <w:gridSpan w:val="3"/>
            <w:shd w:val="clear" w:color="auto" w:fill="CCEEFF"/>
            <w:tcMar>
              <w:top w:w="30" w:type="dxa"/>
              <w:left w:w="20" w:type="dxa"/>
              <w:bottom w:w="30" w:type="dxa"/>
              <w:right w:w="20" w:type="dxa"/>
            </w:tcMar>
            <w:vAlign w:val="bottom"/>
            <w:hideMark/>
          </w:tcPr>
          <w:p w14:paraId="46013250" w14:textId="77777777" w:rsidR="00000000" w:rsidRDefault="00C01C43">
            <w:pPr>
              <w:rPr>
                <w:rFonts w:eastAsia="Times New Roman"/>
              </w:rPr>
            </w:pPr>
            <w:r>
              <w:rPr>
                <w:rFonts w:ascii="Arial" w:eastAsia="Times New Roman" w:hAnsi="Arial" w:cs="Arial"/>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14:paraId="36F4065F" w14:textId="77777777" w:rsidR="00000000" w:rsidRDefault="00C01C43">
            <w:pPr>
              <w:jc w:val="right"/>
              <w:rPr>
                <w:rFonts w:eastAsia="Times New Roman"/>
              </w:rPr>
            </w:pPr>
            <w:r>
              <w:rPr>
                <w:rFonts w:ascii="Arial" w:eastAsia="Times New Roman" w:hAnsi="Arial" w:cs="Arial"/>
                <w:color w:val="000000"/>
                <w:sz w:val="20"/>
                <w:szCs w:val="20"/>
              </w:rPr>
              <w:t>1,836.7 </w:t>
            </w:r>
          </w:p>
        </w:tc>
        <w:tc>
          <w:tcPr>
            <w:tcW w:w="0" w:type="auto"/>
            <w:shd w:val="clear" w:color="auto" w:fill="CCEEFF"/>
            <w:tcMar>
              <w:top w:w="30" w:type="dxa"/>
              <w:left w:w="0" w:type="dxa"/>
              <w:bottom w:w="30" w:type="dxa"/>
              <w:right w:w="20" w:type="dxa"/>
            </w:tcMar>
            <w:vAlign w:val="bottom"/>
            <w:hideMark/>
          </w:tcPr>
          <w:p w14:paraId="4AA5462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80FF4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CD96EB" w14:textId="77777777" w:rsidR="00000000" w:rsidRDefault="00C01C43">
            <w:pPr>
              <w:jc w:val="right"/>
              <w:rPr>
                <w:rFonts w:eastAsia="Times New Roman"/>
              </w:rPr>
            </w:pPr>
            <w:r>
              <w:rPr>
                <w:rFonts w:ascii="Arial" w:eastAsia="Times New Roman" w:hAnsi="Arial" w:cs="Arial"/>
                <w:color w:val="000000"/>
                <w:sz w:val="20"/>
                <w:szCs w:val="20"/>
              </w:rPr>
              <w:t>1,761.3 </w:t>
            </w:r>
          </w:p>
        </w:tc>
        <w:tc>
          <w:tcPr>
            <w:tcW w:w="0" w:type="auto"/>
            <w:shd w:val="clear" w:color="auto" w:fill="CCEEFF"/>
            <w:tcMar>
              <w:top w:w="30" w:type="dxa"/>
              <w:left w:w="0" w:type="dxa"/>
              <w:bottom w:w="30" w:type="dxa"/>
              <w:right w:w="20" w:type="dxa"/>
            </w:tcMar>
            <w:vAlign w:val="bottom"/>
            <w:hideMark/>
          </w:tcPr>
          <w:p w14:paraId="46236639" w14:textId="77777777" w:rsidR="00000000" w:rsidRDefault="00C01C43">
            <w:pPr>
              <w:jc w:val="right"/>
              <w:rPr>
                <w:rFonts w:eastAsia="Times New Roman"/>
              </w:rPr>
            </w:pPr>
          </w:p>
        </w:tc>
      </w:tr>
      <w:tr w:rsidR="00000000" w14:paraId="159635C7" w14:textId="77777777">
        <w:trPr>
          <w:divId w:val="1623031252"/>
        </w:trPr>
        <w:tc>
          <w:tcPr>
            <w:tcW w:w="0" w:type="auto"/>
            <w:gridSpan w:val="3"/>
            <w:shd w:val="clear" w:color="auto" w:fill="FFFFFF"/>
            <w:tcMar>
              <w:top w:w="30" w:type="dxa"/>
              <w:left w:w="20" w:type="dxa"/>
              <w:bottom w:w="30" w:type="dxa"/>
              <w:right w:w="20" w:type="dxa"/>
            </w:tcMar>
            <w:vAlign w:val="bottom"/>
            <w:hideMark/>
          </w:tcPr>
          <w:p w14:paraId="6F509A14" w14:textId="77777777" w:rsidR="00000000" w:rsidRDefault="00C01C43">
            <w:pPr>
              <w:rPr>
                <w:rFonts w:eastAsia="Times New Roman"/>
              </w:rPr>
            </w:pPr>
            <w:r>
              <w:rPr>
                <w:rFonts w:ascii="Arial" w:eastAsia="Times New Roman" w:hAnsi="Arial" w:cs="Arial"/>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14:paraId="0233D8BF" w14:textId="77777777" w:rsidR="00000000" w:rsidRDefault="00C01C43">
            <w:pPr>
              <w:jc w:val="right"/>
              <w:rPr>
                <w:rFonts w:eastAsia="Times New Roman"/>
              </w:rPr>
            </w:pPr>
            <w:r>
              <w:rPr>
                <w:rFonts w:ascii="Arial" w:eastAsia="Times New Roman" w:hAnsi="Arial" w:cs="Arial"/>
                <w:color w:val="000000"/>
                <w:sz w:val="20"/>
                <w:szCs w:val="20"/>
              </w:rPr>
              <w:t>(132.6)</w:t>
            </w:r>
          </w:p>
        </w:tc>
        <w:tc>
          <w:tcPr>
            <w:tcW w:w="0" w:type="auto"/>
            <w:shd w:val="clear" w:color="auto" w:fill="FFFFFF"/>
            <w:tcMar>
              <w:top w:w="30" w:type="dxa"/>
              <w:left w:w="0" w:type="dxa"/>
              <w:bottom w:w="30" w:type="dxa"/>
              <w:right w:w="20" w:type="dxa"/>
            </w:tcMar>
            <w:vAlign w:val="bottom"/>
            <w:hideMark/>
          </w:tcPr>
          <w:p w14:paraId="1A0EC50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91C0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A5D0ED" w14:textId="77777777" w:rsidR="00000000" w:rsidRDefault="00C01C43">
            <w:pPr>
              <w:jc w:val="right"/>
              <w:rPr>
                <w:rFonts w:eastAsia="Times New Roman"/>
              </w:rPr>
            </w:pPr>
            <w:r>
              <w:rPr>
                <w:rFonts w:ascii="Arial" w:eastAsia="Times New Roman" w:hAnsi="Arial" w:cs="Arial"/>
                <w:color w:val="000000"/>
                <w:sz w:val="20"/>
                <w:szCs w:val="20"/>
              </w:rPr>
              <w:t>(146.3)</w:t>
            </w:r>
          </w:p>
        </w:tc>
        <w:tc>
          <w:tcPr>
            <w:tcW w:w="0" w:type="auto"/>
            <w:shd w:val="clear" w:color="auto" w:fill="FFFFFF"/>
            <w:tcMar>
              <w:top w:w="30" w:type="dxa"/>
              <w:left w:w="0" w:type="dxa"/>
              <w:bottom w:w="30" w:type="dxa"/>
              <w:right w:w="20" w:type="dxa"/>
            </w:tcMar>
            <w:vAlign w:val="bottom"/>
            <w:hideMark/>
          </w:tcPr>
          <w:p w14:paraId="794CE265" w14:textId="77777777" w:rsidR="00000000" w:rsidRDefault="00C01C43">
            <w:pPr>
              <w:jc w:val="right"/>
              <w:rPr>
                <w:rFonts w:eastAsia="Times New Roman"/>
              </w:rPr>
            </w:pPr>
          </w:p>
        </w:tc>
      </w:tr>
      <w:tr w:rsidR="00000000" w14:paraId="40BCAB7F" w14:textId="77777777">
        <w:trPr>
          <w:divId w:val="16230312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99DB26" w14:textId="77777777" w:rsidR="00000000" w:rsidRDefault="00C01C43">
            <w:pPr>
              <w:rPr>
                <w:rFonts w:eastAsia="Times New Roman"/>
              </w:rPr>
            </w:pPr>
            <w:r>
              <w:rPr>
                <w:rFonts w:ascii="Arial" w:eastAsia="Times New Roman" w:hAnsi="Arial" w:cs="Arial"/>
                <w:color w:val="000000"/>
                <w:sz w:val="20"/>
                <w:szCs w:val="20"/>
              </w:rPr>
              <w:t>Total World Fuel shareholders'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792210" w14:textId="77777777" w:rsidR="00000000" w:rsidRDefault="00C01C43">
            <w:pPr>
              <w:jc w:val="right"/>
              <w:rPr>
                <w:rFonts w:eastAsia="Times New Roman"/>
              </w:rPr>
            </w:pPr>
            <w:r>
              <w:rPr>
                <w:rFonts w:ascii="Arial" w:eastAsia="Times New Roman" w:hAnsi="Arial" w:cs="Arial"/>
                <w:color w:val="000000"/>
                <w:sz w:val="20"/>
                <w:szCs w:val="20"/>
              </w:rPr>
              <w:t>1,909.3 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1C90CF"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EC3C9A"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DDACE5" w14:textId="77777777" w:rsidR="00000000" w:rsidRDefault="00C01C43">
            <w:pPr>
              <w:jc w:val="right"/>
              <w:rPr>
                <w:rFonts w:eastAsia="Times New Roman"/>
              </w:rPr>
            </w:pPr>
            <w:r>
              <w:rPr>
                <w:rFonts w:ascii="Arial" w:eastAsia="Times New Roman" w:hAnsi="Arial" w:cs="Arial"/>
                <w:color w:val="000000"/>
                <w:sz w:val="20"/>
                <w:szCs w:val="20"/>
              </w:rPr>
              <w:t>1,890.4 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3EBBEF" w14:textId="77777777" w:rsidR="00000000" w:rsidRDefault="00C01C43">
            <w:pPr>
              <w:jc w:val="right"/>
              <w:rPr>
                <w:rFonts w:eastAsia="Times New Roman"/>
              </w:rPr>
            </w:pPr>
          </w:p>
        </w:tc>
      </w:tr>
      <w:tr w:rsidR="00000000" w14:paraId="3467020D" w14:textId="77777777">
        <w:trPr>
          <w:divId w:val="1623031252"/>
        </w:trPr>
        <w:tc>
          <w:tcPr>
            <w:tcW w:w="0" w:type="auto"/>
            <w:gridSpan w:val="3"/>
            <w:shd w:val="clear" w:color="auto" w:fill="FFFFFF"/>
            <w:tcMar>
              <w:top w:w="30" w:type="dxa"/>
              <w:left w:w="20" w:type="dxa"/>
              <w:bottom w:w="30" w:type="dxa"/>
              <w:right w:w="20" w:type="dxa"/>
            </w:tcMar>
            <w:vAlign w:val="bottom"/>
            <w:hideMark/>
          </w:tcPr>
          <w:p w14:paraId="210C01A7" w14:textId="77777777" w:rsidR="00000000" w:rsidRDefault="00C01C43">
            <w:pPr>
              <w:rPr>
                <w:rFonts w:eastAsia="Times New Roman"/>
              </w:rPr>
            </w:pPr>
            <w:r>
              <w:rPr>
                <w:rFonts w:ascii="Arial" w:eastAsia="Times New Roman" w:hAnsi="Arial" w:cs="Arial"/>
                <w:color w:val="000000"/>
                <w:sz w:val="20"/>
                <w:szCs w:val="20"/>
              </w:rPr>
              <w:t>Noncontrolling interest</w:t>
            </w:r>
          </w:p>
        </w:tc>
        <w:tc>
          <w:tcPr>
            <w:tcW w:w="0" w:type="auto"/>
            <w:gridSpan w:val="2"/>
            <w:shd w:val="clear" w:color="auto" w:fill="FFFFFF"/>
            <w:tcMar>
              <w:top w:w="30" w:type="dxa"/>
              <w:left w:w="20" w:type="dxa"/>
              <w:bottom w:w="30" w:type="dxa"/>
              <w:right w:w="0" w:type="dxa"/>
            </w:tcMar>
            <w:vAlign w:val="bottom"/>
            <w:hideMark/>
          </w:tcPr>
          <w:p w14:paraId="64A82754" w14:textId="77777777" w:rsidR="00000000" w:rsidRDefault="00C01C43">
            <w:pPr>
              <w:jc w:val="right"/>
              <w:rPr>
                <w:rFonts w:eastAsia="Times New Roman"/>
              </w:rPr>
            </w:pPr>
            <w:r>
              <w:rPr>
                <w:rFonts w:ascii="Arial" w:eastAsia="Times New Roman" w:hAnsi="Arial" w:cs="Arial"/>
                <w:color w:val="000000"/>
                <w:sz w:val="20"/>
                <w:szCs w:val="20"/>
              </w:rPr>
              <w:t>3.6 </w:t>
            </w:r>
          </w:p>
        </w:tc>
        <w:tc>
          <w:tcPr>
            <w:tcW w:w="0" w:type="auto"/>
            <w:shd w:val="clear" w:color="auto" w:fill="FFFFFF"/>
            <w:tcMar>
              <w:top w:w="30" w:type="dxa"/>
              <w:left w:w="0" w:type="dxa"/>
              <w:bottom w:w="30" w:type="dxa"/>
              <w:right w:w="20" w:type="dxa"/>
            </w:tcMar>
            <w:vAlign w:val="bottom"/>
            <w:hideMark/>
          </w:tcPr>
          <w:p w14:paraId="21F99C2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E9624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6D431F" w14:textId="77777777" w:rsidR="00000000" w:rsidRDefault="00C01C43">
            <w:pPr>
              <w:jc w:val="right"/>
              <w:rPr>
                <w:rFonts w:eastAsia="Times New Roman"/>
              </w:rPr>
            </w:pPr>
            <w:r>
              <w:rPr>
                <w:rFonts w:ascii="Arial" w:eastAsia="Times New Roman" w:hAnsi="Arial" w:cs="Arial"/>
                <w:color w:val="000000"/>
                <w:sz w:val="20"/>
                <w:szCs w:val="20"/>
              </w:rPr>
              <w:t>3.5 </w:t>
            </w:r>
          </w:p>
        </w:tc>
        <w:tc>
          <w:tcPr>
            <w:tcW w:w="0" w:type="auto"/>
            <w:shd w:val="clear" w:color="auto" w:fill="FFFFFF"/>
            <w:tcMar>
              <w:top w:w="30" w:type="dxa"/>
              <w:left w:w="0" w:type="dxa"/>
              <w:bottom w:w="30" w:type="dxa"/>
              <w:right w:w="20" w:type="dxa"/>
            </w:tcMar>
            <w:vAlign w:val="bottom"/>
            <w:hideMark/>
          </w:tcPr>
          <w:p w14:paraId="75B4CE9B" w14:textId="77777777" w:rsidR="00000000" w:rsidRDefault="00C01C43">
            <w:pPr>
              <w:jc w:val="right"/>
              <w:rPr>
                <w:rFonts w:eastAsia="Times New Roman"/>
              </w:rPr>
            </w:pPr>
          </w:p>
        </w:tc>
      </w:tr>
      <w:tr w:rsidR="00000000" w14:paraId="1F4FEB3A" w14:textId="77777777">
        <w:trPr>
          <w:divId w:val="16230312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C67C5E" w14:textId="77777777" w:rsidR="00000000" w:rsidRDefault="00C01C43">
            <w:pPr>
              <w:rPr>
                <w:rFonts w:eastAsia="Times New Roman"/>
              </w:rPr>
            </w:pPr>
            <w:r>
              <w:rPr>
                <w:rFonts w:ascii="Arial" w:eastAsia="Times New Roman" w:hAnsi="Arial" w:cs="Arial"/>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9E2592" w14:textId="77777777" w:rsidR="00000000" w:rsidRDefault="00C01C43">
            <w:pPr>
              <w:jc w:val="right"/>
              <w:rPr>
                <w:rFonts w:eastAsia="Times New Roman"/>
              </w:rPr>
            </w:pPr>
            <w:r>
              <w:rPr>
                <w:rFonts w:ascii="Arial" w:eastAsia="Times New Roman" w:hAnsi="Arial" w:cs="Arial"/>
                <w:color w:val="000000"/>
                <w:sz w:val="20"/>
                <w:szCs w:val="20"/>
              </w:rPr>
              <w:t>1,912.9 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1442F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598095"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A683DC" w14:textId="77777777" w:rsidR="00000000" w:rsidRDefault="00C01C43">
            <w:pPr>
              <w:jc w:val="right"/>
              <w:rPr>
                <w:rFonts w:eastAsia="Times New Roman"/>
              </w:rPr>
            </w:pPr>
            <w:r>
              <w:rPr>
                <w:rFonts w:ascii="Arial" w:eastAsia="Times New Roman" w:hAnsi="Arial" w:cs="Arial"/>
                <w:color w:val="000000"/>
                <w:sz w:val="20"/>
                <w:szCs w:val="20"/>
              </w:rPr>
              <w:t>1,893.9 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1D68F2" w14:textId="77777777" w:rsidR="00000000" w:rsidRDefault="00C01C43">
            <w:pPr>
              <w:jc w:val="right"/>
              <w:rPr>
                <w:rFonts w:eastAsia="Times New Roman"/>
              </w:rPr>
            </w:pPr>
          </w:p>
        </w:tc>
      </w:tr>
      <w:tr w:rsidR="00000000" w14:paraId="4B446A9E" w14:textId="77777777">
        <w:trPr>
          <w:divId w:val="1623031252"/>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57FFC558" w14:textId="77777777" w:rsidR="00000000" w:rsidRDefault="00C01C43">
            <w:pPr>
              <w:rPr>
                <w:rFonts w:eastAsia="Times New Roman"/>
              </w:rPr>
            </w:pPr>
            <w:r>
              <w:rPr>
                <w:rFonts w:ascii="Arial" w:eastAsia="Times New Roman" w:hAnsi="Arial" w:cs="Arial"/>
                <w:color w:val="000000"/>
                <w:sz w:val="20"/>
                <w:szCs w:val="20"/>
              </w:rPr>
              <w:t>Total liabilities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42A06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9115F2C" w14:textId="77777777" w:rsidR="00000000" w:rsidRDefault="00C01C43">
            <w:pPr>
              <w:jc w:val="right"/>
              <w:rPr>
                <w:rFonts w:eastAsia="Times New Roman"/>
              </w:rPr>
            </w:pPr>
            <w:r>
              <w:rPr>
                <w:rFonts w:ascii="Arial" w:eastAsia="Times New Roman" w:hAnsi="Arial" w:cs="Arial"/>
                <w:color w:val="000000"/>
                <w:sz w:val="20"/>
                <w:szCs w:val="20"/>
              </w:rPr>
              <w:t>4,500.3 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7CF233"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66478D9"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7D135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5CE4A0" w14:textId="77777777" w:rsidR="00000000" w:rsidRDefault="00C01C43">
            <w:pPr>
              <w:jc w:val="right"/>
              <w:rPr>
                <w:rFonts w:eastAsia="Times New Roman"/>
              </w:rPr>
            </w:pPr>
            <w:r>
              <w:rPr>
                <w:rFonts w:ascii="Arial" w:eastAsia="Times New Roman" w:hAnsi="Arial" w:cs="Arial"/>
                <w:color w:val="000000"/>
                <w:sz w:val="20"/>
                <w:szCs w:val="20"/>
              </w:rPr>
              <w:t>5,992.4 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BBA20C" w14:textId="77777777" w:rsidR="00000000" w:rsidRDefault="00C01C43">
            <w:pPr>
              <w:jc w:val="right"/>
              <w:rPr>
                <w:rFonts w:eastAsia="Times New Roman"/>
              </w:rPr>
            </w:pPr>
          </w:p>
        </w:tc>
      </w:tr>
    </w:tbl>
    <w:p w14:paraId="1ABB1B73" w14:textId="77777777" w:rsidR="00000000" w:rsidRDefault="00C01C43">
      <w:pPr>
        <w:jc w:val="both"/>
        <w:divId w:val="1663505798"/>
        <w:rPr>
          <w:rFonts w:eastAsia="Times New Roman"/>
        </w:rPr>
      </w:pPr>
      <w:r>
        <w:rPr>
          <w:rFonts w:ascii="Arial" w:eastAsia="Times New Roman" w:hAnsi="Arial" w:cs="Arial"/>
          <w:color w:val="000000"/>
          <w:sz w:val="20"/>
          <w:szCs w:val="20"/>
        </w:rPr>
        <w:t>The accompanying Notes are an integral part of these Consolidated Financial Statements.</w:t>
      </w:r>
    </w:p>
    <w:p w14:paraId="1718BB69" w14:textId="77777777" w:rsidR="00000000" w:rsidRDefault="00C01C43">
      <w:pPr>
        <w:jc w:val="center"/>
        <w:divId w:val="1092776984"/>
        <w:rPr>
          <w:rFonts w:eastAsia="Times New Roman"/>
        </w:rPr>
      </w:pPr>
      <w:r>
        <w:rPr>
          <w:rFonts w:ascii="Arial" w:eastAsia="Times New Roman" w:hAnsi="Arial" w:cs="Arial"/>
          <w:color w:val="000000"/>
          <w:sz w:val="16"/>
          <w:szCs w:val="16"/>
        </w:rPr>
        <w:t>48</w:t>
      </w:r>
    </w:p>
    <w:p w14:paraId="2ADA5A33" w14:textId="77777777" w:rsidR="00000000" w:rsidRDefault="00C01C43">
      <w:pPr>
        <w:rPr>
          <w:rFonts w:eastAsia="Times New Roman"/>
        </w:rPr>
      </w:pPr>
      <w:r>
        <w:rPr>
          <w:rFonts w:eastAsia="Times New Roman"/>
        </w:rPr>
        <w:pict w14:anchorId="37E1798F">
          <v:rect id="_x0000_i1077" style="width:0;height:1.5pt" o:hralign="center" o:hrstd="t" o:hr="t" fillcolor="#a0a0a0" stroked="f"/>
        </w:pict>
      </w:r>
    </w:p>
    <w:p w14:paraId="15C33311" w14:textId="77777777" w:rsidR="00000000" w:rsidRDefault="00C01C43">
      <w:pPr>
        <w:divId w:val="1241451848"/>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C8AD329" w14:textId="77777777" w:rsidR="00000000" w:rsidRDefault="00C01C43">
      <w:pPr>
        <w:jc w:val="both"/>
        <w:rPr>
          <w:rFonts w:eastAsia="Times New Roman"/>
        </w:rPr>
      </w:pPr>
      <w:r>
        <w:rPr>
          <w:rFonts w:ascii="Arial" w:eastAsia="Times New Roman" w:hAnsi="Arial" w:cs="Arial"/>
          <w:b/>
          <w:bCs/>
          <w:color w:val="000000"/>
        </w:rPr>
        <w:t xml:space="preserve">WORLD FUEL SERVICES CORPORATION </w:t>
      </w:r>
    </w:p>
    <w:p w14:paraId="74D3D0BD" w14:textId="77777777" w:rsidR="00000000" w:rsidRDefault="00C01C43">
      <w:pPr>
        <w:jc w:val="both"/>
        <w:rPr>
          <w:rFonts w:eastAsia="Times New Roman"/>
        </w:rPr>
      </w:pPr>
      <w:r>
        <w:rPr>
          <w:rFonts w:ascii="Arial" w:eastAsia="Times New Roman" w:hAnsi="Arial" w:cs="Arial"/>
          <w:b/>
          <w:bCs/>
          <w:color w:val="000000"/>
        </w:rPr>
        <w:t>CONSOLIDATED STATEMENTS OF INCOME AND</w:t>
      </w:r>
    </w:p>
    <w:p w14:paraId="7CFBE4CF" w14:textId="77777777" w:rsidR="00000000" w:rsidRDefault="00C01C43">
      <w:pPr>
        <w:jc w:val="both"/>
        <w:rPr>
          <w:rFonts w:eastAsia="Times New Roman"/>
        </w:rPr>
      </w:pPr>
      <w:r>
        <w:rPr>
          <w:rFonts w:ascii="Arial" w:eastAsia="Times New Roman" w:hAnsi="Arial" w:cs="Arial"/>
          <w:b/>
          <w:bCs/>
          <w:color w:val="000000"/>
        </w:rPr>
        <w:t>COMPREHENSIVE INCOME</w:t>
      </w:r>
    </w:p>
    <w:p w14:paraId="6685C6AB" w14:textId="77777777" w:rsidR="00000000" w:rsidRDefault="00C01C43">
      <w:pPr>
        <w:jc w:val="both"/>
        <w:divId w:val="1551499847"/>
        <w:rPr>
          <w:rFonts w:eastAsia="Times New Roman"/>
        </w:rPr>
      </w:pPr>
      <w:r>
        <w:rPr>
          <w:rFonts w:ascii="Arial" w:eastAsia="Times New Roman" w:hAnsi="Arial" w:cs="Arial"/>
          <w:color w:val="000000"/>
          <w:sz w:val="20"/>
          <w:szCs w:val="20"/>
        </w:rPr>
        <w:t>(In millions, except earnings per share data)</w:t>
      </w:r>
    </w:p>
    <w:tbl>
      <w:tblPr>
        <w:tblW w:w="4985" w:type="pct"/>
        <w:tblCellMar>
          <w:top w:w="15" w:type="dxa"/>
          <w:left w:w="15" w:type="dxa"/>
          <w:bottom w:w="15" w:type="dxa"/>
          <w:right w:w="15" w:type="dxa"/>
        </w:tblCellMar>
        <w:tblLook w:val="04A0" w:firstRow="1" w:lastRow="0" w:firstColumn="1" w:lastColumn="0" w:noHBand="0" w:noVBand="1"/>
      </w:tblPr>
      <w:tblGrid>
        <w:gridCol w:w="40"/>
        <w:gridCol w:w="4977"/>
        <w:gridCol w:w="39"/>
        <w:gridCol w:w="132"/>
        <w:gridCol w:w="835"/>
        <w:gridCol w:w="36"/>
        <w:gridCol w:w="36"/>
        <w:gridCol w:w="36"/>
        <w:gridCol w:w="36"/>
        <w:gridCol w:w="132"/>
        <w:gridCol w:w="835"/>
        <w:gridCol w:w="36"/>
        <w:gridCol w:w="36"/>
        <w:gridCol w:w="36"/>
        <w:gridCol w:w="36"/>
        <w:gridCol w:w="132"/>
        <w:gridCol w:w="835"/>
        <w:gridCol w:w="36"/>
      </w:tblGrid>
      <w:tr w:rsidR="00000000" w14:paraId="74862B6A" w14:textId="77777777">
        <w:trPr>
          <w:divId w:val="108353681"/>
        </w:trPr>
        <w:tc>
          <w:tcPr>
            <w:tcW w:w="50" w:type="pct"/>
            <w:vAlign w:val="center"/>
            <w:hideMark/>
          </w:tcPr>
          <w:p w14:paraId="3523767F" w14:textId="77777777" w:rsidR="00000000" w:rsidRDefault="00C01C43">
            <w:pPr>
              <w:jc w:val="both"/>
              <w:rPr>
                <w:rFonts w:eastAsia="Times New Roman"/>
              </w:rPr>
            </w:pPr>
          </w:p>
        </w:tc>
        <w:tc>
          <w:tcPr>
            <w:tcW w:w="3170" w:type="pct"/>
            <w:vAlign w:val="center"/>
            <w:hideMark/>
          </w:tcPr>
          <w:p w14:paraId="2C85C0F4" w14:textId="77777777" w:rsidR="00000000" w:rsidRDefault="00C01C43">
            <w:pPr>
              <w:rPr>
                <w:rFonts w:eastAsia="Times New Roman"/>
                <w:sz w:val="20"/>
                <w:szCs w:val="20"/>
              </w:rPr>
            </w:pPr>
          </w:p>
        </w:tc>
        <w:tc>
          <w:tcPr>
            <w:tcW w:w="5" w:type="pct"/>
            <w:vAlign w:val="center"/>
            <w:hideMark/>
          </w:tcPr>
          <w:p w14:paraId="224809D0" w14:textId="77777777" w:rsidR="00000000" w:rsidRDefault="00C01C43">
            <w:pPr>
              <w:rPr>
                <w:rFonts w:eastAsia="Times New Roman"/>
                <w:sz w:val="20"/>
                <w:szCs w:val="20"/>
              </w:rPr>
            </w:pPr>
          </w:p>
        </w:tc>
        <w:tc>
          <w:tcPr>
            <w:tcW w:w="50" w:type="pct"/>
            <w:vAlign w:val="center"/>
            <w:hideMark/>
          </w:tcPr>
          <w:p w14:paraId="40AD3ABE" w14:textId="77777777" w:rsidR="00000000" w:rsidRDefault="00C01C43">
            <w:pPr>
              <w:rPr>
                <w:rFonts w:eastAsia="Times New Roman"/>
                <w:sz w:val="20"/>
                <w:szCs w:val="20"/>
              </w:rPr>
            </w:pPr>
          </w:p>
        </w:tc>
        <w:tc>
          <w:tcPr>
            <w:tcW w:w="494" w:type="pct"/>
            <w:vAlign w:val="center"/>
            <w:hideMark/>
          </w:tcPr>
          <w:p w14:paraId="50B35E1E" w14:textId="77777777" w:rsidR="00000000" w:rsidRDefault="00C01C43">
            <w:pPr>
              <w:rPr>
                <w:rFonts w:eastAsia="Times New Roman"/>
                <w:sz w:val="20"/>
                <w:szCs w:val="20"/>
              </w:rPr>
            </w:pPr>
          </w:p>
        </w:tc>
        <w:tc>
          <w:tcPr>
            <w:tcW w:w="5" w:type="pct"/>
            <w:vAlign w:val="center"/>
            <w:hideMark/>
          </w:tcPr>
          <w:p w14:paraId="0C2E8F9A" w14:textId="77777777" w:rsidR="00000000" w:rsidRDefault="00C01C43">
            <w:pPr>
              <w:rPr>
                <w:rFonts w:eastAsia="Times New Roman"/>
                <w:sz w:val="20"/>
                <w:szCs w:val="20"/>
              </w:rPr>
            </w:pPr>
          </w:p>
        </w:tc>
        <w:tc>
          <w:tcPr>
            <w:tcW w:w="5" w:type="pct"/>
            <w:vAlign w:val="center"/>
            <w:hideMark/>
          </w:tcPr>
          <w:p w14:paraId="7147AD3B" w14:textId="77777777" w:rsidR="00000000" w:rsidRDefault="00C01C43">
            <w:pPr>
              <w:rPr>
                <w:rFonts w:eastAsia="Times New Roman"/>
                <w:sz w:val="20"/>
                <w:szCs w:val="20"/>
              </w:rPr>
            </w:pPr>
          </w:p>
        </w:tc>
        <w:tc>
          <w:tcPr>
            <w:tcW w:w="26" w:type="pct"/>
            <w:vAlign w:val="center"/>
            <w:hideMark/>
          </w:tcPr>
          <w:p w14:paraId="65CDA9AA" w14:textId="77777777" w:rsidR="00000000" w:rsidRDefault="00C01C43">
            <w:pPr>
              <w:rPr>
                <w:rFonts w:eastAsia="Times New Roman"/>
                <w:sz w:val="20"/>
                <w:szCs w:val="20"/>
              </w:rPr>
            </w:pPr>
          </w:p>
        </w:tc>
        <w:tc>
          <w:tcPr>
            <w:tcW w:w="5" w:type="pct"/>
            <w:vAlign w:val="center"/>
            <w:hideMark/>
          </w:tcPr>
          <w:p w14:paraId="1DF2DB11" w14:textId="77777777" w:rsidR="00000000" w:rsidRDefault="00C01C43">
            <w:pPr>
              <w:rPr>
                <w:rFonts w:eastAsia="Times New Roman"/>
                <w:sz w:val="20"/>
                <w:szCs w:val="20"/>
              </w:rPr>
            </w:pPr>
          </w:p>
        </w:tc>
        <w:tc>
          <w:tcPr>
            <w:tcW w:w="50" w:type="pct"/>
            <w:vAlign w:val="center"/>
            <w:hideMark/>
          </w:tcPr>
          <w:p w14:paraId="08CADBC5" w14:textId="77777777" w:rsidR="00000000" w:rsidRDefault="00C01C43">
            <w:pPr>
              <w:rPr>
                <w:rFonts w:eastAsia="Times New Roman"/>
                <w:sz w:val="20"/>
                <w:szCs w:val="20"/>
              </w:rPr>
            </w:pPr>
          </w:p>
        </w:tc>
        <w:tc>
          <w:tcPr>
            <w:tcW w:w="531" w:type="pct"/>
            <w:vAlign w:val="center"/>
            <w:hideMark/>
          </w:tcPr>
          <w:p w14:paraId="695DB7B5" w14:textId="77777777" w:rsidR="00000000" w:rsidRDefault="00C01C43">
            <w:pPr>
              <w:rPr>
                <w:rFonts w:eastAsia="Times New Roman"/>
                <w:sz w:val="20"/>
                <w:szCs w:val="20"/>
              </w:rPr>
            </w:pPr>
          </w:p>
        </w:tc>
        <w:tc>
          <w:tcPr>
            <w:tcW w:w="5" w:type="pct"/>
            <w:vAlign w:val="center"/>
            <w:hideMark/>
          </w:tcPr>
          <w:p w14:paraId="4B5D7BDC" w14:textId="77777777" w:rsidR="00000000" w:rsidRDefault="00C01C43">
            <w:pPr>
              <w:rPr>
                <w:rFonts w:eastAsia="Times New Roman"/>
                <w:sz w:val="20"/>
                <w:szCs w:val="20"/>
              </w:rPr>
            </w:pPr>
          </w:p>
        </w:tc>
        <w:tc>
          <w:tcPr>
            <w:tcW w:w="5" w:type="pct"/>
            <w:vAlign w:val="center"/>
            <w:hideMark/>
          </w:tcPr>
          <w:p w14:paraId="5C659058" w14:textId="77777777" w:rsidR="00000000" w:rsidRDefault="00C01C43">
            <w:pPr>
              <w:rPr>
                <w:rFonts w:eastAsia="Times New Roman"/>
                <w:sz w:val="20"/>
                <w:szCs w:val="20"/>
              </w:rPr>
            </w:pPr>
          </w:p>
        </w:tc>
        <w:tc>
          <w:tcPr>
            <w:tcW w:w="26" w:type="pct"/>
            <w:vAlign w:val="center"/>
            <w:hideMark/>
          </w:tcPr>
          <w:p w14:paraId="3F5F6F9D" w14:textId="77777777" w:rsidR="00000000" w:rsidRDefault="00C01C43">
            <w:pPr>
              <w:rPr>
                <w:rFonts w:eastAsia="Times New Roman"/>
                <w:sz w:val="20"/>
                <w:szCs w:val="20"/>
              </w:rPr>
            </w:pPr>
          </w:p>
        </w:tc>
        <w:tc>
          <w:tcPr>
            <w:tcW w:w="5" w:type="pct"/>
            <w:vAlign w:val="center"/>
            <w:hideMark/>
          </w:tcPr>
          <w:p w14:paraId="4B49A63D" w14:textId="77777777" w:rsidR="00000000" w:rsidRDefault="00C01C43">
            <w:pPr>
              <w:rPr>
                <w:rFonts w:eastAsia="Times New Roman"/>
                <w:sz w:val="20"/>
                <w:szCs w:val="20"/>
              </w:rPr>
            </w:pPr>
          </w:p>
        </w:tc>
        <w:tc>
          <w:tcPr>
            <w:tcW w:w="50" w:type="pct"/>
            <w:vAlign w:val="center"/>
            <w:hideMark/>
          </w:tcPr>
          <w:p w14:paraId="637B4195" w14:textId="77777777" w:rsidR="00000000" w:rsidRDefault="00C01C43">
            <w:pPr>
              <w:rPr>
                <w:rFonts w:eastAsia="Times New Roman"/>
                <w:sz w:val="20"/>
                <w:szCs w:val="20"/>
              </w:rPr>
            </w:pPr>
          </w:p>
        </w:tc>
        <w:tc>
          <w:tcPr>
            <w:tcW w:w="509" w:type="pct"/>
            <w:vAlign w:val="center"/>
            <w:hideMark/>
          </w:tcPr>
          <w:p w14:paraId="0A8FDFA7" w14:textId="77777777" w:rsidR="00000000" w:rsidRDefault="00C01C43">
            <w:pPr>
              <w:rPr>
                <w:rFonts w:eastAsia="Times New Roman"/>
                <w:sz w:val="20"/>
                <w:szCs w:val="20"/>
              </w:rPr>
            </w:pPr>
          </w:p>
        </w:tc>
        <w:tc>
          <w:tcPr>
            <w:tcW w:w="5" w:type="pct"/>
            <w:vAlign w:val="center"/>
            <w:hideMark/>
          </w:tcPr>
          <w:p w14:paraId="4C83BA12" w14:textId="77777777" w:rsidR="00000000" w:rsidRDefault="00C01C43">
            <w:pPr>
              <w:rPr>
                <w:rFonts w:eastAsia="Times New Roman"/>
                <w:sz w:val="20"/>
                <w:szCs w:val="20"/>
              </w:rPr>
            </w:pPr>
          </w:p>
        </w:tc>
      </w:tr>
      <w:tr w:rsidR="00000000" w14:paraId="38591EC7" w14:textId="77777777">
        <w:trPr>
          <w:divId w:val="108353681"/>
        </w:trPr>
        <w:tc>
          <w:tcPr>
            <w:tcW w:w="0" w:type="auto"/>
            <w:gridSpan w:val="3"/>
            <w:tcMar>
              <w:top w:w="0" w:type="dxa"/>
              <w:left w:w="20" w:type="dxa"/>
              <w:bottom w:w="0" w:type="dxa"/>
              <w:right w:w="20" w:type="dxa"/>
            </w:tcMar>
            <w:vAlign w:val="center"/>
            <w:hideMark/>
          </w:tcPr>
          <w:p w14:paraId="5A3C6A68" w14:textId="77777777" w:rsidR="00000000" w:rsidRDefault="00C01C43">
            <w:pPr>
              <w:rPr>
                <w:rFonts w:eastAsia="Times New Roman"/>
                <w:sz w:val="20"/>
                <w:szCs w:val="20"/>
              </w:rPr>
            </w:pPr>
          </w:p>
        </w:tc>
        <w:tc>
          <w:tcPr>
            <w:tcW w:w="0" w:type="auto"/>
            <w:gridSpan w:val="15"/>
            <w:tcMar>
              <w:top w:w="30" w:type="dxa"/>
              <w:left w:w="20" w:type="dxa"/>
              <w:bottom w:w="30" w:type="dxa"/>
              <w:right w:w="20" w:type="dxa"/>
            </w:tcMar>
            <w:vAlign w:val="bottom"/>
            <w:hideMark/>
          </w:tcPr>
          <w:p w14:paraId="5ACAFD02" w14:textId="77777777" w:rsidR="00000000" w:rsidRDefault="00C01C43">
            <w:pPr>
              <w:jc w:val="center"/>
              <w:rPr>
                <w:rFonts w:eastAsia="Times New Roman"/>
              </w:rPr>
            </w:pPr>
            <w:r>
              <w:rPr>
                <w:rFonts w:ascii="Arial" w:eastAsia="Times New Roman" w:hAnsi="Arial" w:cs="Arial"/>
                <w:b/>
                <w:bCs/>
                <w:color w:val="000000"/>
                <w:sz w:val="16"/>
                <w:szCs w:val="16"/>
              </w:rPr>
              <w:t>For the Year Ended December 31,</w:t>
            </w:r>
          </w:p>
        </w:tc>
      </w:tr>
      <w:tr w:rsidR="00000000" w14:paraId="7BFA52B0" w14:textId="77777777">
        <w:trPr>
          <w:divId w:val="108353681"/>
        </w:trPr>
        <w:tc>
          <w:tcPr>
            <w:tcW w:w="0" w:type="auto"/>
            <w:gridSpan w:val="3"/>
            <w:tcMar>
              <w:top w:w="0" w:type="dxa"/>
              <w:left w:w="20" w:type="dxa"/>
              <w:bottom w:w="0" w:type="dxa"/>
              <w:right w:w="20" w:type="dxa"/>
            </w:tcMar>
            <w:vAlign w:val="center"/>
            <w:hideMark/>
          </w:tcPr>
          <w:p w14:paraId="4DFE8518"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44CA87"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21A6A98"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7822FD"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3DE2E840"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F4BCC3"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4F83C92B" w14:textId="77777777">
        <w:trPr>
          <w:divId w:val="1083536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D431F93" w14:textId="77777777" w:rsidR="00000000" w:rsidRDefault="00C01C43">
            <w:pPr>
              <w:rPr>
                <w:rFonts w:eastAsia="Times New Roman"/>
              </w:rPr>
            </w:pPr>
            <w:r>
              <w:rPr>
                <w:rFonts w:ascii="Arial" w:eastAsia="Times New Roman" w:hAnsi="Arial" w:cs="Arial"/>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1F2B2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C6A44B" w14:textId="77777777" w:rsidR="00000000" w:rsidRDefault="00C01C43">
            <w:pPr>
              <w:jc w:val="right"/>
              <w:rPr>
                <w:rFonts w:eastAsia="Times New Roman"/>
              </w:rPr>
            </w:pPr>
            <w:r>
              <w:rPr>
                <w:rFonts w:ascii="Arial" w:eastAsia="Times New Roman" w:hAnsi="Arial" w:cs="Arial"/>
                <w:color w:val="000000"/>
                <w:sz w:val="20"/>
                <w:szCs w:val="20"/>
              </w:rPr>
              <w:t>20,358.3 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99D57F"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A0338A"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E61D2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F87FB0" w14:textId="77777777" w:rsidR="00000000" w:rsidRDefault="00C01C43">
            <w:pPr>
              <w:jc w:val="right"/>
              <w:rPr>
                <w:rFonts w:eastAsia="Times New Roman"/>
              </w:rPr>
            </w:pPr>
            <w:r>
              <w:rPr>
                <w:rFonts w:ascii="Arial" w:eastAsia="Times New Roman" w:hAnsi="Arial" w:cs="Arial"/>
                <w:color w:val="000000"/>
                <w:sz w:val="20"/>
                <w:szCs w:val="20"/>
              </w:rPr>
              <w:t>36,819.0 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4750B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F044C9"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8BB7B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1412D8" w14:textId="77777777" w:rsidR="00000000" w:rsidRDefault="00C01C43">
            <w:pPr>
              <w:jc w:val="right"/>
              <w:rPr>
                <w:rFonts w:eastAsia="Times New Roman"/>
              </w:rPr>
            </w:pPr>
            <w:r>
              <w:rPr>
                <w:rFonts w:ascii="Arial" w:eastAsia="Times New Roman" w:hAnsi="Arial" w:cs="Arial"/>
                <w:color w:val="000000"/>
                <w:sz w:val="20"/>
                <w:szCs w:val="20"/>
              </w:rPr>
              <w:t>39,750.3 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23ABD5" w14:textId="77777777" w:rsidR="00000000" w:rsidRDefault="00C01C43">
            <w:pPr>
              <w:jc w:val="right"/>
              <w:rPr>
                <w:rFonts w:eastAsia="Times New Roman"/>
              </w:rPr>
            </w:pPr>
          </w:p>
        </w:tc>
      </w:tr>
      <w:tr w:rsidR="00000000" w14:paraId="05606181" w14:textId="77777777">
        <w:trPr>
          <w:divId w:val="108353681"/>
        </w:trPr>
        <w:tc>
          <w:tcPr>
            <w:tcW w:w="0" w:type="auto"/>
            <w:gridSpan w:val="3"/>
            <w:shd w:val="clear" w:color="auto" w:fill="FFFFFF"/>
            <w:tcMar>
              <w:top w:w="30" w:type="dxa"/>
              <w:left w:w="20" w:type="dxa"/>
              <w:bottom w:w="30" w:type="dxa"/>
              <w:right w:w="20" w:type="dxa"/>
            </w:tcMar>
            <w:vAlign w:val="bottom"/>
            <w:hideMark/>
          </w:tcPr>
          <w:p w14:paraId="0DC958B5" w14:textId="77777777" w:rsidR="00000000" w:rsidRDefault="00C01C43">
            <w:pPr>
              <w:rPr>
                <w:rFonts w:eastAsia="Times New Roman"/>
              </w:rPr>
            </w:pPr>
            <w:r>
              <w:rPr>
                <w:rFonts w:ascii="Arial" w:eastAsia="Times New Roman" w:hAnsi="Arial" w:cs="Arial"/>
                <w:color w:val="000000"/>
                <w:sz w:val="20"/>
                <w:szCs w:val="20"/>
              </w:rPr>
              <w:t>Cost of revenue</w:t>
            </w:r>
          </w:p>
        </w:tc>
        <w:tc>
          <w:tcPr>
            <w:tcW w:w="0" w:type="auto"/>
            <w:gridSpan w:val="2"/>
            <w:shd w:val="clear" w:color="auto" w:fill="FFFFFF"/>
            <w:tcMar>
              <w:top w:w="30" w:type="dxa"/>
              <w:left w:w="20" w:type="dxa"/>
              <w:bottom w:w="30" w:type="dxa"/>
              <w:right w:w="0" w:type="dxa"/>
            </w:tcMar>
            <w:vAlign w:val="bottom"/>
            <w:hideMark/>
          </w:tcPr>
          <w:p w14:paraId="005CC251" w14:textId="77777777" w:rsidR="00000000" w:rsidRDefault="00C01C43">
            <w:pPr>
              <w:jc w:val="right"/>
              <w:rPr>
                <w:rFonts w:eastAsia="Times New Roman"/>
              </w:rPr>
            </w:pPr>
            <w:r>
              <w:rPr>
                <w:rFonts w:ascii="Arial" w:eastAsia="Times New Roman" w:hAnsi="Arial" w:cs="Arial"/>
                <w:color w:val="000000"/>
                <w:sz w:val="20"/>
                <w:szCs w:val="20"/>
              </w:rPr>
              <w:t>19,506.5 </w:t>
            </w:r>
          </w:p>
        </w:tc>
        <w:tc>
          <w:tcPr>
            <w:tcW w:w="0" w:type="auto"/>
            <w:shd w:val="clear" w:color="auto" w:fill="FFFFFF"/>
            <w:tcMar>
              <w:top w:w="30" w:type="dxa"/>
              <w:left w:w="0" w:type="dxa"/>
              <w:bottom w:w="30" w:type="dxa"/>
              <w:right w:w="20" w:type="dxa"/>
            </w:tcMar>
            <w:vAlign w:val="bottom"/>
            <w:hideMark/>
          </w:tcPr>
          <w:p w14:paraId="0197578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4743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EB1200" w14:textId="77777777" w:rsidR="00000000" w:rsidRDefault="00C01C43">
            <w:pPr>
              <w:jc w:val="right"/>
              <w:rPr>
                <w:rFonts w:eastAsia="Times New Roman"/>
              </w:rPr>
            </w:pPr>
            <w:r>
              <w:rPr>
                <w:rFonts w:ascii="Arial" w:eastAsia="Times New Roman" w:hAnsi="Arial" w:cs="Arial"/>
                <w:color w:val="000000"/>
                <w:sz w:val="20"/>
                <w:szCs w:val="20"/>
              </w:rPr>
              <w:t>35,707.0 </w:t>
            </w:r>
          </w:p>
        </w:tc>
        <w:tc>
          <w:tcPr>
            <w:tcW w:w="0" w:type="auto"/>
            <w:shd w:val="clear" w:color="auto" w:fill="FFFFFF"/>
            <w:tcMar>
              <w:top w:w="30" w:type="dxa"/>
              <w:left w:w="0" w:type="dxa"/>
              <w:bottom w:w="30" w:type="dxa"/>
              <w:right w:w="20" w:type="dxa"/>
            </w:tcMar>
            <w:vAlign w:val="bottom"/>
            <w:hideMark/>
          </w:tcPr>
          <w:p w14:paraId="3C1E42A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EF9A1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F66E1E" w14:textId="77777777" w:rsidR="00000000" w:rsidRDefault="00C01C43">
            <w:pPr>
              <w:jc w:val="right"/>
              <w:rPr>
                <w:rFonts w:eastAsia="Times New Roman"/>
              </w:rPr>
            </w:pPr>
            <w:r>
              <w:rPr>
                <w:rFonts w:ascii="Arial" w:eastAsia="Times New Roman" w:hAnsi="Arial" w:cs="Arial"/>
                <w:color w:val="000000"/>
                <w:sz w:val="20"/>
                <w:szCs w:val="20"/>
              </w:rPr>
              <w:t>38,731.8 </w:t>
            </w:r>
          </w:p>
        </w:tc>
        <w:tc>
          <w:tcPr>
            <w:tcW w:w="0" w:type="auto"/>
            <w:shd w:val="clear" w:color="auto" w:fill="FFFFFF"/>
            <w:tcMar>
              <w:top w:w="30" w:type="dxa"/>
              <w:left w:w="0" w:type="dxa"/>
              <w:bottom w:w="30" w:type="dxa"/>
              <w:right w:w="20" w:type="dxa"/>
            </w:tcMar>
            <w:vAlign w:val="bottom"/>
            <w:hideMark/>
          </w:tcPr>
          <w:p w14:paraId="69EB5D1F" w14:textId="77777777" w:rsidR="00000000" w:rsidRDefault="00C01C43">
            <w:pPr>
              <w:jc w:val="right"/>
              <w:rPr>
                <w:rFonts w:eastAsia="Times New Roman"/>
              </w:rPr>
            </w:pPr>
          </w:p>
        </w:tc>
      </w:tr>
      <w:tr w:rsidR="00000000" w14:paraId="3F1528BD" w14:textId="77777777">
        <w:trPr>
          <w:divId w:val="1083536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D895346" w14:textId="77777777" w:rsidR="00000000" w:rsidRDefault="00C01C43">
            <w:pPr>
              <w:rPr>
                <w:rFonts w:eastAsia="Times New Roman"/>
              </w:rPr>
            </w:pPr>
            <w:r>
              <w:rPr>
                <w:rFonts w:ascii="Arial" w:eastAsia="Times New Roman" w:hAnsi="Arial" w:cs="Arial"/>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4C9438" w14:textId="77777777" w:rsidR="00000000" w:rsidRDefault="00C01C43">
            <w:pPr>
              <w:jc w:val="right"/>
              <w:rPr>
                <w:rFonts w:eastAsia="Times New Roman"/>
              </w:rPr>
            </w:pPr>
            <w:r>
              <w:rPr>
                <w:rFonts w:ascii="Arial" w:eastAsia="Times New Roman" w:hAnsi="Arial" w:cs="Arial"/>
                <w:color w:val="000000"/>
                <w:sz w:val="20"/>
                <w:szCs w:val="20"/>
              </w:rPr>
              <w:t>851.8 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DF28D9"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2ED418"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8B463C" w14:textId="77777777" w:rsidR="00000000" w:rsidRDefault="00C01C43">
            <w:pPr>
              <w:jc w:val="right"/>
              <w:rPr>
                <w:rFonts w:eastAsia="Times New Roman"/>
              </w:rPr>
            </w:pPr>
            <w:r>
              <w:rPr>
                <w:rFonts w:ascii="Arial" w:eastAsia="Times New Roman" w:hAnsi="Arial" w:cs="Arial"/>
                <w:color w:val="000000"/>
                <w:sz w:val="20"/>
                <w:szCs w:val="20"/>
              </w:rPr>
              <w:t>1,112.0 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12110A"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246AAD"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1D319D" w14:textId="77777777" w:rsidR="00000000" w:rsidRDefault="00C01C43">
            <w:pPr>
              <w:jc w:val="right"/>
              <w:rPr>
                <w:rFonts w:eastAsia="Times New Roman"/>
              </w:rPr>
            </w:pPr>
            <w:r>
              <w:rPr>
                <w:rFonts w:ascii="Arial" w:eastAsia="Times New Roman" w:hAnsi="Arial" w:cs="Arial"/>
                <w:color w:val="000000"/>
                <w:sz w:val="20"/>
                <w:szCs w:val="20"/>
              </w:rPr>
              <w:t>1,018.5 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050171" w14:textId="77777777" w:rsidR="00000000" w:rsidRDefault="00C01C43">
            <w:pPr>
              <w:jc w:val="right"/>
              <w:rPr>
                <w:rFonts w:eastAsia="Times New Roman"/>
              </w:rPr>
            </w:pPr>
          </w:p>
        </w:tc>
      </w:tr>
      <w:tr w:rsidR="00000000" w14:paraId="15F7BA15" w14:textId="77777777">
        <w:trPr>
          <w:divId w:val="10835368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9C8A896" w14:textId="77777777" w:rsidR="00000000" w:rsidRDefault="00C01C43">
            <w:pPr>
              <w:rPr>
                <w:rFonts w:eastAsia="Times New Roman"/>
              </w:rPr>
            </w:pPr>
            <w:r>
              <w:rPr>
                <w:rFonts w:ascii="Arial" w:eastAsia="Times New Roman" w:hAnsi="Arial" w:cs="Arial"/>
                <w:color w:val="000000"/>
                <w:sz w:val="20"/>
                <w:szCs w:val="20"/>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1F858BD" w14:textId="77777777" w:rsidR="00000000" w:rsidRDefault="00C01C4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7100C1"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D36F1DD"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E9679B"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8386141" w14:textId="77777777" w:rsidR="00000000" w:rsidRDefault="00C01C43">
            <w:pPr>
              <w:rPr>
                <w:rFonts w:eastAsia="Times New Roman"/>
                <w:sz w:val="20"/>
                <w:szCs w:val="20"/>
              </w:rPr>
            </w:pPr>
          </w:p>
        </w:tc>
      </w:tr>
      <w:tr w:rsidR="00000000" w14:paraId="06AA24B1" w14:textId="77777777">
        <w:trPr>
          <w:divId w:val="108353681"/>
        </w:trPr>
        <w:tc>
          <w:tcPr>
            <w:tcW w:w="0" w:type="auto"/>
            <w:gridSpan w:val="3"/>
            <w:shd w:val="clear" w:color="auto" w:fill="CCEEFF"/>
            <w:tcMar>
              <w:top w:w="30" w:type="dxa"/>
              <w:left w:w="20" w:type="dxa"/>
              <w:bottom w:w="30" w:type="dxa"/>
              <w:right w:w="20" w:type="dxa"/>
            </w:tcMar>
            <w:vAlign w:val="bottom"/>
            <w:hideMark/>
          </w:tcPr>
          <w:p w14:paraId="5BAA6555" w14:textId="77777777" w:rsidR="00000000" w:rsidRDefault="00C01C43">
            <w:pPr>
              <w:rPr>
                <w:rFonts w:eastAsia="Times New Roman"/>
              </w:rPr>
            </w:pPr>
            <w:r>
              <w:rPr>
                <w:rFonts w:ascii="Arial" w:eastAsia="Times New Roman" w:hAnsi="Arial" w:cs="Arial"/>
                <w:color w:val="000000"/>
                <w:sz w:val="20"/>
                <w:szCs w:val="20"/>
              </w:rPr>
              <w:t>Compensation and employee benefits</w:t>
            </w:r>
          </w:p>
        </w:tc>
        <w:tc>
          <w:tcPr>
            <w:tcW w:w="0" w:type="auto"/>
            <w:gridSpan w:val="2"/>
            <w:shd w:val="clear" w:color="auto" w:fill="CCEEFF"/>
            <w:tcMar>
              <w:top w:w="30" w:type="dxa"/>
              <w:left w:w="20" w:type="dxa"/>
              <w:bottom w:w="30" w:type="dxa"/>
              <w:right w:w="0" w:type="dxa"/>
            </w:tcMar>
            <w:vAlign w:val="bottom"/>
            <w:hideMark/>
          </w:tcPr>
          <w:p w14:paraId="32FE6671" w14:textId="77777777" w:rsidR="00000000" w:rsidRDefault="00C01C43">
            <w:pPr>
              <w:jc w:val="right"/>
              <w:rPr>
                <w:rFonts w:eastAsia="Times New Roman"/>
              </w:rPr>
            </w:pPr>
            <w:r>
              <w:rPr>
                <w:rFonts w:ascii="Arial" w:eastAsia="Times New Roman" w:hAnsi="Arial" w:cs="Arial"/>
                <w:color w:val="000000"/>
                <w:sz w:val="20"/>
                <w:szCs w:val="20"/>
              </w:rPr>
              <w:t>366.9 </w:t>
            </w:r>
          </w:p>
        </w:tc>
        <w:tc>
          <w:tcPr>
            <w:tcW w:w="0" w:type="auto"/>
            <w:shd w:val="clear" w:color="auto" w:fill="CCEEFF"/>
            <w:tcMar>
              <w:top w:w="30" w:type="dxa"/>
              <w:left w:w="0" w:type="dxa"/>
              <w:bottom w:w="30" w:type="dxa"/>
              <w:right w:w="20" w:type="dxa"/>
            </w:tcMar>
            <w:vAlign w:val="bottom"/>
            <w:hideMark/>
          </w:tcPr>
          <w:p w14:paraId="64ACBA7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B4B8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0CD555" w14:textId="77777777" w:rsidR="00000000" w:rsidRDefault="00C01C43">
            <w:pPr>
              <w:jc w:val="right"/>
              <w:rPr>
                <w:rFonts w:eastAsia="Times New Roman"/>
              </w:rPr>
            </w:pPr>
            <w:r>
              <w:rPr>
                <w:rFonts w:ascii="Arial" w:eastAsia="Times New Roman" w:hAnsi="Arial" w:cs="Arial"/>
                <w:color w:val="000000"/>
                <w:sz w:val="20"/>
                <w:szCs w:val="20"/>
              </w:rPr>
              <w:t>470.4 </w:t>
            </w:r>
          </w:p>
        </w:tc>
        <w:tc>
          <w:tcPr>
            <w:tcW w:w="0" w:type="auto"/>
            <w:shd w:val="clear" w:color="auto" w:fill="CCEEFF"/>
            <w:tcMar>
              <w:top w:w="30" w:type="dxa"/>
              <w:left w:w="0" w:type="dxa"/>
              <w:bottom w:w="30" w:type="dxa"/>
              <w:right w:w="20" w:type="dxa"/>
            </w:tcMar>
            <w:vAlign w:val="bottom"/>
            <w:hideMark/>
          </w:tcPr>
          <w:p w14:paraId="4160D13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6A1F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C15F8B" w14:textId="77777777" w:rsidR="00000000" w:rsidRDefault="00C01C43">
            <w:pPr>
              <w:jc w:val="right"/>
              <w:rPr>
                <w:rFonts w:eastAsia="Times New Roman"/>
              </w:rPr>
            </w:pPr>
            <w:r>
              <w:rPr>
                <w:rFonts w:ascii="Arial" w:eastAsia="Times New Roman" w:hAnsi="Arial" w:cs="Arial"/>
                <w:color w:val="000000"/>
                <w:sz w:val="20"/>
                <w:szCs w:val="20"/>
              </w:rPr>
              <w:t>442.1 </w:t>
            </w:r>
          </w:p>
        </w:tc>
        <w:tc>
          <w:tcPr>
            <w:tcW w:w="0" w:type="auto"/>
            <w:shd w:val="clear" w:color="auto" w:fill="CCEEFF"/>
            <w:tcMar>
              <w:top w:w="30" w:type="dxa"/>
              <w:left w:w="0" w:type="dxa"/>
              <w:bottom w:w="30" w:type="dxa"/>
              <w:right w:w="20" w:type="dxa"/>
            </w:tcMar>
            <w:vAlign w:val="bottom"/>
            <w:hideMark/>
          </w:tcPr>
          <w:p w14:paraId="0F7B4246" w14:textId="77777777" w:rsidR="00000000" w:rsidRDefault="00C01C43">
            <w:pPr>
              <w:jc w:val="right"/>
              <w:rPr>
                <w:rFonts w:eastAsia="Times New Roman"/>
              </w:rPr>
            </w:pPr>
          </w:p>
        </w:tc>
      </w:tr>
      <w:tr w:rsidR="00000000" w14:paraId="365800A3" w14:textId="77777777">
        <w:trPr>
          <w:divId w:val="108353681"/>
        </w:trPr>
        <w:tc>
          <w:tcPr>
            <w:tcW w:w="0" w:type="auto"/>
            <w:gridSpan w:val="3"/>
            <w:shd w:val="clear" w:color="auto" w:fill="FFFFFF"/>
            <w:tcMar>
              <w:top w:w="30" w:type="dxa"/>
              <w:left w:w="20" w:type="dxa"/>
              <w:bottom w:w="30" w:type="dxa"/>
              <w:right w:w="20" w:type="dxa"/>
            </w:tcMar>
            <w:vAlign w:val="bottom"/>
            <w:hideMark/>
          </w:tcPr>
          <w:p w14:paraId="484E42B0" w14:textId="77777777" w:rsidR="00000000" w:rsidRDefault="00C01C43">
            <w:pPr>
              <w:rPr>
                <w:rFonts w:eastAsia="Times New Roman"/>
              </w:rPr>
            </w:pPr>
            <w:r>
              <w:rPr>
                <w:rFonts w:ascii="Arial" w:eastAsia="Times New Roman" w:hAnsi="Arial" w:cs="Arial"/>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14:paraId="7D61301A" w14:textId="77777777" w:rsidR="00000000" w:rsidRDefault="00C01C43">
            <w:pPr>
              <w:jc w:val="right"/>
              <w:rPr>
                <w:rFonts w:eastAsia="Times New Roman"/>
              </w:rPr>
            </w:pPr>
            <w:r>
              <w:rPr>
                <w:rFonts w:ascii="Arial" w:eastAsia="Times New Roman" w:hAnsi="Arial" w:cs="Arial"/>
                <w:color w:val="000000"/>
                <w:sz w:val="20"/>
                <w:szCs w:val="20"/>
              </w:rPr>
              <w:t>311.1 </w:t>
            </w:r>
          </w:p>
        </w:tc>
        <w:tc>
          <w:tcPr>
            <w:tcW w:w="0" w:type="auto"/>
            <w:shd w:val="clear" w:color="auto" w:fill="FFFFFF"/>
            <w:tcMar>
              <w:top w:w="30" w:type="dxa"/>
              <w:left w:w="0" w:type="dxa"/>
              <w:bottom w:w="30" w:type="dxa"/>
              <w:right w:w="20" w:type="dxa"/>
            </w:tcMar>
            <w:vAlign w:val="bottom"/>
            <w:hideMark/>
          </w:tcPr>
          <w:p w14:paraId="147F514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5EDA8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F33C6D" w14:textId="77777777" w:rsidR="00000000" w:rsidRDefault="00C01C43">
            <w:pPr>
              <w:jc w:val="right"/>
              <w:rPr>
                <w:rFonts w:eastAsia="Times New Roman"/>
              </w:rPr>
            </w:pPr>
            <w:r>
              <w:rPr>
                <w:rFonts w:ascii="Arial" w:eastAsia="Times New Roman" w:hAnsi="Arial" w:cs="Arial"/>
                <w:color w:val="000000"/>
                <w:sz w:val="20"/>
                <w:szCs w:val="20"/>
              </w:rPr>
              <w:t>322.2 </w:t>
            </w:r>
          </w:p>
        </w:tc>
        <w:tc>
          <w:tcPr>
            <w:tcW w:w="0" w:type="auto"/>
            <w:shd w:val="clear" w:color="auto" w:fill="FFFFFF"/>
            <w:tcMar>
              <w:top w:w="30" w:type="dxa"/>
              <w:left w:w="0" w:type="dxa"/>
              <w:bottom w:w="30" w:type="dxa"/>
              <w:right w:w="20" w:type="dxa"/>
            </w:tcMar>
            <w:vAlign w:val="bottom"/>
            <w:hideMark/>
          </w:tcPr>
          <w:p w14:paraId="4661D5F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A8A0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6DD67B" w14:textId="77777777" w:rsidR="00000000" w:rsidRDefault="00C01C43">
            <w:pPr>
              <w:jc w:val="right"/>
              <w:rPr>
                <w:rFonts w:eastAsia="Times New Roman"/>
              </w:rPr>
            </w:pPr>
            <w:r>
              <w:rPr>
                <w:rFonts w:ascii="Arial" w:eastAsia="Times New Roman" w:hAnsi="Arial" w:cs="Arial"/>
                <w:color w:val="000000"/>
                <w:sz w:val="20"/>
                <w:szCs w:val="20"/>
              </w:rPr>
              <w:t>299.6 </w:t>
            </w:r>
          </w:p>
        </w:tc>
        <w:tc>
          <w:tcPr>
            <w:tcW w:w="0" w:type="auto"/>
            <w:shd w:val="clear" w:color="auto" w:fill="FFFFFF"/>
            <w:tcMar>
              <w:top w:w="30" w:type="dxa"/>
              <w:left w:w="0" w:type="dxa"/>
              <w:bottom w:w="30" w:type="dxa"/>
              <w:right w:w="20" w:type="dxa"/>
            </w:tcMar>
            <w:vAlign w:val="bottom"/>
            <w:hideMark/>
          </w:tcPr>
          <w:p w14:paraId="4EC9FF67" w14:textId="77777777" w:rsidR="00000000" w:rsidRDefault="00C01C43">
            <w:pPr>
              <w:jc w:val="right"/>
              <w:rPr>
                <w:rFonts w:eastAsia="Times New Roman"/>
              </w:rPr>
            </w:pPr>
          </w:p>
        </w:tc>
      </w:tr>
      <w:tr w:rsidR="00000000" w14:paraId="685B84D2" w14:textId="77777777">
        <w:trPr>
          <w:divId w:val="108353681"/>
        </w:trPr>
        <w:tc>
          <w:tcPr>
            <w:tcW w:w="0" w:type="auto"/>
            <w:gridSpan w:val="3"/>
            <w:shd w:val="clear" w:color="auto" w:fill="CCEEFF"/>
            <w:tcMar>
              <w:top w:w="30" w:type="dxa"/>
              <w:left w:w="20" w:type="dxa"/>
              <w:bottom w:w="30" w:type="dxa"/>
              <w:right w:w="20" w:type="dxa"/>
            </w:tcMar>
            <w:vAlign w:val="bottom"/>
            <w:hideMark/>
          </w:tcPr>
          <w:p w14:paraId="691D4E78" w14:textId="77777777" w:rsidR="00000000" w:rsidRDefault="00C01C43">
            <w:pPr>
              <w:rPr>
                <w:rFonts w:eastAsia="Times New Roman"/>
              </w:rPr>
            </w:pPr>
            <w:r>
              <w:rPr>
                <w:rFonts w:ascii="Arial" w:eastAsia="Times New Roman" w:hAnsi="Arial" w:cs="Arial"/>
                <w:color w:val="000000"/>
                <w:sz w:val="20"/>
                <w:szCs w:val="20"/>
              </w:rPr>
              <w:t>Asset impairments</w:t>
            </w:r>
          </w:p>
        </w:tc>
        <w:tc>
          <w:tcPr>
            <w:tcW w:w="0" w:type="auto"/>
            <w:gridSpan w:val="2"/>
            <w:shd w:val="clear" w:color="auto" w:fill="CCEEFF"/>
            <w:tcMar>
              <w:top w:w="30" w:type="dxa"/>
              <w:left w:w="20" w:type="dxa"/>
              <w:bottom w:w="30" w:type="dxa"/>
              <w:right w:w="0" w:type="dxa"/>
            </w:tcMar>
            <w:vAlign w:val="bottom"/>
            <w:hideMark/>
          </w:tcPr>
          <w:p w14:paraId="245848F5" w14:textId="77777777" w:rsidR="00000000" w:rsidRDefault="00C01C43">
            <w:pPr>
              <w:jc w:val="right"/>
              <w:rPr>
                <w:rFonts w:eastAsia="Times New Roman"/>
              </w:rPr>
            </w:pPr>
            <w:r>
              <w:rPr>
                <w:rFonts w:ascii="Arial" w:eastAsia="Times New Roman" w:hAnsi="Arial" w:cs="Arial"/>
                <w:color w:val="000000"/>
                <w:sz w:val="20"/>
                <w:szCs w:val="20"/>
              </w:rPr>
              <w:t>25.6 </w:t>
            </w:r>
          </w:p>
        </w:tc>
        <w:tc>
          <w:tcPr>
            <w:tcW w:w="0" w:type="auto"/>
            <w:shd w:val="clear" w:color="auto" w:fill="CCEEFF"/>
            <w:tcMar>
              <w:top w:w="30" w:type="dxa"/>
              <w:left w:w="0" w:type="dxa"/>
              <w:bottom w:w="30" w:type="dxa"/>
              <w:right w:w="20" w:type="dxa"/>
            </w:tcMar>
            <w:vAlign w:val="bottom"/>
            <w:hideMark/>
          </w:tcPr>
          <w:p w14:paraId="69F3A00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4F92F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C53CAA"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6B4E4B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B6A7E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5449EF"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2A53E81" w14:textId="77777777" w:rsidR="00000000" w:rsidRDefault="00C01C43">
            <w:pPr>
              <w:jc w:val="right"/>
              <w:rPr>
                <w:rFonts w:eastAsia="Times New Roman"/>
              </w:rPr>
            </w:pPr>
          </w:p>
        </w:tc>
      </w:tr>
      <w:tr w:rsidR="00000000" w14:paraId="37A9C4E4" w14:textId="77777777">
        <w:trPr>
          <w:divId w:val="108353681"/>
        </w:trPr>
        <w:tc>
          <w:tcPr>
            <w:tcW w:w="0" w:type="auto"/>
            <w:gridSpan w:val="3"/>
            <w:shd w:val="clear" w:color="auto" w:fill="FFFFFF"/>
            <w:tcMar>
              <w:top w:w="30" w:type="dxa"/>
              <w:left w:w="20" w:type="dxa"/>
              <w:bottom w:w="30" w:type="dxa"/>
              <w:right w:w="20" w:type="dxa"/>
            </w:tcMar>
            <w:vAlign w:val="bottom"/>
            <w:hideMark/>
          </w:tcPr>
          <w:p w14:paraId="1A0361B4" w14:textId="77777777" w:rsidR="00000000" w:rsidRDefault="00C01C43">
            <w:pPr>
              <w:rPr>
                <w:rFonts w:eastAsia="Times New Roman"/>
              </w:rPr>
            </w:pPr>
            <w:r>
              <w:rPr>
                <w:rFonts w:ascii="Arial" w:eastAsia="Times New Roman" w:hAnsi="Arial" w:cs="Arial"/>
                <w:color w:val="000000"/>
                <w:sz w:val="20"/>
                <w:szCs w:val="20"/>
              </w:rPr>
              <w:t>Restructuring charges</w:t>
            </w:r>
          </w:p>
        </w:tc>
        <w:tc>
          <w:tcPr>
            <w:tcW w:w="0" w:type="auto"/>
            <w:gridSpan w:val="2"/>
            <w:shd w:val="clear" w:color="auto" w:fill="FFFFFF"/>
            <w:tcMar>
              <w:top w:w="30" w:type="dxa"/>
              <w:left w:w="20" w:type="dxa"/>
              <w:bottom w:w="30" w:type="dxa"/>
              <w:right w:w="0" w:type="dxa"/>
            </w:tcMar>
            <w:vAlign w:val="bottom"/>
            <w:hideMark/>
          </w:tcPr>
          <w:p w14:paraId="0EC80212" w14:textId="77777777" w:rsidR="00000000" w:rsidRDefault="00C01C43">
            <w:pPr>
              <w:jc w:val="right"/>
              <w:rPr>
                <w:rFonts w:eastAsia="Times New Roman"/>
              </w:rPr>
            </w:pPr>
            <w:r>
              <w:rPr>
                <w:rFonts w:ascii="Arial" w:eastAsia="Times New Roman" w:hAnsi="Arial" w:cs="Arial"/>
                <w:color w:val="000000"/>
                <w:sz w:val="20"/>
                <w:szCs w:val="20"/>
              </w:rPr>
              <w:t>10.3 </w:t>
            </w:r>
          </w:p>
        </w:tc>
        <w:tc>
          <w:tcPr>
            <w:tcW w:w="0" w:type="auto"/>
            <w:shd w:val="clear" w:color="auto" w:fill="FFFFFF"/>
            <w:tcMar>
              <w:top w:w="30" w:type="dxa"/>
              <w:left w:w="0" w:type="dxa"/>
              <w:bottom w:w="30" w:type="dxa"/>
              <w:right w:w="20" w:type="dxa"/>
            </w:tcMar>
            <w:vAlign w:val="bottom"/>
            <w:hideMark/>
          </w:tcPr>
          <w:p w14:paraId="2A04318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EDACD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0D6E6F" w14:textId="77777777" w:rsidR="00000000" w:rsidRDefault="00C01C43">
            <w:pPr>
              <w:jc w:val="right"/>
              <w:rPr>
                <w:rFonts w:eastAsia="Times New Roman"/>
              </w:rPr>
            </w:pPr>
            <w:r>
              <w:rPr>
                <w:rFonts w:ascii="Arial" w:eastAsia="Times New Roman" w:hAnsi="Arial" w:cs="Arial"/>
                <w:color w:val="000000"/>
                <w:sz w:val="20"/>
                <w:szCs w:val="20"/>
              </w:rPr>
              <w:t>19.7 </w:t>
            </w:r>
          </w:p>
        </w:tc>
        <w:tc>
          <w:tcPr>
            <w:tcW w:w="0" w:type="auto"/>
            <w:shd w:val="clear" w:color="auto" w:fill="FFFFFF"/>
            <w:tcMar>
              <w:top w:w="30" w:type="dxa"/>
              <w:left w:w="0" w:type="dxa"/>
              <w:bottom w:w="30" w:type="dxa"/>
              <w:right w:w="20" w:type="dxa"/>
            </w:tcMar>
            <w:vAlign w:val="bottom"/>
            <w:hideMark/>
          </w:tcPr>
          <w:p w14:paraId="78524B3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1BCA2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281ADB" w14:textId="77777777" w:rsidR="00000000" w:rsidRDefault="00C01C43">
            <w:pPr>
              <w:jc w:val="right"/>
              <w:rPr>
                <w:rFonts w:eastAsia="Times New Roman"/>
              </w:rPr>
            </w:pPr>
            <w:r>
              <w:rPr>
                <w:rFonts w:ascii="Arial" w:eastAsia="Times New Roman" w:hAnsi="Arial" w:cs="Arial"/>
                <w:color w:val="000000"/>
                <w:sz w:val="20"/>
                <w:szCs w:val="20"/>
              </w:rPr>
              <w:t>17.1 </w:t>
            </w:r>
          </w:p>
        </w:tc>
        <w:tc>
          <w:tcPr>
            <w:tcW w:w="0" w:type="auto"/>
            <w:shd w:val="clear" w:color="auto" w:fill="FFFFFF"/>
            <w:tcMar>
              <w:top w:w="30" w:type="dxa"/>
              <w:left w:w="0" w:type="dxa"/>
              <w:bottom w:w="30" w:type="dxa"/>
              <w:right w:w="20" w:type="dxa"/>
            </w:tcMar>
            <w:vAlign w:val="bottom"/>
            <w:hideMark/>
          </w:tcPr>
          <w:p w14:paraId="769B1CB8" w14:textId="77777777" w:rsidR="00000000" w:rsidRDefault="00C01C43">
            <w:pPr>
              <w:jc w:val="right"/>
              <w:rPr>
                <w:rFonts w:eastAsia="Times New Roman"/>
              </w:rPr>
            </w:pPr>
          </w:p>
        </w:tc>
      </w:tr>
      <w:tr w:rsidR="00000000" w14:paraId="697E53ED" w14:textId="77777777">
        <w:trPr>
          <w:divId w:val="108353681"/>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F33706"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928CA4" w14:textId="77777777" w:rsidR="00000000" w:rsidRDefault="00C01C43">
            <w:pPr>
              <w:jc w:val="right"/>
              <w:rPr>
                <w:rFonts w:eastAsia="Times New Roman"/>
              </w:rPr>
            </w:pPr>
            <w:r>
              <w:rPr>
                <w:rFonts w:ascii="Arial" w:eastAsia="Times New Roman" w:hAnsi="Arial" w:cs="Arial"/>
                <w:color w:val="000000"/>
                <w:sz w:val="20"/>
                <w:szCs w:val="20"/>
              </w:rPr>
              <w:t>714.0 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2A308C"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950A7A"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BFDD31" w14:textId="77777777" w:rsidR="00000000" w:rsidRDefault="00C01C43">
            <w:pPr>
              <w:jc w:val="right"/>
              <w:rPr>
                <w:rFonts w:eastAsia="Times New Roman"/>
              </w:rPr>
            </w:pPr>
            <w:r>
              <w:rPr>
                <w:rFonts w:ascii="Arial" w:eastAsia="Times New Roman" w:hAnsi="Arial" w:cs="Arial"/>
                <w:color w:val="000000"/>
                <w:sz w:val="20"/>
                <w:szCs w:val="20"/>
              </w:rPr>
              <w:t>812.3 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954DD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D7C497"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9D9105" w14:textId="77777777" w:rsidR="00000000" w:rsidRDefault="00C01C43">
            <w:pPr>
              <w:jc w:val="right"/>
              <w:rPr>
                <w:rFonts w:eastAsia="Times New Roman"/>
              </w:rPr>
            </w:pPr>
            <w:r>
              <w:rPr>
                <w:rFonts w:ascii="Arial" w:eastAsia="Times New Roman" w:hAnsi="Arial" w:cs="Arial"/>
                <w:color w:val="000000"/>
                <w:sz w:val="20"/>
                <w:szCs w:val="20"/>
              </w:rPr>
              <w:t>758.8 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D1678C" w14:textId="77777777" w:rsidR="00000000" w:rsidRDefault="00C01C43">
            <w:pPr>
              <w:jc w:val="right"/>
              <w:rPr>
                <w:rFonts w:eastAsia="Times New Roman"/>
              </w:rPr>
            </w:pPr>
          </w:p>
        </w:tc>
      </w:tr>
      <w:tr w:rsidR="00000000" w14:paraId="175233EA" w14:textId="77777777">
        <w:trPr>
          <w:divId w:val="10835368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E66A4C8" w14:textId="77777777" w:rsidR="00000000" w:rsidRDefault="00C01C43">
            <w:pPr>
              <w:rPr>
                <w:rFonts w:eastAsia="Times New Roman"/>
              </w:rPr>
            </w:pPr>
            <w:r>
              <w:rPr>
                <w:rFonts w:ascii="Arial" w:eastAsia="Times New Roman" w:hAnsi="Arial" w:cs="Arial"/>
                <w:color w:val="000000"/>
                <w:sz w:val="20"/>
                <w:szCs w:val="20"/>
              </w:rPr>
              <w:t>Income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CC65E6" w14:textId="77777777" w:rsidR="00000000" w:rsidRDefault="00C01C43">
            <w:pPr>
              <w:jc w:val="right"/>
              <w:rPr>
                <w:rFonts w:eastAsia="Times New Roman"/>
              </w:rPr>
            </w:pPr>
            <w:r>
              <w:rPr>
                <w:rFonts w:ascii="Arial" w:eastAsia="Times New Roman" w:hAnsi="Arial" w:cs="Arial"/>
                <w:color w:val="000000"/>
                <w:sz w:val="20"/>
                <w:szCs w:val="20"/>
              </w:rPr>
              <w:t>137.9 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6DE8D7"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8A7A77"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88F275" w14:textId="77777777" w:rsidR="00000000" w:rsidRDefault="00C01C43">
            <w:pPr>
              <w:jc w:val="right"/>
              <w:rPr>
                <w:rFonts w:eastAsia="Times New Roman"/>
              </w:rPr>
            </w:pPr>
            <w:r>
              <w:rPr>
                <w:rFonts w:ascii="Arial" w:eastAsia="Times New Roman" w:hAnsi="Arial" w:cs="Arial"/>
                <w:color w:val="000000"/>
                <w:sz w:val="20"/>
                <w:szCs w:val="20"/>
              </w:rPr>
              <w:t>299.7 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CA5A6F"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FC0554"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653969" w14:textId="77777777" w:rsidR="00000000" w:rsidRDefault="00C01C43">
            <w:pPr>
              <w:jc w:val="right"/>
              <w:rPr>
                <w:rFonts w:eastAsia="Times New Roman"/>
              </w:rPr>
            </w:pPr>
            <w:r>
              <w:rPr>
                <w:rFonts w:ascii="Arial" w:eastAsia="Times New Roman" w:hAnsi="Arial" w:cs="Arial"/>
                <w:color w:val="000000"/>
                <w:sz w:val="20"/>
                <w:szCs w:val="20"/>
              </w:rPr>
              <w:t>259.7 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585F70" w14:textId="77777777" w:rsidR="00000000" w:rsidRDefault="00C01C43">
            <w:pPr>
              <w:jc w:val="right"/>
              <w:rPr>
                <w:rFonts w:eastAsia="Times New Roman"/>
              </w:rPr>
            </w:pPr>
          </w:p>
        </w:tc>
      </w:tr>
      <w:tr w:rsidR="00000000" w14:paraId="4B839BB7" w14:textId="77777777">
        <w:trPr>
          <w:divId w:val="1083536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9E64E2" w14:textId="77777777" w:rsidR="00000000" w:rsidRDefault="00C01C43">
            <w:pPr>
              <w:rPr>
                <w:rFonts w:eastAsia="Times New Roman"/>
              </w:rPr>
            </w:pPr>
            <w:r>
              <w:rPr>
                <w:rFonts w:ascii="Arial" w:eastAsia="Times New Roman" w:hAnsi="Arial" w:cs="Arial"/>
                <w:color w:val="000000"/>
                <w:sz w:val="20"/>
                <w:szCs w:val="20"/>
              </w:rPr>
              <w:t>Non-operating income (expenses),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9119E1"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9A962B"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7FC9C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6C0505"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098017" w14:textId="77777777" w:rsidR="00000000" w:rsidRDefault="00C01C43">
            <w:pPr>
              <w:rPr>
                <w:rFonts w:eastAsia="Times New Roman"/>
                <w:sz w:val="20"/>
                <w:szCs w:val="20"/>
              </w:rPr>
            </w:pPr>
          </w:p>
        </w:tc>
      </w:tr>
      <w:tr w:rsidR="00000000" w14:paraId="47B5F843" w14:textId="77777777">
        <w:trPr>
          <w:divId w:val="108353681"/>
        </w:trPr>
        <w:tc>
          <w:tcPr>
            <w:tcW w:w="0" w:type="auto"/>
            <w:gridSpan w:val="3"/>
            <w:shd w:val="clear" w:color="auto" w:fill="FFFFFF"/>
            <w:tcMar>
              <w:top w:w="30" w:type="dxa"/>
              <w:left w:w="20" w:type="dxa"/>
              <w:bottom w:w="30" w:type="dxa"/>
              <w:right w:w="20" w:type="dxa"/>
            </w:tcMar>
            <w:vAlign w:val="bottom"/>
            <w:hideMark/>
          </w:tcPr>
          <w:p w14:paraId="12F99F83" w14:textId="77777777" w:rsidR="00000000" w:rsidRDefault="00C01C43">
            <w:pPr>
              <w:rPr>
                <w:rFonts w:eastAsia="Times New Roman"/>
              </w:rPr>
            </w:pPr>
            <w:r>
              <w:rPr>
                <w:rFonts w:ascii="Arial" w:eastAsia="Times New Roman" w:hAnsi="Arial" w:cs="Arial"/>
                <w:color w:val="000000"/>
                <w:sz w:val="20"/>
                <w:szCs w:val="20"/>
              </w:rPr>
              <w:t>Interest expense and other financing costs, net</w:t>
            </w:r>
          </w:p>
        </w:tc>
        <w:tc>
          <w:tcPr>
            <w:tcW w:w="0" w:type="auto"/>
            <w:gridSpan w:val="2"/>
            <w:shd w:val="clear" w:color="auto" w:fill="FFFFFF"/>
            <w:tcMar>
              <w:top w:w="30" w:type="dxa"/>
              <w:left w:w="20" w:type="dxa"/>
              <w:bottom w:w="30" w:type="dxa"/>
              <w:right w:w="0" w:type="dxa"/>
            </w:tcMar>
            <w:vAlign w:val="bottom"/>
            <w:hideMark/>
          </w:tcPr>
          <w:p w14:paraId="0D692AE0" w14:textId="77777777" w:rsidR="00000000" w:rsidRDefault="00C01C43">
            <w:pPr>
              <w:jc w:val="right"/>
              <w:rPr>
                <w:rFonts w:eastAsia="Times New Roman"/>
              </w:rPr>
            </w:pPr>
            <w:r>
              <w:rPr>
                <w:rFonts w:ascii="Arial" w:eastAsia="Times New Roman" w:hAnsi="Arial" w:cs="Arial"/>
                <w:color w:val="000000"/>
                <w:sz w:val="20"/>
                <w:szCs w:val="20"/>
              </w:rPr>
              <w:t>(44.9)</w:t>
            </w:r>
          </w:p>
        </w:tc>
        <w:tc>
          <w:tcPr>
            <w:tcW w:w="0" w:type="auto"/>
            <w:shd w:val="clear" w:color="auto" w:fill="FFFFFF"/>
            <w:tcMar>
              <w:top w:w="30" w:type="dxa"/>
              <w:left w:w="0" w:type="dxa"/>
              <w:bottom w:w="30" w:type="dxa"/>
              <w:right w:w="20" w:type="dxa"/>
            </w:tcMar>
            <w:vAlign w:val="bottom"/>
            <w:hideMark/>
          </w:tcPr>
          <w:p w14:paraId="169E956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5D1C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DD9ED4" w14:textId="77777777" w:rsidR="00000000" w:rsidRDefault="00C01C43">
            <w:pPr>
              <w:jc w:val="right"/>
              <w:rPr>
                <w:rFonts w:eastAsia="Times New Roman"/>
              </w:rPr>
            </w:pPr>
            <w:r>
              <w:rPr>
                <w:rFonts w:ascii="Arial" w:eastAsia="Times New Roman" w:hAnsi="Arial" w:cs="Arial"/>
                <w:color w:val="000000"/>
                <w:sz w:val="20"/>
                <w:szCs w:val="20"/>
              </w:rPr>
              <w:t>(73.9)</w:t>
            </w:r>
          </w:p>
        </w:tc>
        <w:tc>
          <w:tcPr>
            <w:tcW w:w="0" w:type="auto"/>
            <w:shd w:val="clear" w:color="auto" w:fill="FFFFFF"/>
            <w:tcMar>
              <w:top w:w="30" w:type="dxa"/>
              <w:left w:w="0" w:type="dxa"/>
              <w:bottom w:w="30" w:type="dxa"/>
              <w:right w:w="20" w:type="dxa"/>
            </w:tcMar>
            <w:vAlign w:val="bottom"/>
            <w:hideMark/>
          </w:tcPr>
          <w:p w14:paraId="7E22F53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25524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D198C1" w14:textId="77777777" w:rsidR="00000000" w:rsidRDefault="00C01C43">
            <w:pPr>
              <w:jc w:val="right"/>
              <w:rPr>
                <w:rFonts w:eastAsia="Times New Roman"/>
              </w:rPr>
            </w:pPr>
            <w:r>
              <w:rPr>
                <w:rFonts w:ascii="Arial" w:eastAsia="Times New Roman" w:hAnsi="Arial" w:cs="Arial"/>
                <w:color w:val="000000"/>
                <w:sz w:val="20"/>
                <w:szCs w:val="20"/>
              </w:rPr>
              <w:t>(71.0)</w:t>
            </w:r>
          </w:p>
        </w:tc>
        <w:tc>
          <w:tcPr>
            <w:tcW w:w="0" w:type="auto"/>
            <w:shd w:val="clear" w:color="auto" w:fill="FFFFFF"/>
            <w:tcMar>
              <w:top w:w="30" w:type="dxa"/>
              <w:left w:w="0" w:type="dxa"/>
              <w:bottom w:w="30" w:type="dxa"/>
              <w:right w:w="20" w:type="dxa"/>
            </w:tcMar>
            <w:vAlign w:val="bottom"/>
            <w:hideMark/>
          </w:tcPr>
          <w:p w14:paraId="3BDDD15F" w14:textId="77777777" w:rsidR="00000000" w:rsidRDefault="00C01C43">
            <w:pPr>
              <w:jc w:val="right"/>
              <w:rPr>
                <w:rFonts w:eastAsia="Times New Roman"/>
              </w:rPr>
            </w:pPr>
          </w:p>
        </w:tc>
      </w:tr>
      <w:tr w:rsidR="00000000" w14:paraId="281BEA20" w14:textId="77777777">
        <w:trPr>
          <w:divId w:val="108353681"/>
        </w:trPr>
        <w:tc>
          <w:tcPr>
            <w:tcW w:w="0" w:type="auto"/>
            <w:gridSpan w:val="3"/>
            <w:shd w:val="clear" w:color="auto" w:fill="CCEEFF"/>
            <w:tcMar>
              <w:top w:w="30" w:type="dxa"/>
              <w:left w:w="20" w:type="dxa"/>
              <w:bottom w:w="30" w:type="dxa"/>
              <w:right w:w="20" w:type="dxa"/>
            </w:tcMar>
            <w:vAlign w:val="bottom"/>
            <w:hideMark/>
          </w:tcPr>
          <w:p w14:paraId="2B01F882" w14:textId="77777777" w:rsidR="00000000" w:rsidRDefault="00C01C43">
            <w:pPr>
              <w:rPr>
                <w:rFonts w:eastAsia="Times New Roman"/>
              </w:rPr>
            </w:pPr>
            <w:r>
              <w:rPr>
                <w:rFonts w:ascii="Arial" w:eastAsia="Times New Roman" w:hAnsi="Arial" w:cs="Arial"/>
                <w:color w:val="000000"/>
                <w:sz w:val="20"/>
                <w:szCs w:val="20"/>
              </w:rPr>
              <w:t>Other income (expense), net</w:t>
            </w:r>
          </w:p>
        </w:tc>
        <w:tc>
          <w:tcPr>
            <w:tcW w:w="0" w:type="auto"/>
            <w:gridSpan w:val="2"/>
            <w:shd w:val="clear" w:color="auto" w:fill="CCEEFF"/>
            <w:tcMar>
              <w:top w:w="30" w:type="dxa"/>
              <w:left w:w="20" w:type="dxa"/>
              <w:bottom w:w="30" w:type="dxa"/>
              <w:right w:w="0" w:type="dxa"/>
            </w:tcMar>
            <w:vAlign w:val="bottom"/>
            <w:hideMark/>
          </w:tcPr>
          <w:p w14:paraId="05A768B9" w14:textId="77777777" w:rsidR="00000000" w:rsidRDefault="00C01C43">
            <w:pPr>
              <w:jc w:val="right"/>
              <w:rPr>
                <w:rFonts w:eastAsia="Times New Roman"/>
              </w:rPr>
            </w:pPr>
            <w:r>
              <w:rPr>
                <w:rFonts w:ascii="Arial" w:eastAsia="Times New Roman" w:hAnsi="Arial" w:cs="Arial"/>
                <w:color w:val="000000"/>
                <w:sz w:val="20"/>
                <w:szCs w:val="20"/>
              </w:rPr>
              <w:t>68.8 </w:t>
            </w:r>
          </w:p>
        </w:tc>
        <w:tc>
          <w:tcPr>
            <w:tcW w:w="0" w:type="auto"/>
            <w:shd w:val="clear" w:color="auto" w:fill="CCEEFF"/>
            <w:tcMar>
              <w:top w:w="30" w:type="dxa"/>
              <w:left w:w="0" w:type="dxa"/>
              <w:bottom w:w="30" w:type="dxa"/>
              <w:right w:w="20" w:type="dxa"/>
            </w:tcMar>
            <w:vAlign w:val="bottom"/>
            <w:hideMark/>
          </w:tcPr>
          <w:p w14:paraId="02693E5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89BE9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60792D" w14:textId="77777777" w:rsidR="00000000" w:rsidRDefault="00C01C43">
            <w:pPr>
              <w:jc w:val="right"/>
              <w:rPr>
                <w:rFonts w:eastAsia="Times New Roman"/>
              </w:rPr>
            </w:pPr>
            <w:r>
              <w:rPr>
                <w:rFonts w:ascii="Arial" w:eastAsia="Times New Roman" w:hAnsi="Arial" w:cs="Arial"/>
                <w:color w:val="000000"/>
                <w:sz w:val="20"/>
                <w:szCs w:val="20"/>
              </w:rPr>
              <w:t>11.5 </w:t>
            </w:r>
          </w:p>
        </w:tc>
        <w:tc>
          <w:tcPr>
            <w:tcW w:w="0" w:type="auto"/>
            <w:shd w:val="clear" w:color="auto" w:fill="CCEEFF"/>
            <w:tcMar>
              <w:top w:w="30" w:type="dxa"/>
              <w:left w:w="0" w:type="dxa"/>
              <w:bottom w:w="30" w:type="dxa"/>
              <w:right w:w="20" w:type="dxa"/>
            </w:tcMar>
            <w:vAlign w:val="bottom"/>
            <w:hideMark/>
          </w:tcPr>
          <w:p w14:paraId="5D157C2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49B97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5CF261" w14:textId="77777777" w:rsidR="00000000" w:rsidRDefault="00C01C43">
            <w:pPr>
              <w:jc w:val="right"/>
              <w:rPr>
                <w:rFonts w:eastAsia="Times New Roman"/>
              </w:rPr>
            </w:pPr>
            <w:r>
              <w:rPr>
                <w:rFonts w:ascii="Arial" w:eastAsia="Times New Roman" w:hAnsi="Arial" w:cs="Arial"/>
                <w:color w:val="000000"/>
                <w:sz w:val="20"/>
                <w:szCs w:val="20"/>
              </w:rPr>
              <w:t>(3.8)</w:t>
            </w:r>
          </w:p>
        </w:tc>
        <w:tc>
          <w:tcPr>
            <w:tcW w:w="0" w:type="auto"/>
            <w:shd w:val="clear" w:color="auto" w:fill="CCEEFF"/>
            <w:tcMar>
              <w:top w:w="30" w:type="dxa"/>
              <w:left w:w="0" w:type="dxa"/>
              <w:bottom w:w="30" w:type="dxa"/>
              <w:right w:w="20" w:type="dxa"/>
            </w:tcMar>
            <w:vAlign w:val="bottom"/>
            <w:hideMark/>
          </w:tcPr>
          <w:p w14:paraId="2FCB5F83" w14:textId="77777777" w:rsidR="00000000" w:rsidRDefault="00C01C43">
            <w:pPr>
              <w:jc w:val="right"/>
              <w:rPr>
                <w:rFonts w:eastAsia="Times New Roman"/>
              </w:rPr>
            </w:pPr>
          </w:p>
        </w:tc>
      </w:tr>
      <w:tr w:rsidR="00000000" w14:paraId="1D36AEA9" w14:textId="77777777">
        <w:trPr>
          <w:divId w:val="108353681"/>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1F196AE"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2E6EDF" w14:textId="77777777" w:rsidR="00000000" w:rsidRDefault="00C01C43">
            <w:pPr>
              <w:jc w:val="right"/>
              <w:rPr>
                <w:rFonts w:eastAsia="Times New Roman"/>
              </w:rPr>
            </w:pPr>
            <w:r>
              <w:rPr>
                <w:rFonts w:ascii="Arial" w:eastAsia="Times New Roman" w:hAnsi="Arial" w:cs="Arial"/>
                <w:color w:val="000000"/>
                <w:sz w:val="20"/>
                <w:szCs w:val="20"/>
              </w:rPr>
              <w:t>23.9 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603CCC"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094B80"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A27532" w14:textId="77777777" w:rsidR="00000000" w:rsidRDefault="00C01C43">
            <w:pPr>
              <w:jc w:val="right"/>
              <w:rPr>
                <w:rFonts w:eastAsia="Times New Roman"/>
              </w:rPr>
            </w:pPr>
            <w:r>
              <w:rPr>
                <w:rFonts w:ascii="Arial" w:eastAsia="Times New Roman" w:hAnsi="Arial" w:cs="Arial"/>
                <w:color w:val="000000"/>
                <w:sz w:val="20"/>
                <w:szCs w:val="20"/>
              </w:rPr>
              <w:t>(62.4)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76D734"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72AD024"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7FBE49" w14:textId="77777777" w:rsidR="00000000" w:rsidRDefault="00C01C43">
            <w:pPr>
              <w:jc w:val="right"/>
              <w:rPr>
                <w:rFonts w:eastAsia="Times New Roman"/>
              </w:rPr>
            </w:pPr>
            <w:r>
              <w:rPr>
                <w:rFonts w:ascii="Arial" w:eastAsia="Times New Roman" w:hAnsi="Arial" w:cs="Arial"/>
                <w:color w:val="000000"/>
                <w:sz w:val="20"/>
                <w:szCs w:val="20"/>
              </w:rPr>
              <w:t>(74.8)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B3BBC1" w14:textId="77777777" w:rsidR="00000000" w:rsidRDefault="00C01C43">
            <w:pPr>
              <w:jc w:val="right"/>
              <w:rPr>
                <w:rFonts w:eastAsia="Times New Roman"/>
              </w:rPr>
            </w:pPr>
          </w:p>
        </w:tc>
      </w:tr>
      <w:tr w:rsidR="00000000" w14:paraId="45DDEA8C" w14:textId="77777777">
        <w:trPr>
          <w:divId w:val="1083536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5D7512D" w14:textId="77777777" w:rsidR="00000000" w:rsidRDefault="00C01C43">
            <w:pPr>
              <w:rPr>
                <w:rFonts w:eastAsia="Times New Roman"/>
              </w:rPr>
            </w:pPr>
            <w:r>
              <w:rPr>
                <w:rFonts w:ascii="Arial" w:eastAsia="Times New Roman" w:hAnsi="Arial" w:cs="Arial"/>
                <w:color w:val="000000"/>
                <w:sz w:val="20"/>
                <w:szCs w:val="20"/>
              </w:rPr>
              <w:t>Income (loss)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5205A3" w14:textId="77777777" w:rsidR="00000000" w:rsidRDefault="00C01C43">
            <w:pPr>
              <w:jc w:val="right"/>
              <w:rPr>
                <w:rFonts w:eastAsia="Times New Roman"/>
              </w:rPr>
            </w:pPr>
            <w:r>
              <w:rPr>
                <w:rFonts w:ascii="Arial" w:eastAsia="Times New Roman" w:hAnsi="Arial" w:cs="Arial"/>
                <w:color w:val="000000"/>
                <w:sz w:val="20"/>
                <w:szCs w:val="20"/>
              </w:rPr>
              <w:t>161.7 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AF135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858AE8"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2EB6C1" w14:textId="77777777" w:rsidR="00000000" w:rsidRDefault="00C01C43">
            <w:pPr>
              <w:jc w:val="right"/>
              <w:rPr>
                <w:rFonts w:eastAsia="Times New Roman"/>
              </w:rPr>
            </w:pPr>
            <w:r>
              <w:rPr>
                <w:rFonts w:ascii="Arial" w:eastAsia="Times New Roman" w:hAnsi="Arial" w:cs="Arial"/>
                <w:color w:val="000000"/>
                <w:sz w:val="20"/>
                <w:szCs w:val="20"/>
              </w:rPr>
              <w:t>237.3 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25E71A"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1F93E2"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790ADB" w14:textId="77777777" w:rsidR="00000000" w:rsidRDefault="00C01C43">
            <w:pPr>
              <w:jc w:val="right"/>
              <w:rPr>
                <w:rFonts w:eastAsia="Times New Roman"/>
              </w:rPr>
            </w:pPr>
            <w:r>
              <w:rPr>
                <w:rFonts w:ascii="Arial" w:eastAsia="Times New Roman" w:hAnsi="Arial" w:cs="Arial"/>
                <w:color w:val="000000"/>
                <w:sz w:val="20"/>
                <w:szCs w:val="20"/>
              </w:rPr>
              <w:t>184.9 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A277E1" w14:textId="77777777" w:rsidR="00000000" w:rsidRDefault="00C01C43">
            <w:pPr>
              <w:jc w:val="right"/>
              <w:rPr>
                <w:rFonts w:eastAsia="Times New Roman"/>
              </w:rPr>
            </w:pPr>
          </w:p>
        </w:tc>
      </w:tr>
      <w:tr w:rsidR="00000000" w14:paraId="40671691" w14:textId="77777777">
        <w:trPr>
          <w:divId w:val="108353681"/>
        </w:trPr>
        <w:tc>
          <w:tcPr>
            <w:tcW w:w="0" w:type="auto"/>
            <w:gridSpan w:val="3"/>
            <w:shd w:val="clear" w:color="auto" w:fill="FFFFFF"/>
            <w:tcMar>
              <w:top w:w="30" w:type="dxa"/>
              <w:left w:w="20" w:type="dxa"/>
              <w:bottom w:w="30" w:type="dxa"/>
              <w:right w:w="20" w:type="dxa"/>
            </w:tcMar>
            <w:vAlign w:val="bottom"/>
            <w:hideMark/>
          </w:tcPr>
          <w:p w14:paraId="6D7BE7C8" w14:textId="77777777" w:rsidR="00000000" w:rsidRDefault="00C01C43">
            <w:pPr>
              <w:rPr>
                <w:rFonts w:eastAsia="Times New Roman"/>
              </w:rPr>
            </w:pPr>
            <w:r>
              <w:rPr>
                <w:rFonts w:ascii="Arial" w:eastAsia="Times New Roman" w:hAnsi="Arial" w:cs="Arial"/>
                <w:color w:val="000000"/>
                <w:sz w:val="20"/>
                <w:szCs w:val="20"/>
              </w:rPr>
              <w:t>Provision for income taxes</w:t>
            </w:r>
          </w:p>
        </w:tc>
        <w:tc>
          <w:tcPr>
            <w:tcW w:w="0" w:type="auto"/>
            <w:gridSpan w:val="2"/>
            <w:shd w:val="clear" w:color="auto" w:fill="FFFFFF"/>
            <w:tcMar>
              <w:top w:w="30" w:type="dxa"/>
              <w:left w:w="20" w:type="dxa"/>
              <w:bottom w:w="30" w:type="dxa"/>
              <w:right w:w="0" w:type="dxa"/>
            </w:tcMar>
            <w:vAlign w:val="bottom"/>
            <w:hideMark/>
          </w:tcPr>
          <w:p w14:paraId="4577C537" w14:textId="77777777" w:rsidR="00000000" w:rsidRDefault="00C01C43">
            <w:pPr>
              <w:jc w:val="right"/>
              <w:rPr>
                <w:rFonts w:eastAsia="Times New Roman"/>
              </w:rPr>
            </w:pPr>
            <w:r>
              <w:rPr>
                <w:rFonts w:ascii="Arial" w:eastAsia="Times New Roman" w:hAnsi="Arial" w:cs="Arial"/>
                <w:color w:val="000000"/>
                <w:sz w:val="20"/>
                <w:szCs w:val="20"/>
              </w:rPr>
              <w:t>52.1 </w:t>
            </w:r>
          </w:p>
        </w:tc>
        <w:tc>
          <w:tcPr>
            <w:tcW w:w="0" w:type="auto"/>
            <w:shd w:val="clear" w:color="auto" w:fill="FFFFFF"/>
            <w:tcMar>
              <w:top w:w="30" w:type="dxa"/>
              <w:left w:w="0" w:type="dxa"/>
              <w:bottom w:w="30" w:type="dxa"/>
              <w:right w:w="20" w:type="dxa"/>
            </w:tcMar>
            <w:vAlign w:val="bottom"/>
            <w:hideMark/>
          </w:tcPr>
          <w:p w14:paraId="1ED595A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A731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7D3FC0" w14:textId="77777777" w:rsidR="00000000" w:rsidRDefault="00C01C43">
            <w:pPr>
              <w:jc w:val="right"/>
              <w:rPr>
                <w:rFonts w:eastAsia="Times New Roman"/>
              </w:rPr>
            </w:pPr>
            <w:r>
              <w:rPr>
                <w:rFonts w:ascii="Arial" w:eastAsia="Times New Roman" w:hAnsi="Arial" w:cs="Arial"/>
                <w:color w:val="000000"/>
                <w:sz w:val="20"/>
                <w:szCs w:val="20"/>
              </w:rPr>
              <w:t>56.2 </w:t>
            </w:r>
          </w:p>
        </w:tc>
        <w:tc>
          <w:tcPr>
            <w:tcW w:w="0" w:type="auto"/>
            <w:shd w:val="clear" w:color="auto" w:fill="FFFFFF"/>
            <w:tcMar>
              <w:top w:w="30" w:type="dxa"/>
              <w:left w:w="0" w:type="dxa"/>
              <w:bottom w:w="30" w:type="dxa"/>
              <w:right w:w="20" w:type="dxa"/>
            </w:tcMar>
            <w:vAlign w:val="bottom"/>
            <w:hideMark/>
          </w:tcPr>
          <w:p w14:paraId="0D0363C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1858A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0F07AA" w14:textId="77777777" w:rsidR="00000000" w:rsidRDefault="00C01C43">
            <w:pPr>
              <w:jc w:val="right"/>
              <w:rPr>
                <w:rFonts w:eastAsia="Times New Roman"/>
              </w:rPr>
            </w:pPr>
            <w:r>
              <w:rPr>
                <w:rFonts w:ascii="Arial" w:eastAsia="Times New Roman" w:hAnsi="Arial" w:cs="Arial"/>
                <w:color w:val="000000"/>
                <w:sz w:val="20"/>
                <w:szCs w:val="20"/>
              </w:rPr>
              <w:t>55.9 </w:t>
            </w:r>
          </w:p>
        </w:tc>
        <w:tc>
          <w:tcPr>
            <w:tcW w:w="0" w:type="auto"/>
            <w:shd w:val="clear" w:color="auto" w:fill="FFFFFF"/>
            <w:tcMar>
              <w:top w:w="30" w:type="dxa"/>
              <w:left w:w="0" w:type="dxa"/>
              <w:bottom w:w="30" w:type="dxa"/>
              <w:right w:w="20" w:type="dxa"/>
            </w:tcMar>
            <w:vAlign w:val="bottom"/>
            <w:hideMark/>
          </w:tcPr>
          <w:p w14:paraId="7EA5F9A4" w14:textId="77777777" w:rsidR="00000000" w:rsidRDefault="00C01C43">
            <w:pPr>
              <w:jc w:val="right"/>
              <w:rPr>
                <w:rFonts w:eastAsia="Times New Roman"/>
              </w:rPr>
            </w:pPr>
          </w:p>
        </w:tc>
      </w:tr>
      <w:tr w:rsidR="00000000" w14:paraId="4ED6CDB7" w14:textId="77777777">
        <w:trPr>
          <w:divId w:val="1083536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DD99A9B" w14:textId="77777777" w:rsidR="00000000" w:rsidRDefault="00C01C43">
            <w:pPr>
              <w:rPr>
                <w:rFonts w:eastAsia="Times New Roman"/>
              </w:rPr>
            </w:pPr>
            <w:r>
              <w:rPr>
                <w:rFonts w:ascii="Arial" w:eastAsia="Times New Roman" w:hAnsi="Arial" w:cs="Arial"/>
                <w:color w:val="000000"/>
                <w:sz w:val="20"/>
                <w:szCs w:val="20"/>
              </w:rPr>
              <w:t>Net income (loss) including noncontrolling interest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0D15A9" w14:textId="77777777" w:rsidR="00000000" w:rsidRDefault="00C01C43">
            <w:pPr>
              <w:jc w:val="right"/>
              <w:rPr>
                <w:rFonts w:eastAsia="Times New Roman"/>
              </w:rPr>
            </w:pPr>
            <w:r>
              <w:rPr>
                <w:rFonts w:ascii="Arial" w:eastAsia="Times New Roman" w:hAnsi="Arial" w:cs="Arial"/>
                <w:color w:val="000000"/>
                <w:sz w:val="20"/>
                <w:szCs w:val="20"/>
              </w:rPr>
              <w:t>109.6 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04B6B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E20E14"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42E450" w14:textId="77777777" w:rsidR="00000000" w:rsidRDefault="00C01C43">
            <w:pPr>
              <w:jc w:val="right"/>
              <w:rPr>
                <w:rFonts w:eastAsia="Times New Roman"/>
              </w:rPr>
            </w:pPr>
            <w:r>
              <w:rPr>
                <w:rFonts w:ascii="Arial" w:eastAsia="Times New Roman" w:hAnsi="Arial" w:cs="Arial"/>
                <w:color w:val="000000"/>
                <w:sz w:val="20"/>
                <w:szCs w:val="20"/>
              </w:rPr>
              <w:t>181.1 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3DCE9A"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2BE401"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D6D016" w14:textId="77777777" w:rsidR="00000000" w:rsidRDefault="00C01C43">
            <w:pPr>
              <w:jc w:val="right"/>
              <w:rPr>
                <w:rFonts w:eastAsia="Times New Roman"/>
              </w:rPr>
            </w:pPr>
            <w:r>
              <w:rPr>
                <w:rFonts w:ascii="Arial" w:eastAsia="Times New Roman" w:hAnsi="Arial" w:cs="Arial"/>
                <w:color w:val="000000"/>
                <w:sz w:val="20"/>
                <w:szCs w:val="20"/>
              </w:rPr>
              <w:t>129.0 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F987AE" w14:textId="77777777" w:rsidR="00000000" w:rsidRDefault="00C01C43">
            <w:pPr>
              <w:jc w:val="right"/>
              <w:rPr>
                <w:rFonts w:eastAsia="Times New Roman"/>
              </w:rPr>
            </w:pPr>
          </w:p>
        </w:tc>
      </w:tr>
      <w:tr w:rsidR="00000000" w14:paraId="4EA7EEC6" w14:textId="77777777">
        <w:trPr>
          <w:divId w:val="108353681"/>
        </w:trPr>
        <w:tc>
          <w:tcPr>
            <w:tcW w:w="0" w:type="auto"/>
            <w:gridSpan w:val="3"/>
            <w:shd w:val="clear" w:color="auto" w:fill="FFFFFF"/>
            <w:tcMar>
              <w:top w:w="30" w:type="dxa"/>
              <w:left w:w="20" w:type="dxa"/>
              <w:bottom w:w="30" w:type="dxa"/>
              <w:right w:w="20" w:type="dxa"/>
            </w:tcMar>
            <w:vAlign w:val="bottom"/>
            <w:hideMark/>
          </w:tcPr>
          <w:p w14:paraId="219EC577" w14:textId="77777777" w:rsidR="00000000" w:rsidRDefault="00C01C43">
            <w:pPr>
              <w:rPr>
                <w:rFonts w:eastAsia="Times New Roman"/>
              </w:rPr>
            </w:pPr>
            <w:r>
              <w:rPr>
                <w:rFonts w:ascii="Arial" w:eastAsia="Times New Roman" w:hAnsi="Arial" w:cs="Arial"/>
                <w:color w:val="000000"/>
                <w:sz w:val="20"/>
                <w:szCs w:val="20"/>
              </w:rPr>
              <w:t>Net income (loss) attributable to noncontrolling interest</w:t>
            </w:r>
          </w:p>
        </w:tc>
        <w:tc>
          <w:tcPr>
            <w:tcW w:w="0" w:type="auto"/>
            <w:gridSpan w:val="2"/>
            <w:shd w:val="clear" w:color="auto" w:fill="FFFFFF"/>
            <w:tcMar>
              <w:top w:w="30" w:type="dxa"/>
              <w:left w:w="20" w:type="dxa"/>
              <w:bottom w:w="30" w:type="dxa"/>
              <w:right w:w="0" w:type="dxa"/>
            </w:tcMar>
            <w:vAlign w:val="bottom"/>
            <w:hideMark/>
          </w:tcPr>
          <w:p w14:paraId="630A33DB" w14:textId="77777777" w:rsidR="00000000" w:rsidRDefault="00C01C43">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1974394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C6B8D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AD7AE6" w14:textId="77777777" w:rsidR="00000000" w:rsidRDefault="00C01C43">
            <w:pPr>
              <w:jc w:val="right"/>
              <w:rPr>
                <w:rFonts w:eastAsia="Times New Roman"/>
              </w:rPr>
            </w:pPr>
            <w:r>
              <w:rPr>
                <w:rFonts w:ascii="Arial" w:eastAsia="Times New Roman" w:hAnsi="Arial" w:cs="Arial"/>
                <w:color w:val="000000"/>
                <w:sz w:val="20"/>
                <w:szCs w:val="20"/>
              </w:rPr>
              <w:t>2.2 </w:t>
            </w:r>
          </w:p>
        </w:tc>
        <w:tc>
          <w:tcPr>
            <w:tcW w:w="0" w:type="auto"/>
            <w:shd w:val="clear" w:color="auto" w:fill="FFFFFF"/>
            <w:tcMar>
              <w:top w:w="30" w:type="dxa"/>
              <w:left w:w="0" w:type="dxa"/>
              <w:bottom w:w="30" w:type="dxa"/>
              <w:right w:w="20" w:type="dxa"/>
            </w:tcMar>
            <w:vAlign w:val="bottom"/>
            <w:hideMark/>
          </w:tcPr>
          <w:p w14:paraId="1E50BA4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5E3E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0590D3" w14:textId="77777777" w:rsidR="00000000" w:rsidRDefault="00C01C43">
            <w:pPr>
              <w:jc w:val="right"/>
              <w:rPr>
                <w:rFonts w:eastAsia="Times New Roman"/>
              </w:rPr>
            </w:pPr>
            <w:r>
              <w:rPr>
                <w:rFonts w:ascii="Arial" w:eastAsia="Times New Roman" w:hAnsi="Arial" w:cs="Arial"/>
                <w:color w:val="000000"/>
                <w:sz w:val="20"/>
                <w:szCs w:val="20"/>
              </w:rPr>
              <w:t>1.3 </w:t>
            </w:r>
          </w:p>
        </w:tc>
        <w:tc>
          <w:tcPr>
            <w:tcW w:w="0" w:type="auto"/>
            <w:shd w:val="clear" w:color="auto" w:fill="FFFFFF"/>
            <w:tcMar>
              <w:top w:w="30" w:type="dxa"/>
              <w:left w:w="0" w:type="dxa"/>
              <w:bottom w:w="30" w:type="dxa"/>
              <w:right w:w="20" w:type="dxa"/>
            </w:tcMar>
            <w:vAlign w:val="bottom"/>
            <w:hideMark/>
          </w:tcPr>
          <w:p w14:paraId="4391E26B" w14:textId="77777777" w:rsidR="00000000" w:rsidRDefault="00C01C43">
            <w:pPr>
              <w:jc w:val="right"/>
              <w:rPr>
                <w:rFonts w:eastAsia="Times New Roman"/>
              </w:rPr>
            </w:pPr>
          </w:p>
        </w:tc>
      </w:tr>
      <w:tr w:rsidR="00000000" w14:paraId="392A59D9" w14:textId="77777777">
        <w:trPr>
          <w:divId w:val="1083536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B7FFBD9" w14:textId="77777777" w:rsidR="00000000" w:rsidRDefault="00C01C43">
            <w:pPr>
              <w:rPr>
                <w:rFonts w:eastAsia="Times New Roman"/>
              </w:rPr>
            </w:pPr>
            <w:r>
              <w:rPr>
                <w:rFonts w:ascii="Arial" w:eastAsia="Times New Roman" w:hAnsi="Arial" w:cs="Arial"/>
                <w:color w:val="000000"/>
                <w:sz w:val="20"/>
                <w:szCs w:val="20"/>
              </w:rPr>
              <w:t>Net income (loss) attributable to World Fuel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ED661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731572" w14:textId="77777777" w:rsidR="00000000" w:rsidRDefault="00C01C43">
            <w:pPr>
              <w:jc w:val="right"/>
              <w:rPr>
                <w:rFonts w:eastAsia="Times New Roman"/>
              </w:rPr>
            </w:pPr>
            <w:r>
              <w:rPr>
                <w:rFonts w:ascii="Arial" w:eastAsia="Times New Roman" w:hAnsi="Arial" w:cs="Arial"/>
                <w:color w:val="000000"/>
                <w:sz w:val="20"/>
                <w:szCs w:val="20"/>
              </w:rPr>
              <w:t>109.6 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0A5EA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DDF4E6"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08F94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506EB7" w14:textId="77777777" w:rsidR="00000000" w:rsidRDefault="00C01C43">
            <w:pPr>
              <w:jc w:val="right"/>
              <w:rPr>
                <w:rFonts w:eastAsia="Times New Roman"/>
              </w:rPr>
            </w:pPr>
            <w:r>
              <w:rPr>
                <w:rFonts w:ascii="Arial" w:eastAsia="Times New Roman" w:hAnsi="Arial" w:cs="Arial"/>
                <w:color w:val="000000"/>
                <w:sz w:val="20"/>
                <w:szCs w:val="20"/>
              </w:rPr>
              <w:t>178.9 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B42C5C"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16A302"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78588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E9BE04" w14:textId="77777777" w:rsidR="00000000" w:rsidRDefault="00C01C43">
            <w:pPr>
              <w:jc w:val="right"/>
              <w:rPr>
                <w:rFonts w:eastAsia="Times New Roman"/>
              </w:rPr>
            </w:pPr>
            <w:r>
              <w:rPr>
                <w:rFonts w:ascii="Arial" w:eastAsia="Times New Roman" w:hAnsi="Arial" w:cs="Arial"/>
                <w:color w:val="000000"/>
                <w:sz w:val="20"/>
                <w:szCs w:val="20"/>
              </w:rPr>
              <w:t>127.7 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2B5A0C" w14:textId="77777777" w:rsidR="00000000" w:rsidRDefault="00C01C43">
            <w:pPr>
              <w:jc w:val="right"/>
              <w:rPr>
                <w:rFonts w:eastAsia="Times New Roman"/>
              </w:rPr>
            </w:pPr>
          </w:p>
        </w:tc>
      </w:tr>
      <w:tr w:rsidR="00000000" w14:paraId="479C9A80" w14:textId="77777777">
        <w:trPr>
          <w:divId w:val="108353681"/>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8C5AB5B" w14:textId="77777777" w:rsidR="00000000" w:rsidRDefault="00C01C43">
            <w:pPr>
              <w:rPr>
                <w:rFonts w:eastAsia="Times New Roman"/>
              </w:rPr>
            </w:pPr>
            <w:r>
              <w:rPr>
                <w:rFonts w:ascii="Arial" w:eastAsia="Times New Roman" w:hAnsi="Arial" w:cs="Arial"/>
                <w:color w:val="000000"/>
                <w:sz w:val="20"/>
                <w:szCs w:val="20"/>
              </w:rPr>
              <w:t>Basic earnings per common share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24B8D8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780B10E" w14:textId="77777777" w:rsidR="00000000" w:rsidRDefault="00C01C43">
            <w:pPr>
              <w:jc w:val="right"/>
              <w:rPr>
                <w:rFonts w:eastAsia="Times New Roman"/>
              </w:rPr>
            </w:pPr>
            <w:r>
              <w:rPr>
                <w:rFonts w:ascii="Arial" w:eastAsia="Times New Roman" w:hAnsi="Arial" w:cs="Arial"/>
                <w:color w:val="000000"/>
                <w:sz w:val="20"/>
                <w:szCs w:val="20"/>
              </w:rPr>
              <w:t>1.72 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F155774" w14:textId="77777777" w:rsidR="00000000" w:rsidRDefault="00C01C43">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C8D02A" w14:textId="77777777" w:rsidR="00000000" w:rsidRDefault="00C01C4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2E698A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37A02E6" w14:textId="77777777" w:rsidR="00000000" w:rsidRDefault="00C01C43">
            <w:pPr>
              <w:jc w:val="right"/>
              <w:rPr>
                <w:rFonts w:eastAsia="Times New Roman"/>
              </w:rPr>
            </w:pPr>
            <w:r>
              <w:rPr>
                <w:rFonts w:ascii="Arial" w:eastAsia="Times New Roman" w:hAnsi="Arial" w:cs="Arial"/>
                <w:color w:val="000000"/>
                <w:sz w:val="20"/>
                <w:szCs w:val="20"/>
              </w:rPr>
              <w:t>2.71 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ACE0F8E" w14:textId="77777777" w:rsidR="00000000" w:rsidRDefault="00C01C43">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E377C3A" w14:textId="77777777" w:rsidR="00000000" w:rsidRDefault="00C01C4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1A5750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387F4C5" w14:textId="77777777" w:rsidR="00000000" w:rsidRDefault="00C01C43">
            <w:pPr>
              <w:jc w:val="right"/>
              <w:rPr>
                <w:rFonts w:eastAsia="Times New Roman"/>
              </w:rPr>
            </w:pPr>
            <w:r>
              <w:rPr>
                <w:rFonts w:ascii="Arial" w:eastAsia="Times New Roman" w:hAnsi="Arial" w:cs="Arial"/>
                <w:color w:val="000000"/>
                <w:sz w:val="20"/>
                <w:szCs w:val="20"/>
              </w:rPr>
              <w:t>1.89 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1C6183D" w14:textId="77777777" w:rsidR="00000000" w:rsidRDefault="00C01C43">
            <w:pPr>
              <w:jc w:val="right"/>
              <w:rPr>
                <w:rFonts w:eastAsia="Times New Roman"/>
              </w:rPr>
            </w:pPr>
          </w:p>
        </w:tc>
      </w:tr>
      <w:tr w:rsidR="00000000" w14:paraId="1D901A63" w14:textId="77777777">
        <w:trPr>
          <w:divId w:val="108353681"/>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DDFFF22" w14:textId="77777777" w:rsidR="00000000" w:rsidRDefault="00C01C43">
            <w:pPr>
              <w:rPr>
                <w:rFonts w:eastAsia="Times New Roman"/>
              </w:rPr>
            </w:pPr>
            <w:r>
              <w:rPr>
                <w:rFonts w:ascii="Arial" w:eastAsia="Times New Roman" w:hAnsi="Arial" w:cs="Arial"/>
                <w:color w:val="000000"/>
                <w:sz w:val="20"/>
                <w:szCs w:val="20"/>
              </w:rPr>
              <w:t>Basic weighted average common shares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754BA4FF" w14:textId="77777777" w:rsidR="00000000" w:rsidRDefault="00C01C43">
            <w:pPr>
              <w:jc w:val="right"/>
              <w:rPr>
                <w:rFonts w:eastAsia="Times New Roman"/>
              </w:rPr>
            </w:pPr>
            <w:r>
              <w:rPr>
                <w:rFonts w:ascii="Arial" w:eastAsia="Times New Roman" w:hAnsi="Arial" w:cs="Arial"/>
                <w:color w:val="000000"/>
                <w:sz w:val="20"/>
                <w:szCs w:val="20"/>
              </w:rPr>
              <w:t>63.7 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205CF2F"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3EA2459" w14:textId="77777777" w:rsidR="00000000" w:rsidRDefault="00C01C43">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881684A" w14:textId="77777777" w:rsidR="00000000" w:rsidRDefault="00C01C43">
            <w:pPr>
              <w:jc w:val="right"/>
              <w:rPr>
                <w:rFonts w:eastAsia="Times New Roman"/>
              </w:rPr>
            </w:pPr>
            <w:r>
              <w:rPr>
                <w:rFonts w:ascii="Arial" w:eastAsia="Times New Roman" w:hAnsi="Arial" w:cs="Arial"/>
                <w:color w:val="000000"/>
                <w:sz w:val="20"/>
                <w:szCs w:val="20"/>
              </w:rPr>
              <w:t>66.1 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78A9F53"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C0EEEB8" w14:textId="77777777" w:rsidR="00000000" w:rsidRDefault="00C01C43">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3E8F232" w14:textId="77777777" w:rsidR="00000000" w:rsidRDefault="00C01C43">
            <w:pPr>
              <w:jc w:val="right"/>
              <w:rPr>
                <w:rFonts w:eastAsia="Times New Roman"/>
              </w:rPr>
            </w:pPr>
            <w:r>
              <w:rPr>
                <w:rFonts w:ascii="Arial" w:eastAsia="Times New Roman" w:hAnsi="Arial" w:cs="Arial"/>
                <w:color w:val="000000"/>
                <w:sz w:val="20"/>
                <w:szCs w:val="20"/>
              </w:rPr>
              <w:t>67.4 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AA02AA0" w14:textId="77777777" w:rsidR="00000000" w:rsidRDefault="00C01C43">
            <w:pPr>
              <w:jc w:val="right"/>
              <w:rPr>
                <w:rFonts w:eastAsia="Times New Roman"/>
              </w:rPr>
            </w:pPr>
          </w:p>
        </w:tc>
      </w:tr>
      <w:tr w:rsidR="00000000" w14:paraId="759EB57F" w14:textId="77777777">
        <w:trPr>
          <w:divId w:val="108353681"/>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C510EC6" w14:textId="77777777" w:rsidR="00000000" w:rsidRDefault="00C01C43">
            <w:pPr>
              <w:rPr>
                <w:rFonts w:eastAsia="Times New Roman"/>
              </w:rPr>
            </w:pPr>
            <w:r>
              <w:rPr>
                <w:rFonts w:ascii="Arial" w:eastAsia="Times New Roman" w:hAnsi="Arial" w:cs="Arial"/>
                <w:color w:val="000000"/>
                <w:sz w:val="20"/>
                <w:szCs w:val="20"/>
              </w:rPr>
              <w:t>Diluted earnings per common share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CB08E5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C521D63" w14:textId="77777777" w:rsidR="00000000" w:rsidRDefault="00C01C43">
            <w:pPr>
              <w:jc w:val="right"/>
              <w:rPr>
                <w:rFonts w:eastAsia="Times New Roman"/>
              </w:rPr>
            </w:pPr>
            <w:r>
              <w:rPr>
                <w:rFonts w:ascii="Arial" w:eastAsia="Times New Roman" w:hAnsi="Arial" w:cs="Arial"/>
                <w:color w:val="000000"/>
                <w:sz w:val="20"/>
                <w:szCs w:val="20"/>
              </w:rPr>
              <w:t>1.71 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53E411F" w14:textId="77777777" w:rsidR="00000000" w:rsidRDefault="00C01C43">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0551A4D" w14:textId="77777777" w:rsidR="00000000" w:rsidRDefault="00C01C4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BDEE63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132E1E9" w14:textId="77777777" w:rsidR="00000000" w:rsidRDefault="00C01C43">
            <w:pPr>
              <w:jc w:val="right"/>
              <w:rPr>
                <w:rFonts w:eastAsia="Times New Roman"/>
              </w:rPr>
            </w:pPr>
            <w:r>
              <w:rPr>
                <w:rFonts w:ascii="Arial" w:eastAsia="Times New Roman" w:hAnsi="Arial" w:cs="Arial"/>
                <w:color w:val="000000"/>
                <w:sz w:val="20"/>
                <w:szCs w:val="20"/>
              </w:rPr>
              <w:t>2.69 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811933E" w14:textId="77777777" w:rsidR="00000000" w:rsidRDefault="00C01C43">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54A8511" w14:textId="77777777" w:rsidR="00000000" w:rsidRDefault="00C01C4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6DFCB5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287E315" w14:textId="77777777" w:rsidR="00000000" w:rsidRDefault="00C01C43">
            <w:pPr>
              <w:jc w:val="right"/>
              <w:rPr>
                <w:rFonts w:eastAsia="Times New Roman"/>
              </w:rPr>
            </w:pPr>
            <w:r>
              <w:rPr>
                <w:rFonts w:ascii="Arial" w:eastAsia="Times New Roman" w:hAnsi="Arial" w:cs="Arial"/>
                <w:color w:val="000000"/>
                <w:sz w:val="20"/>
                <w:szCs w:val="20"/>
              </w:rPr>
              <w:t>1.89 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21F4B76" w14:textId="77777777" w:rsidR="00000000" w:rsidRDefault="00C01C43">
            <w:pPr>
              <w:jc w:val="right"/>
              <w:rPr>
                <w:rFonts w:eastAsia="Times New Roman"/>
              </w:rPr>
            </w:pPr>
          </w:p>
        </w:tc>
      </w:tr>
      <w:tr w:rsidR="00000000" w14:paraId="445E8821" w14:textId="77777777">
        <w:trPr>
          <w:divId w:val="108353681"/>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4A5D2DA" w14:textId="77777777" w:rsidR="00000000" w:rsidRDefault="00C01C43">
            <w:pPr>
              <w:rPr>
                <w:rFonts w:eastAsia="Times New Roman"/>
              </w:rPr>
            </w:pPr>
            <w:r>
              <w:rPr>
                <w:rFonts w:ascii="Arial" w:eastAsia="Times New Roman" w:hAnsi="Arial" w:cs="Arial"/>
                <w:color w:val="000000"/>
                <w:sz w:val="20"/>
                <w:szCs w:val="20"/>
              </w:rPr>
              <w:t>Diluted weighted average common shares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896F001" w14:textId="77777777" w:rsidR="00000000" w:rsidRDefault="00C01C43">
            <w:pPr>
              <w:jc w:val="right"/>
              <w:rPr>
                <w:rFonts w:eastAsia="Times New Roman"/>
              </w:rPr>
            </w:pPr>
            <w:r>
              <w:rPr>
                <w:rFonts w:ascii="Arial" w:eastAsia="Times New Roman" w:hAnsi="Arial" w:cs="Arial"/>
                <w:color w:val="000000"/>
                <w:sz w:val="20"/>
                <w:szCs w:val="20"/>
              </w:rPr>
              <w:t>64.0 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1822509"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D3BFD5" w14:textId="77777777" w:rsidR="00000000" w:rsidRDefault="00C01C43">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E7327FE" w14:textId="77777777" w:rsidR="00000000" w:rsidRDefault="00C01C43">
            <w:pPr>
              <w:jc w:val="right"/>
              <w:rPr>
                <w:rFonts w:eastAsia="Times New Roman"/>
              </w:rPr>
            </w:pPr>
            <w:r>
              <w:rPr>
                <w:rFonts w:ascii="Arial" w:eastAsia="Times New Roman" w:hAnsi="Arial" w:cs="Arial"/>
                <w:color w:val="000000"/>
                <w:sz w:val="20"/>
                <w:szCs w:val="20"/>
              </w:rPr>
              <w:t>66.5 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2D21E68"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1E53B2C" w14:textId="77777777" w:rsidR="00000000" w:rsidRDefault="00C01C43">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21BD417" w14:textId="77777777" w:rsidR="00000000" w:rsidRDefault="00C01C43">
            <w:pPr>
              <w:jc w:val="right"/>
              <w:rPr>
                <w:rFonts w:eastAsia="Times New Roman"/>
              </w:rPr>
            </w:pPr>
            <w:r>
              <w:rPr>
                <w:rFonts w:ascii="Arial" w:eastAsia="Times New Roman" w:hAnsi="Arial" w:cs="Arial"/>
                <w:color w:val="000000"/>
                <w:sz w:val="20"/>
                <w:szCs w:val="20"/>
              </w:rPr>
              <w:t>67.7 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0A4264F" w14:textId="77777777" w:rsidR="00000000" w:rsidRDefault="00C01C43">
            <w:pPr>
              <w:jc w:val="right"/>
              <w:rPr>
                <w:rFonts w:eastAsia="Times New Roman"/>
              </w:rPr>
            </w:pPr>
          </w:p>
        </w:tc>
      </w:tr>
      <w:tr w:rsidR="00000000" w14:paraId="0C347241" w14:textId="77777777">
        <w:trPr>
          <w:divId w:val="108353681"/>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7999353F" w14:textId="77777777" w:rsidR="00000000" w:rsidRDefault="00C01C43">
            <w:pPr>
              <w:rPr>
                <w:rFonts w:eastAsia="Times New Roman"/>
              </w:rPr>
            </w:pPr>
            <w:r>
              <w:rPr>
                <w:rFonts w:ascii="Arial" w:eastAsia="Times New Roman" w:hAnsi="Arial" w:cs="Arial"/>
                <w:color w:val="000000"/>
                <w:sz w:val="20"/>
                <w:szCs w:val="20"/>
              </w:rPr>
              <w:t>Comprehensive income: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59CBB3C" w14:textId="77777777" w:rsidR="00000000" w:rsidRDefault="00C01C4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8C79E53"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D11B277"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AF850AE"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33BE7B2" w14:textId="77777777" w:rsidR="00000000" w:rsidRDefault="00C01C43">
            <w:pPr>
              <w:rPr>
                <w:rFonts w:eastAsia="Times New Roman"/>
                <w:sz w:val="20"/>
                <w:szCs w:val="20"/>
              </w:rPr>
            </w:pPr>
          </w:p>
        </w:tc>
      </w:tr>
      <w:tr w:rsidR="00000000" w14:paraId="71DE03D4" w14:textId="77777777">
        <w:trPr>
          <w:divId w:val="108353681"/>
        </w:trPr>
        <w:tc>
          <w:tcPr>
            <w:tcW w:w="0" w:type="auto"/>
            <w:gridSpan w:val="3"/>
            <w:shd w:val="clear" w:color="auto" w:fill="CCEEFF"/>
            <w:tcMar>
              <w:top w:w="30" w:type="dxa"/>
              <w:left w:w="20" w:type="dxa"/>
              <w:bottom w:w="30" w:type="dxa"/>
              <w:right w:w="20" w:type="dxa"/>
            </w:tcMar>
            <w:vAlign w:val="bottom"/>
            <w:hideMark/>
          </w:tcPr>
          <w:p w14:paraId="530FF23E" w14:textId="77777777" w:rsidR="00000000" w:rsidRDefault="00C01C43">
            <w:pPr>
              <w:rPr>
                <w:rFonts w:eastAsia="Times New Roman"/>
              </w:rPr>
            </w:pPr>
            <w:r>
              <w:rPr>
                <w:rFonts w:ascii="Arial" w:eastAsia="Times New Roman" w:hAnsi="Arial" w:cs="Arial"/>
                <w:color w:val="000000"/>
                <w:sz w:val="20"/>
                <w:szCs w:val="20"/>
              </w:rPr>
              <w:t>Net income (loss) including noncontrolling interest</w:t>
            </w:r>
          </w:p>
        </w:tc>
        <w:tc>
          <w:tcPr>
            <w:tcW w:w="0" w:type="auto"/>
            <w:shd w:val="clear" w:color="auto" w:fill="CCEEFF"/>
            <w:tcMar>
              <w:top w:w="30" w:type="dxa"/>
              <w:left w:w="20" w:type="dxa"/>
              <w:bottom w:w="30" w:type="dxa"/>
              <w:right w:w="0" w:type="dxa"/>
            </w:tcMar>
            <w:vAlign w:val="bottom"/>
            <w:hideMark/>
          </w:tcPr>
          <w:p w14:paraId="25CD0B11"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62E5D26" w14:textId="77777777" w:rsidR="00000000" w:rsidRDefault="00C01C43">
            <w:pPr>
              <w:jc w:val="right"/>
              <w:rPr>
                <w:rFonts w:eastAsia="Times New Roman"/>
              </w:rPr>
            </w:pPr>
            <w:r>
              <w:rPr>
                <w:rFonts w:ascii="Arial" w:eastAsia="Times New Roman" w:hAnsi="Arial" w:cs="Arial"/>
                <w:color w:val="000000"/>
                <w:sz w:val="20"/>
                <w:szCs w:val="20"/>
              </w:rPr>
              <w:t>109.6 </w:t>
            </w:r>
          </w:p>
        </w:tc>
        <w:tc>
          <w:tcPr>
            <w:tcW w:w="0" w:type="auto"/>
            <w:shd w:val="clear" w:color="auto" w:fill="CCEEFF"/>
            <w:tcMar>
              <w:top w:w="30" w:type="dxa"/>
              <w:left w:w="0" w:type="dxa"/>
              <w:bottom w:w="30" w:type="dxa"/>
              <w:right w:w="20" w:type="dxa"/>
            </w:tcMar>
            <w:vAlign w:val="bottom"/>
            <w:hideMark/>
          </w:tcPr>
          <w:p w14:paraId="7BB849B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F0627E"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FF6F64"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61610D38" w14:textId="77777777" w:rsidR="00000000" w:rsidRDefault="00C01C43">
            <w:pPr>
              <w:jc w:val="right"/>
              <w:rPr>
                <w:rFonts w:eastAsia="Times New Roman"/>
              </w:rPr>
            </w:pPr>
            <w:r>
              <w:rPr>
                <w:rFonts w:ascii="Arial" w:eastAsia="Times New Roman" w:hAnsi="Arial" w:cs="Arial"/>
                <w:color w:val="000000"/>
                <w:sz w:val="20"/>
                <w:szCs w:val="20"/>
              </w:rPr>
              <w:t>181.1 </w:t>
            </w:r>
          </w:p>
        </w:tc>
        <w:tc>
          <w:tcPr>
            <w:tcW w:w="0" w:type="auto"/>
            <w:shd w:val="clear" w:color="auto" w:fill="CCEEFF"/>
            <w:tcMar>
              <w:top w:w="30" w:type="dxa"/>
              <w:left w:w="0" w:type="dxa"/>
              <w:bottom w:w="30" w:type="dxa"/>
              <w:right w:w="20" w:type="dxa"/>
            </w:tcMar>
            <w:vAlign w:val="bottom"/>
            <w:hideMark/>
          </w:tcPr>
          <w:p w14:paraId="6344F88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FF556B"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7CC5CF"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52BD6B2B" w14:textId="77777777" w:rsidR="00000000" w:rsidRDefault="00C01C43">
            <w:pPr>
              <w:jc w:val="right"/>
              <w:rPr>
                <w:rFonts w:eastAsia="Times New Roman"/>
              </w:rPr>
            </w:pPr>
            <w:r>
              <w:rPr>
                <w:rFonts w:ascii="Arial" w:eastAsia="Times New Roman" w:hAnsi="Arial" w:cs="Arial"/>
                <w:color w:val="000000"/>
                <w:sz w:val="20"/>
                <w:szCs w:val="20"/>
              </w:rPr>
              <w:t>129.0 </w:t>
            </w:r>
          </w:p>
        </w:tc>
        <w:tc>
          <w:tcPr>
            <w:tcW w:w="0" w:type="auto"/>
            <w:shd w:val="clear" w:color="auto" w:fill="CCEEFF"/>
            <w:tcMar>
              <w:top w:w="30" w:type="dxa"/>
              <w:left w:w="0" w:type="dxa"/>
              <w:bottom w:w="30" w:type="dxa"/>
              <w:right w:w="20" w:type="dxa"/>
            </w:tcMar>
            <w:vAlign w:val="bottom"/>
            <w:hideMark/>
          </w:tcPr>
          <w:p w14:paraId="47C529B6" w14:textId="77777777" w:rsidR="00000000" w:rsidRDefault="00C01C43">
            <w:pPr>
              <w:jc w:val="right"/>
              <w:rPr>
                <w:rFonts w:eastAsia="Times New Roman"/>
              </w:rPr>
            </w:pPr>
          </w:p>
        </w:tc>
      </w:tr>
      <w:tr w:rsidR="00000000" w14:paraId="554A28EE" w14:textId="77777777">
        <w:trPr>
          <w:divId w:val="10835368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D45DE9D" w14:textId="77777777" w:rsidR="00000000" w:rsidRDefault="00C01C43">
            <w:pPr>
              <w:rPr>
                <w:rFonts w:eastAsia="Times New Roman"/>
              </w:rPr>
            </w:pPr>
            <w:r>
              <w:rPr>
                <w:rFonts w:ascii="Arial" w:eastAsia="Times New Roman" w:hAnsi="Arial" w:cs="Arial"/>
                <w:color w:val="000000"/>
                <w:sz w:val="20"/>
                <w:szCs w:val="20"/>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C7A1DF4" w14:textId="77777777" w:rsidR="00000000" w:rsidRDefault="00C01C4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3DBE94A"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9198F3"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A5465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187796D" w14:textId="77777777" w:rsidR="00000000" w:rsidRDefault="00C01C43">
            <w:pPr>
              <w:rPr>
                <w:rFonts w:eastAsia="Times New Roman"/>
                <w:sz w:val="20"/>
                <w:szCs w:val="20"/>
              </w:rPr>
            </w:pPr>
          </w:p>
        </w:tc>
      </w:tr>
      <w:tr w:rsidR="00000000" w14:paraId="6A2A4C74" w14:textId="77777777">
        <w:trPr>
          <w:divId w:val="108353681"/>
        </w:trPr>
        <w:tc>
          <w:tcPr>
            <w:tcW w:w="0" w:type="auto"/>
            <w:gridSpan w:val="3"/>
            <w:shd w:val="clear" w:color="auto" w:fill="CCEEFF"/>
            <w:tcMar>
              <w:top w:w="30" w:type="dxa"/>
              <w:left w:w="20" w:type="dxa"/>
              <w:bottom w:w="30" w:type="dxa"/>
              <w:right w:w="20" w:type="dxa"/>
            </w:tcMar>
            <w:vAlign w:val="bottom"/>
            <w:hideMark/>
          </w:tcPr>
          <w:p w14:paraId="1911269A" w14:textId="77777777" w:rsidR="00000000" w:rsidRDefault="00C01C43">
            <w:pPr>
              <w:rPr>
                <w:rFonts w:eastAsia="Times New Roman"/>
              </w:rPr>
            </w:pPr>
            <w:r>
              <w:rPr>
                <w:rFonts w:ascii="Arial" w:eastAsia="Times New Roman" w:hAnsi="Arial" w:cs="Arial"/>
                <w:color w:val="000000"/>
                <w:sz w:val="20"/>
                <w:szCs w:val="20"/>
              </w:rPr>
              <w:t>Foreign currency translation adjustments</w:t>
            </w:r>
          </w:p>
        </w:tc>
        <w:tc>
          <w:tcPr>
            <w:tcW w:w="0" w:type="auto"/>
            <w:gridSpan w:val="2"/>
            <w:shd w:val="clear" w:color="auto" w:fill="CCEEFF"/>
            <w:tcMar>
              <w:top w:w="30" w:type="dxa"/>
              <w:left w:w="20" w:type="dxa"/>
              <w:bottom w:w="30" w:type="dxa"/>
              <w:right w:w="0" w:type="dxa"/>
            </w:tcMar>
            <w:vAlign w:val="bottom"/>
            <w:hideMark/>
          </w:tcPr>
          <w:p w14:paraId="4202AA40" w14:textId="77777777" w:rsidR="00000000" w:rsidRDefault="00C01C43">
            <w:pPr>
              <w:jc w:val="right"/>
              <w:rPr>
                <w:rFonts w:eastAsia="Times New Roman"/>
              </w:rPr>
            </w:pPr>
            <w:r>
              <w:rPr>
                <w:rFonts w:ascii="Arial" w:eastAsia="Times New Roman" w:hAnsi="Arial" w:cs="Arial"/>
                <w:color w:val="000000"/>
                <w:sz w:val="20"/>
                <w:szCs w:val="20"/>
              </w:rPr>
              <w:t>13.8 </w:t>
            </w:r>
          </w:p>
        </w:tc>
        <w:tc>
          <w:tcPr>
            <w:tcW w:w="0" w:type="auto"/>
            <w:shd w:val="clear" w:color="auto" w:fill="CCEEFF"/>
            <w:tcMar>
              <w:top w:w="30" w:type="dxa"/>
              <w:left w:w="0" w:type="dxa"/>
              <w:bottom w:w="30" w:type="dxa"/>
              <w:right w:w="20" w:type="dxa"/>
            </w:tcMar>
            <w:vAlign w:val="bottom"/>
            <w:hideMark/>
          </w:tcPr>
          <w:p w14:paraId="7B4A3DF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7984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D99F27" w14:textId="77777777" w:rsidR="00000000" w:rsidRDefault="00C01C43">
            <w:pPr>
              <w:jc w:val="right"/>
              <w:rPr>
                <w:rFonts w:eastAsia="Times New Roman"/>
              </w:rPr>
            </w:pPr>
            <w:r>
              <w:rPr>
                <w:rFonts w:ascii="Arial" w:eastAsia="Times New Roman" w:hAnsi="Arial" w:cs="Arial"/>
                <w:color w:val="000000"/>
                <w:sz w:val="20"/>
                <w:szCs w:val="20"/>
              </w:rPr>
              <w:t>8.2 </w:t>
            </w:r>
          </w:p>
        </w:tc>
        <w:tc>
          <w:tcPr>
            <w:tcW w:w="0" w:type="auto"/>
            <w:shd w:val="clear" w:color="auto" w:fill="CCEEFF"/>
            <w:tcMar>
              <w:top w:w="30" w:type="dxa"/>
              <w:left w:w="0" w:type="dxa"/>
              <w:bottom w:w="30" w:type="dxa"/>
              <w:right w:w="20" w:type="dxa"/>
            </w:tcMar>
            <w:vAlign w:val="bottom"/>
            <w:hideMark/>
          </w:tcPr>
          <w:p w14:paraId="44BB805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6AC0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721AAE" w14:textId="77777777" w:rsidR="00000000" w:rsidRDefault="00C01C43">
            <w:pPr>
              <w:jc w:val="right"/>
              <w:rPr>
                <w:rFonts w:eastAsia="Times New Roman"/>
              </w:rPr>
            </w:pPr>
            <w:r>
              <w:rPr>
                <w:rFonts w:ascii="Arial" w:eastAsia="Times New Roman" w:hAnsi="Arial" w:cs="Arial"/>
                <w:color w:val="000000"/>
                <w:sz w:val="20"/>
                <w:szCs w:val="20"/>
              </w:rPr>
              <w:t>(27.3)</w:t>
            </w:r>
          </w:p>
        </w:tc>
        <w:tc>
          <w:tcPr>
            <w:tcW w:w="0" w:type="auto"/>
            <w:shd w:val="clear" w:color="auto" w:fill="CCEEFF"/>
            <w:tcMar>
              <w:top w:w="30" w:type="dxa"/>
              <w:left w:w="0" w:type="dxa"/>
              <w:bottom w:w="30" w:type="dxa"/>
              <w:right w:w="20" w:type="dxa"/>
            </w:tcMar>
            <w:vAlign w:val="bottom"/>
            <w:hideMark/>
          </w:tcPr>
          <w:p w14:paraId="78763709" w14:textId="77777777" w:rsidR="00000000" w:rsidRDefault="00C01C43">
            <w:pPr>
              <w:jc w:val="right"/>
              <w:rPr>
                <w:rFonts w:eastAsia="Times New Roman"/>
              </w:rPr>
            </w:pPr>
          </w:p>
        </w:tc>
      </w:tr>
      <w:tr w:rsidR="00000000" w14:paraId="70AFF1A7" w14:textId="77777777">
        <w:trPr>
          <w:divId w:val="108353681"/>
        </w:trPr>
        <w:tc>
          <w:tcPr>
            <w:tcW w:w="0" w:type="auto"/>
            <w:gridSpan w:val="3"/>
            <w:shd w:val="clear" w:color="auto" w:fill="FFFFFF"/>
            <w:tcMar>
              <w:top w:w="30" w:type="dxa"/>
              <w:left w:w="20" w:type="dxa"/>
              <w:bottom w:w="30" w:type="dxa"/>
              <w:right w:w="20" w:type="dxa"/>
            </w:tcMar>
            <w:vAlign w:val="bottom"/>
            <w:hideMark/>
          </w:tcPr>
          <w:p w14:paraId="73C3E577" w14:textId="77777777" w:rsidR="00000000" w:rsidRDefault="00C01C43">
            <w:pPr>
              <w:divId w:val="1400979954"/>
              <w:rPr>
                <w:rFonts w:eastAsia="Times New Roman"/>
              </w:rPr>
            </w:pPr>
            <w:r>
              <w:rPr>
                <w:rFonts w:ascii="Arial" w:eastAsia="Times New Roman" w:hAnsi="Arial" w:cs="Arial"/>
                <w:color w:val="000000"/>
                <w:sz w:val="20"/>
                <w:szCs w:val="20"/>
              </w:rPr>
              <w:t>Cash flow hedges, net of income tax benefit of $0.0, benefit of $8.7, and expense of $7.0 for 2020, 2019, and 2018, respectively</w:t>
            </w:r>
          </w:p>
        </w:tc>
        <w:tc>
          <w:tcPr>
            <w:tcW w:w="0" w:type="auto"/>
            <w:gridSpan w:val="2"/>
            <w:shd w:val="clear" w:color="auto" w:fill="FFFFFF"/>
            <w:tcMar>
              <w:top w:w="30" w:type="dxa"/>
              <w:left w:w="20" w:type="dxa"/>
              <w:bottom w:w="30" w:type="dxa"/>
              <w:right w:w="0" w:type="dxa"/>
            </w:tcMar>
            <w:hideMark/>
          </w:tcPr>
          <w:p w14:paraId="3D46F294" w14:textId="77777777" w:rsidR="00000000" w:rsidRDefault="00C01C43">
            <w:pPr>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hideMark/>
          </w:tcPr>
          <w:p w14:paraId="65D4E46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4BAFB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9A1E1D0" w14:textId="77777777" w:rsidR="00000000" w:rsidRDefault="00C01C43">
            <w:pPr>
              <w:jc w:val="right"/>
              <w:rPr>
                <w:rFonts w:eastAsia="Times New Roman"/>
              </w:rPr>
            </w:pPr>
            <w:r>
              <w:rPr>
                <w:rFonts w:ascii="Arial" w:eastAsia="Times New Roman" w:hAnsi="Arial" w:cs="Arial"/>
                <w:color w:val="000000"/>
                <w:sz w:val="20"/>
                <w:szCs w:val="20"/>
              </w:rPr>
              <w:t>(25.5)</w:t>
            </w:r>
          </w:p>
        </w:tc>
        <w:tc>
          <w:tcPr>
            <w:tcW w:w="0" w:type="auto"/>
            <w:shd w:val="clear" w:color="auto" w:fill="FFFFFF"/>
            <w:tcMar>
              <w:top w:w="30" w:type="dxa"/>
              <w:left w:w="0" w:type="dxa"/>
              <w:bottom w:w="30" w:type="dxa"/>
              <w:right w:w="20" w:type="dxa"/>
            </w:tcMar>
            <w:hideMark/>
          </w:tcPr>
          <w:p w14:paraId="5260E7F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AEDA4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0F975F7" w14:textId="77777777" w:rsidR="00000000" w:rsidRDefault="00C01C43">
            <w:pPr>
              <w:jc w:val="right"/>
              <w:rPr>
                <w:rFonts w:eastAsia="Times New Roman"/>
              </w:rPr>
            </w:pPr>
            <w:r>
              <w:rPr>
                <w:rFonts w:ascii="Arial" w:eastAsia="Times New Roman" w:hAnsi="Arial" w:cs="Arial"/>
                <w:color w:val="000000"/>
                <w:sz w:val="20"/>
                <w:szCs w:val="20"/>
              </w:rPr>
              <w:t>21.0 </w:t>
            </w:r>
          </w:p>
        </w:tc>
        <w:tc>
          <w:tcPr>
            <w:tcW w:w="0" w:type="auto"/>
            <w:shd w:val="clear" w:color="auto" w:fill="FFFFFF"/>
            <w:tcMar>
              <w:top w:w="30" w:type="dxa"/>
              <w:left w:w="0" w:type="dxa"/>
              <w:bottom w:w="30" w:type="dxa"/>
              <w:right w:w="20" w:type="dxa"/>
            </w:tcMar>
            <w:hideMark/>
          </w:tcPr>
          <w:p w14:paraId="0D2F7534" w14:textId="77777777" w:rsidR="00000000" w:rsidRDefault="00C01C43">
            <w:pPr>
              <w:jc w:val="right"/>
              <w:rPr>
                <w:rFonts w:eastAsia="Times New Roman"/>
              </w:rPr>
            </w:pPr>
          </w:p>
        </w:tc>
      </w:tr>
      <w:tr w:rsidR="00000000" w14:paraId="08B18812" w14:textId="77777777">
        <w:trPr>
          <w:divId w:val="1083536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8D6827D" w14:textId="77777777" w:rsidR="00000000" w:rsidRDefault="00C01C43">
            <w:pPr>
              <w:rPr>
                <w:rFonts w:eastAsia="Times New Roman"/>
              </w:rPr>
            </w:pPr>
            <w:r>
              <w:rPr>
                <w:rFonts w:ascii="Arial" w:eastAsia="Times New Roman" w:hAnsi="Arial" w:cs="Arial"/>
                <w:color w:val="000000"/>
                <w:sz w:val="20"/>
                <w:szCs w:val="20"/>
              </w:rPr>
              <w:t>Other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58C1C3" w14:textId="77777777" w:rsidR="00000000" w:rsidRDefault="00C01C43">
            <w:pPr>
              <w:jc w:val="right"/>
              <w:rPr>
                <w:rFonts w:eastAsia="Times New Roman"/>
              </w:rPr>
            </w:pPr>
            <w:r>
              <w:rPr>
                <w:rFonts w:ascii="Arial" w:eastAsia="Times New Roman" w:hAnsi="Arial" w:cs="Arial"/>
                <w:color w:val="000000"/>
                <w:sz w:val="20"/>
                <w:szCs w:val="20"/>
              </w:rPr>
              <w:t>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0E3334"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CF11CF"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EAE35B" w14:textId="77777777" w:rsidR="00000000" w:rsidRDefault="00C01C43">
            <w:pPr>
              <w:jc w:val="right"/>
              <w:rPr>
                <w:rFonts w:eastAsia="Times New Roman"/>
              </w:rPr>
            </w:pPr>
            <w:r>
              <w:rPr>
                <w:rFonts w:ascii="Arial" w:eastAsia="Times New Roman" w:hAnsi="Arial" w:cs="Arial"/>
                <w:color w:val="000000"/>
                <w:sz w:val="20"/>
                <w:szCs w:val="20"/>
              </w:rPr>
              <w:t>(17.3)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20D38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5FC818"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8C29B2" w14:textId="77777777" w:rsidR="00000000" w:rsidRDefault="00C01C43">
            <w:pPr>
              <w:jc w:val="right"/>
              <w:rPr>
                <w:rFonts w:eastAsia="Times New Roman"/>
              </w:rPr>
            </w:pPr>
            <w:r>
              <w:rPr>
                <w:rFonts w:ascii="Arial" w:eastAsia="Times New Roman" w:hAnsi="Arial" w:cs="Arial"/>
                <w:color w:val="000000"/>
                <w:sz w:val="20"/>
                <w:szCs w:val="20"/>
              </w:rPr>
              <w:t>(6.3)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28577F" w14:textId="77777777" w:rsidR="00000000" w:rsidRDefault="00C01C43">
            <w:pPr>
              <w:jc w:val="right"/>
              <w:rPr>
                <w:rFonts w:eastAsia="Times New Roman"/>
              </w:rPr>
            </w:pPr>
          </w:p>
        </w:tc>
      </w:tr>
      <w:tr w:rsidR="00000000" w14:paraId="7B30506E" w14:textId="77777777">
        <w:trPr>
          <w:divId w:val="10835368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DBDC15B" w14:textId="77777777" w:rsidR="00000000" w:rsidRDefault="00C01C43">
            <w:pPr>
              <w:rPr>
                <w:rFonts w:eastAsia="Times New Roman"/>
              </w:rPr>
            </w:pPr>
            <w:r>
              <w:rPr>
                <w:rFonts w:ascii="Arial" w:eastAsia="Times New Roman" w:hAnsi="Arial" w:cs="Arial"/>
                <w:color w:val="000000"/>
                <w:sz w:val="20"/>
                <w:szCs w:val="20"/>
              </w:rPr>
              <w:t>Comprehensive income (loss) including noncontrolling interest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AF76FC" w14:textId="77777777" w:rsidR="00000000" w:rsidRDefault="00C01C43">
            <w:pPr>
              <w:jc w:val="right"/>
              <w:rPr>
                <w:rFonts w:eastAsia="Times New Roman"/>
              </w:rPr>
            </w:pPr>
            <w:r>
              <w:rPr>
                <w:rFonts w:ascii="Arial" w:eastAsia="Times New Roman" w:hAnsi="Arial" w:cs="Arial"/>
                <w:color w:val="000000"/>
                <w:sz w:val="20"/>
                <w:szCs w:val="20"/>
              </w:rPr>
              <w:t>123.3 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745A7E"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C06F6A"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7EEE9B" w14:textId="77777777" w:rsidR="00000000" w:rsidRDefault="00C01C43">
            <w:pPr>
              <w:jc w:val="right"/>
              <w:rPr>
                <w:rFonts w:eastAsia="Times New Roman"/>
              </w:rPr>
            </w:pPr>
            <w:r>
              <w:rPr>
                <w:rFonts w:ascii="Arial" w:eastAsia="Times New Roman" w:hAnsi="Arial" w:cs="Arial"/>
                <w:color w:val="000000"/>
                <w:sz w:val="20"/>
                <w:szCs w:val="20"/>
              </w:rPr>
              <w:t>163.7 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947386"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208C88"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BC27BA" w14:textId="77777777" w:rsidR="00000000" w:rsidRDefault="00C01C43">
            <w:pPr>
              <w:jc w:val="right"/>
              <w:rPr>
                <w:rFonts w:eastAsia="Times New Roman"/>
              </w:rPr>
            </w:pPr>
            <w:r>
              <w:rPr>
                <w:rFonts w:ascii="Arial" w:eastAsia="Times New Roman" w:hAnsi="Arial" w:cs="Arial"/>
                <w:color w:val="000000"/>
                <w:sz w:val="20"/>
                <w:szCs w:val="20"/>
              </w:rPr>
              <w:t>122.6 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4D011B" w14:textId="77777777" w:rsidR="00000000" w:rsidRDefault="00C01C43">
            <w:pPr>
              <w:jc w:val="right"/>
              <w:rPr>
                <w:rFonts w:eastAsia="Times New Roman"/>
              </w:rPr>
            </w:pPr>
          </w:p>
        </w:tc>
      </w:tr>
      <w:tr w:rsidR="00000000" w14:paraId="4CE3F7A6" w14:textId="77777777">
        <w:trPr>
          <w:divId w:val="108353681"/>
        </w:trPr>
        <w:tc>
          <w:tcPr>
            <w:tcW w:w="0" w:type="auto"/>
            <w:gridSpan w:val="3"/>
            <w:shd w:val="clear" w:color="auto" w:fill="CCEEFF"/>
            <w:tcMar>
              <w:top w:w="30" w:type="dxa"/>
              <w:left w:w="20" w:type="dxa"/>
              <w:bottom w:w="30" w:type="dxa"/>
              <w:right w:w="20" w:type="dxa"/>
            </w:tcMar>
            <w:vAlign w:val="bottom"/>
            <w:hideMark/>
          </w:tcPr>
          <w:p w14:paraId="078A942F" w14:textId="77777777" w:rsidR="00000000" w:rsidRDefault="00C01C43">
            <w:pPr>
              <w:rPr>
                <w:rFonts w:eastAsia="Times New Roman"/>
              </w:rPr>
            </w:pPr>
            <w:r>
              <w:rPr>
                <w:rFonts w:ascii="Arial" w:eastAsia="Times New Roman" w:hAnsi="Arial" w:cs="Arial"/>
                <w:color w:val="000000"/>
                <w:sz w:val="20"/>
                <w:szCs w:val="20"/>
              </w:rPr>
              <w:t>Comprehensive income (loss) attributable to noncontrolling interest</w:t>
            </w:r>
          </w:p>
        </w:tc>
        <w:tc>
          <w:tcPr>
            <w:tcW w:w="0" w:type="auto"/>
            <w:gridSpan w:val="2"/>
            <w:shd w:val="clear" w:color="auto" w:fill="CCEEFF"/>
            <w:tcMar>
              <w:top w:w="30" w:type="dxa"/>
              <w:left w:w="20" w:type="dxa"/>
              <w:bottom w:w="30" w:type="dxa"/>
              <w:right w:w="0" w:type="dxa"/>
            </w:tcMar>
            <w:hideMark/>
          </w:tcPr>
          <w:p w14:paraId="6A638B3D"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hideMark/>
          </w:tcPr>
          <w:p w14:paraId="07E19DE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7321E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CE847E0" w14:textId="77777777" w:rsidR="00000000" w:rsidRDefault="00C01C43">
            <w:pPr>
              <w:jc w:val="right"/>
              <w:rPr>
                <w:rFonts w:eastAsia="Times New Roman"/>
              </w:rPr>
            </w:pPr>
            <w:r>
              <w:rPr>
                <w:rFonts w:ascii="Arial" w:eastAsia="Times New Roman" w:hAnsi="Arial" w:cs="Arial"/>
                <w:color w:val="000000"/>
                <w:sz w:val="20"/>
                <w:szCs w:val="20"/>
              </w:rPr>
              <w:t>(2.7)</w:t>
            </w:r>
          </w:p>
        </w:tc>
        <w:tc>
          <w:tcPr>
            <w:tcW w:w="0" w:type="auto"/>
            <w:shd w:val="clear" w:color="auto" w:fill="CCEEFF"/>
            <w:tcMar>
              <w:top w:w="30" w:type="dxa"/>
              <w:left w:w="0" w:type="dxa"/>
              <w:bottom w:w="30" w:type="dxa"/>
              <w:right w:w="20" w:type="dxa"/>
            </w:tcMar>
            <w:hideMark/>
          </w:tcPr>
          <w:p w14:paraId="561A359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7AEB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E4569EE" w14:textId="77777777" w:rsidR="00000000" w:rsidRDefault="00C01C43">
            <w:pPr>
              <w:jc w:val="right"/>
              <w:rPr>
                <w:rFonts w:eastAsia="Times New Roman"/>
              </w:rPr>
            </w:pPr>
            <w:r>
              <w:rPr>
                <w:rFonts w:ascii="Arial" w:eastAsia="Times New Roman" w:hAnsi="Arial" w:cs="Arial"/>
                <w:color w:val="000000"/>
                <w:sz w:val="20"/>
                <w:szCs w:val="20"/>
              </w:rPr>
              <w:t>(1.2)</w:t>
            </w:r>
          </w:p>
        </w:tc>
        <w:tc>
          <w:tcPr>
            <w:tcW w:w="0" w:type="auto"/>
            <w:shd w:val="clear" w:color="auto" w:fill="CCEEFF"/>
            <w:tcMar>
              <w:top w:w="30" w:type="dxa"/>
              <w:left w:w="0" w:type="dxa"/>
              <w:bottom w:w="30" w:type="dxa"/>
              <w:right w:w="20" w:type="dxa"/>
            </w:tcMar>
            <w:hideMark/>
          </w:tcPr>
          <w:p w14:paraId="27FDC10E" w14:textId="77777777" w:rsidR="00000000" w:rsidRDefault="00C01C43">
            <w:pPr>
              <w:jc w:val="right"/>
              <w:rPr>
                <w:rFonts w:eastAsia="Times New Roman"/>
              </w:rPr>
            </w:pPr>
          </w:p>
        </w:tc>
      </w:tr>
      <w:tr w:rsidR="00000000" w14:paraId="6AEBA022" w14:textId="77777777">
        <w:trPr>
          <w:divId w:val="108353681"/>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60A072AB" w14:textId="77777777" w:rsidR="00000000" w:rsidRDefault="00C01C43">
            <w:pPr>
              <w:rPr>
                <w:rFonts w:eastAsia="Times New Roman"/>
              </w:rPr>
            </w:pPr>
            <w:r>
              <w:rPr>
                <w:rFonts w:ascii="Arial" w:eastAsia="Times New Roman" w:hAnsi="Arial" w:cs="Arial"/>
                <w:color w:val="000000"/>
                <w:sz w:val="20"/>
                <w:szCs w:val="20"/>
              </w:rPr>
              <w:t>Comprehensive income (loss) attributable to World Fuel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5C026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D43189" w14:textId="77777777" w:rsidR="00000000" w:rsidRDefault="00C01C43">
            <w:pPr>
              <w:jc w:val="right"/>
              <w:rPr>
                <w:rFonts w:eastAsia="Times New Roman"/>
              </w:rPr>
            </w:pPr>
            <w:r>
              <w:rPr>
                <w:rFonts w:ascii="Arial" w:eastAsia="Times New Roman" w:hAnsi="Arial" w:cs="Arial"/>
                <w:color w:val="000000"/>
                <w:sz w:val="20"/>
                <w:szCs w:val="20"/>
              </w:rPr>
              <w:t>123.3 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7D16A1"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6DA11BA"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E6F47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3E8380" w14:textId="77777777" w:rsidR="00000000" w:rsidRDefault="00C01C43">
            <w:pPr>
              <w:jc w:val="right"/>
              <w:rPr>
                <w:rFonts w:eastAsia="Times New Roman"/>
              </w:rPr>
            </w:pPr>
            <w:r>
              <w:rPr>
                <w:rFonts w:ascii="Arial" w:eastAsia="Times New Roman" w:hAnsi="Arial" w:cs="Arial"/>
                <w:color w:val="000000"/>
                <w:sz w:val="20"/>
                <w:szCs w:val="20"/>
              </w:rPr>
              <w:t>166.5 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47BDC2"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D47A9D9"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4BB2B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014CC62" w14:textId="77777777" w:rsidR="00000000" w:rsidRDefault="00C01C43">
            <w:pPr>
              <w:jc w:val="right"/>
              <w:rPr>
                <w:rFonts w:eastAsia="Times New Roman"/>
              </w:rPr>
            </w:pPr>
            <w:r>
              <w:rPr>
                <w:rFonts w:ascii="Arial" w:eastAsia="Times New Roman" w:hAnsi="Arial" w:cs="Arial"/>
                <w:color w:val="000000"/>
                <w:sz w:val="20"/>
                <w:szCs w:val="20"/>
              </w:rPr>
              <w:t>123.8 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8F1AFA1" w14:textId="77777777" w:rsidR="00000000" w:rsidRDefault="00C01C43">
            <w:pPr>
              <w:jc w:val="right"/>
              <w:rPr>
                <w:rFonts w:eastAsia="Times New Roman"/>
              </w:rPr>
            </w:pPr>
          </w:p>
        </w:tc>
      </w:tr>
    </w:tbl>
    <w:p w14:paraId="6C6B20E0" w14:textId="77777777" w:rsidR="00000000" w:rsidRDefault="00C01C43">
      <w:pPr>
        <w:divId w:val="1415126229"/>
        <w:rPr>
          <w:rFonts w:eastAsia="Times New Roman"/>
        </w:rPr>
      </w:pPr>
      <w:r>
        <w:rPr>
          <w:rFonts w:ascii="Arial" w:eastAsia="Times New Roman" w:hAnsi="Arial" w:cs="Arial"/>
          <w:color w:val="000000"/>
          <w:sz w:val="20"/>
          <w:szCs w:val="20"/>
        </w:rPr>
        <w:t>The accompanying Notes are an integral part of these Consolidated Financial Statements.</w:t>
      </w:r>
    </w:p>
    <w:p w14:paraId="64D91A33" w14:textId="77777777" w:rsidR="00000000" w:rsidRDefault="00C01C43">
      <w:pPr>
        <w:divId w:val="380133229"/>
        <w:rPr>
          <w:rFonts w:eastAsia="Times New Roman"/>
        </w:rPr>
      </w:pPr>
    </w:p>
    <w:p w14:paraId="77CEF4DC" w14:textId="77777777" w:rsidR="00000000" w:rsidRDefault="00C01C43">
      <w:pPr>
        <w:jc w:val="center"/>
        <w:divId w:val="1971938030"/>
        <w:rPr>
          <w:rFonts w:eastAsia="Times New Roman"/>
        </w:rPr>
      </w:pPr>
      <w:r>
        <w:rPr>
          <w:rFonts w:ascii="Arial" w:eastAsia="Times New Roman" w:hAnsi="Arial" w:cs="Arial"/>
          <w:color w:val="000000"/>
          <w:sz w:val="16"/>
          <w:szCs w:val="16"/>
        </w:rPr>
        <w:t>49</w:t>
      </w:r>
    </w:p>
    <w:p w14:paraId="5994900F" w14:textId="77777777" w:rsidR="00000000" w:rsidRDefault="00C01C43">
      <w:pPr>
        <w:rPr>
          <w:rFonts w:eastAsia="Times New Roman"/>
        </w:rPr>
      </w:pPr>
      <w:r>
        <w:rPr>
          <w:rFonts w:eastAsia="Times New Roman"/>
        </w:rPr>
        <w:pict w14:anchorId="6001390A">
          <v:rect id="_x0000_i1078" style="width:0;height:1.5pt" o:hralign="center" o:hrstd="t" o:hr="t" fillcolor="#a0a0a0" stroked="f"/>
        </w:pict>
      </w:r>
    </w:p>
    <w:p w14:paraId="33677E45" w14:textId="77777777" w:rsidR="00000000" w:rsidRDefault="00C01C43">
      <w:pPr>
        <w:divId w:val="755126725"/>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2463E958" w14:textId="77777777" w:rsidR="00000000" w:rsidRDefault="00C01C43">
      <w:pPr>
        <w:jc w:val="both"/>
        <w:rPr>
          <w:rFonts w:eastAsia="Times New Roman"/>
        </w:rPr>
      </w:pPr>
      <w:r>
        <w:rPr>
          <w:rFonts w:ascii="Arial" w:eastAsia="Times New Roman" w:hAnsi="Arial" w:cs="Arial"/>
          <w:b/>
          <w:bCs/>
          <w:color w:val="000000"/>
        </w:rPr>
        <w:t xml:space="preserve">WORLD FUEL SERVICES CORPORATION </w:t>
      </w:r>
    </w:p>
    <w:p w14:paraId="27FBAB5D" w14:textId="77777777" w:rsidR="00000000" w:rsidRDefault="00C01C43">
      <w:pPr>
        <w:jc w:val="both"/>
        <w:rPr>
          <w:rFonts w:eastAsia="Times New Roman"/>
        </w:rPr>
      </w:pPr>
      <w:r>
        <w:rPr>
          <w:rFonts w:ascii="Arial" w:eastAsia="Times New Roman" w:hAnsi="Arial" w:cs="Arial"/>
          <w:b/>
          <w:bCs/>
          <w:color w:val="000000"/>
        </w:rPr>
        <w:t>CONSOLIDATED STATEMENTS OF SHAREHOLDERS’ EQUITY</w:t>
      </w:r>
    </w:p>
    <w:p w14:paraId="7CE9D2D1" w14:textId="77777777" w:rsidR="00000000" w:rsidRDefault="00C01C43">
      <w:pPr>
        <w:jc w:val="both"/>
        <w:divId w:val="1665163440"/>
        <w:rPr>
          <w:rFonts w:eastAsia="Times New Roman"/>
        </w:rPr>
      </w:pPr>
      <w:r>
        <w:rPr>
          <w:rFonts w:ascii="Arial" w:eastAsia="Times New Roman" w:hAnsi="Arial" w:cs="Arial"/>
          <w:color w:val="000000"/>
          <w:sz w:val="20"/>
          <w:szCs w:val="20"/>
        </w:rPr>
        <w:t>(In millions)</w:t>
      </w:r>
    </w:p>
    <w:tbl>
      <w:tblPr>
        <w:tblW w:w="4970" w:type="pct"/>
        <w:tblCellMar>
          <w:top w:w="15" w:type="dxa"/>
          <w:left w:w="15" w:type="dxa"/>
          <w:bottom w:w="15" w:type="dxa"/>
          <w:right w:w="15" w:type="dxa"/>
        </w:tblCellMar>
        <w:tblLook w:val="04A0" w:firstRow="1" w:lastRow="0" w:firstColumn="1" w:lastColumn="0" w:noHBand="0" w:noVBand="1"/>
      </w:tblPr>
      <w:tblGrid>
        <w:gridCol w:w="41"/>
        <w:gridCol w:w="1120"/>
        <w:gridCol w:w="39"/>
        <w:gridCol w:w="79"/>
        <w:gridCol w:w="421"/>
        <w:gridCol w:w="37"/>
        <w:gridCol w:w="37"/>
        <w:gridCol w:w="37"/>
        <w:gridCol w:w="36"/>
        <w:gridCol w:w="105"/>
        <w:gridCol w:w="480"/>
        <w:gridCol w:w="36"/>
        <w:gridCol w:w="36"/>
        <w:gridCol w:w="36"/>
        <w:gridCol w:w="36"/>
        <w:gridCol w:w="104"/>
        <w:gridCol w:w="418"/>
        <w:gridCol w:w="36"/>
        <w:gridCol w:w="36"/>
        <w:gridCol w:w="36"/>
        <w:gridCol w:w="36"/>
        <w:gridCol w:w="104"/>
        <w:gridCol w:w="543"/>
        <w:gridCol w:w="36"/>
        <w:gridCol w:w="36"/>
        <w:gridCol w:w="36"/>
        <w:gridCol w:w="36"/>
        <w:gridCol w:w="105"/>
        <w:gridCol w:w="987"/>
        <w:gridCol w:w="36"/>
        <w:gridCol w:w="36"/>
        <w:gridCol w:w="36"/>
        <w:gridCol w:w="36"/>
        <w:gridCol w:w="105"/>
        <w:gridCol w:w="871"/>
        <w:gridCol w:w="36"/>
        <w:gridCol w:w="36"/>
        <w:gridCol w:w="36"/>
        <w:gridCol w:w="36"/>
        <w:gridCol w:w="105"/>
        <w:gridCol w:w="935"/>
        <w:gridCol w:w="36"/>
        <w:gridCol w:w="36"/>
        <w:gridCol w:w="36"/>
        <w:gridCol w:w="36"/>
        <w:gridCol w:w="104"/>
        <w:gridCol w:w="543"/>
        <w:gridCol w:w="36"/>
      </w:tblGrid>
      <w:tr w:rsidR="00000000" w14:paraId="7E83730C" w14:textId="77777777">
        <w:trPr>
          <w:divId w:val="2080210473"/>
        </w:trPr>
        <w:tc>
          <w:tcPr>
            <w:tcW w:w="50" w:type="pct"/>
            <w:vAlign w:val="center"/>
            <w:hideMark/>
          </w:tcPr>
          <w:p w14:paraId="3149996F" w14:textId="77777777" w:rsidR="00000000" w:rsidRDefault="00C01C43">
            <w:pPr>
              <w:jc w:val="both"/>
              <w:rPr>
                <w:rFonts w:eastAsia="Times New Roman"/>
              </w:rPr>
            </w:pPr>
          </w:p>
        </w:tc>
        <w:tc>
          <w:tcPr>
            <w:tcW w:w="1239" w:type="pct"/>
            <w:vAlign w:val="center"/>
            <w:hideMark/>
          </w:tcPr>
          <w:p w14:paraId="6F8FF463" w14:textId="77777777" w:rsidR="00000000" w:rsidRDefault="00C01C43">
            <w:pPr>
              <w:rPr>
                <w:rFonts w:eastAsia="Times New Roman"/>
                <w:sz w:val="20"/>
                <w:szCs w:val="20"/>
              </w:rPr>
            </w:pPr>
          </w:p>
        </w:tc>
        <w:tc>
          <w:tcPr>
            <w:tcW w:w="5" w:type="pct"/>
            <w:vAlign w:val="center"/>
            <w:hideMark/>
          </w:tcPr>
          <w:p w14:paraId="009F7B98" w14:textId="77777777" w:rsidR="00000000" w:rsidRDefault="00C01C43">
            <w:pPr>
              <w:rPr>
                <w:rFonts w:eastAsia="Times New Roman"/>
                <w:sz w:val="20"/>
                <w:szCs w:val="20"/>
              </w:rPr>
            </w:pPr>
          </w:p>
        </w:tc>
        <w:tc>
          <w:tcPr>
            <w:tcW w:w="50" w:type="pct"/>
            <w:vAlign w:val="center"/>
            <w:hideMark/>
          </w:tcPr>
          <w:p w14:paraId="015532FD" w14:textId="77777777" w:rsidR="00000000" w:rsidRDefault="00C01C43">
            <w:pPr>
              <w:rPr>
                <w:rFonts w:eastAsia="Times New Roman"/>
                <w:sz w:val="20"/>
                <w:szCs w:val="20"/>
              </w:rPr>
            </w:pPr>
          </w:p>
        </w:tc>
        <w:tc>
          <w:tcPr>
            <w:tcW w:w="268" w:type="pct"/>
            <w:vAlign w:val="center"/>
            <w:hideMark/>
          </w:tcPr>
          <w:p w14:paraId="3C91D34D" w14:textId="77777777" w:rsidR="00000000" w:rsidRDefault="00C01C43">
            <w:pPr>
              <w:rPr>
                <w:rFonts w:eastAsia="Times New Roman"/>
                <w:sz w:val="20"/>
                <w:szCs w:val="20"/>
              </w:rPr>
            </w:pPr>
          </w:p>
        </w:tc>
        <w:tc>
          <w:tcPr>
            <w:tcW w:w="5" w:type="pct"/>
            <w:vAlign w:val="center"/>
            <w:hideMark/>
          </w:tcPr>
          <w:p w14:paraId="41640993" w14:textId="77777777" w:rsidR="00000000" w:rsidRDefault="00C01C43">
            <w:pPr>
              <w:rPr>
                <w:rFonts w:eastAsia="Times New Roman"/>
                <w:sz w:val="20"/>
                <w:szCs w:val="20"/>
              </w:rPr>
            </w:pPr>
          </w:p>
        </w:tc>
        <w:tc>
          <w:tcPr>
            <w:tcW w:w="5" w:type="pct"/>
            <w:vAlign w:val="center"/>
            <w:hideMark/>
          </w:tcPr>
          <w:p w14:paraId="35D01A67" w14:textId="77777777" w:rsidR="00000000" w:rsidRDefault="00C01C43">
            <w:pPr>
              <w:rPr>
                <w:rFonts w:eastAsia="Times New Roman"/>
                <w:sz w:val="20"/>
                <w:szCs w:val="20"/>
              </w:rPr>
            </w:pPr>
          </w:p>
        </w:tc>
        <w:tc>
          <w:tcPr>
            <w:tcW w:w="26" w:type="pct"/>
            <w:vAlign w:val="center"/>
            <w:hideMark/>
          </w:tcPr>
          <w:p w14:paraId="0B91BEA2" w14:textId="77777777" w:rsidR="00000000" w:rsidRDefault="00C01C43">
            <w:pPr>
              <w:rPr>
                <w:rFonts w:eastAsia="Times New Roman"/>
                <w:sz w:val="20"/>
                <w:szCs w:val="20"/>
              </w:rPr>
            </w:pPr>
          </w:p>
        </w:tc>
        <w:tc>
          <w:tcPr>
            <w:tcW w:w="5" w:type="pct"/>
            <w:vAlign w:val="center"/>
            <w:hideMark/>
          </w:tcPr>
          <w:p w14:paraId="714AFED3" w14:textId="77777777" w:rsidR="00000000" w:rsidRDefault="00C01C43">
            <w:pPr>
              <w:rPr>
                <w:rFonts w:eastAsia="Times New Roman"/>
                <w:sz w:val="20"/>
                <w:szCs w:val="20"/>
              </w:rPr>
            </w:pPr>
          </w:p>
        </w:tc>
        <w:tc>
          <w:tcPr>
            <w:tcW w:w="50" w:type="pct"/>
            <w:vAlign w:val="center"/>
            <w:hideMark/>
          </w:tcPr>
          <w:p w14:paraId="651EEAC6" w14:textId="77777777" w:rsidR="00000000" w:rsidRDefault="00C01C43">
            <w:pPr>
              <w:rPr>
                <w:rFonts w:eastAsia="Times New Roman"/>
                <w:sz w:val="20"/>
                <w:szCs w:val="20"/>
              </w:rPr>
            </w:pPr>
          </w:p>
        </w:tc>
        <w:tc>
          <w:tcPr>
            <w:tcW w:w="297" w:type="pct"/>
            <w:vAlign w:val="center"/>
            <w:hideMark/>
          </w:tcPr>
          <w:p w14:paraId="6E218D29" w14:textId="77777777" w:rsidR="00000000" w:rsidRDefault="00C01C43">
            <w:pPr>
              <w:rPr>
                <w:rFonts w:eastAsia="Times New Roman"/>
                <w:sz w:val="20"/>
                <w:szCs w:val="20"/>
              </w:rPr>
            </w:pPr>
          </w:p>
        </w:tc>
        <w:tc>
          <w:tcPr>
            <w:tcW w:w="5" w:type="pct"/>
            <w:vAlign w:val="center"/>
            <w:hideMark/>
          </w:tcPr>
          <w:p w14:paraId="183158EE" w14:textId="77777777" w:rsidR="00000000" w:rsidRDefault="00C01C43">
            <w:pPr>
              <w:rPr>
                <w:rFonts w:eastAsia="Times New Roman"/>
                <w:sz w:val="20"/>
                <w:szCs w:val="20"/>
              </w:rPr>
            </w:pPr>
          </w:p>
        </w:tc>
        <w:tc>
          <w:tcPr>
            <w:tcW w:w="5" w:type="pct"/>
            <w:vAlign w:val="center"/>
            <w:hideMark/>
          </w:tcPr>
          <w:p w14:paraId="382D5FD4" w14:textId="77777777" w:rsidR="00000000" w:rsidRDefault="00C01C43">
            <w:pPr>
              <w:rPr>
                <w:rFonts w:eastAsia="Times New Roman"/>
                <w:sz w:val="20"/>
                <w:szCs w:val="20"/>
              </w:rPr>
            </w:pPr>
          </w:p>
        </w:tc>
        <w:tc>
          <w:tcPr>
            <w:tcW w:w="26" w:type="pct"/>
            <w:vAlign w:val="center"/>
            <w:hideMark/>
          </w:tcPr>
          <w:p w14:paraId="3FC218CA" w14:textId="77777777" w:rsidR="00000000" w:rsidRDefault="00C01C43">
            <w:pPr>
              <w:rPr>
                <w:rFonts w:eastAsia="Times New Roman"/>
                <w:sz w:val="20"/>
                <w:szCs w:val="20"/>
              </w:rPr>
            </w:pPr>
          </w:p>
        </w:tc>
        <w:tc>
          <w:tcPr>
            <w:tcW w:w="5" w:type="pct"/>
            <w:vAlign w:val="center"/>
            <w:hideMark/>
          </w:tcPr>
          <w:p w14:paraId="143DCFE2" w14:textId="77777777" w:rsidR="00000000" w:rsidRDefault="00C01C43">
            <w:pPr>
              <w:rPr>
                <w:rFonts w:eastAsia="Times New Roman"/>
                <w:sz w:val="20"/>
                <w:szCs w:val="20"/>
              </w:rPr>
            </w:pPr>
          </w:p>
        </w:tc>
        <w:tc>
          <w:tcPr>
            <w:tcW w:w="50" w:type="pct"/>
            <w:vAlign w:val="center"/>
            <w:hideMark/>
          </w:tcPr>
          <w:p w14:paraId="225CC40E" w14:textId="77777777" w:rsidR="00000000" w:rsidRDefault="00C01C43">
            <w:pPr>
              <w:rPr>
                <w:rFonts w:eastAsia="Times New Roman"/>
                <w:sz w:val="20"/>
                <w:szCs w:val="20"/>
              </w:rPr>
            </w:pPr>
          </w:p>
        </w:tc>
        <w:tc>
          <w:tcPr>
            <w:tcW w:w="334" w:type="pct"/>
            <w:vAlign w:val="center"/>
            <w:hideMark/>
          </w:tcPr>
          <w:p w14:paraId="5BDA1457" w14:textId="77777777" w:rsidR="00000000" w:rsidRDefault="00C01C43">
            <w:pPr>
              <w:rPr>
                <w:rFonts w:eastAsia="Times New Roman"/>
                <w:sz w:val="20"/>
                <w:szCs w:val="20"/>
              </w:rPr>
            </w:pPr>
          </w:p>
        </w:tc>
        <w:tc>
          <w:tcPr>
            <w:tcW w:w="5" w:type="pct"/>
            <w:vAlign w:val="center"/>
            <w:hideMark/>
          </w:tcPr>
          <w:p w14:paraId="584B43D7" w14:textId="77777777" w:rsidR="00000000" w:rsidRDefault="00C01C43">
            <w:pPr>
              <w:rPr>
                <w:rFonts w:eastAsia="Times New Roman"/>
                <w:sz w:val="20"/>
                <w:szCs w:val="20"/>
              </w:rPr>
            </w:pPr>
          </w:p>
        </w:tc>
        <w:tc>
          <w:tcPr>
            <w:tcW w:w="5" w:type="pct"/>
            <w:vAlign w:val="center"/>
            <w:hideMark/>
          </w:tcPr>
          <w:p w14:paraId="5A768112" w14:textId="77777777" w:rsidR="00000000" w:rsidRDefault="00C01C43">
            <w:pPr>
              <w:rPr>
                <w:rFonts w:eastAsia="Times New Roman"/>
                <w:sz w:val="20"/>
                <w:szCs w:val="20"/>
              </w:rPr>
            </w:pPr>
          </w:p>
        </w:tc>
        <w:tc>
          <w:tcPr>
            <w:tcW w:w="26" w:type="pct"/>
            <w:vAlign w:val="center"/>
            <w:hideMark/>
          </w:tcPr>
          <w:p w14:paraId="0F4273F2" w14:textId="77777777" w:rsidR="00000000" w:rsidRDefault="00C01C43">
            <w:pPr>
              <w:rPr>
                <w:rFonts w:eastAsia="Times New Roman"/>
                <w:sz w:val="20"/>
                <w:szCs w:val="20"/>
              </w:rPr>
            </w:pPr>
          </w:p>
        </w:tc>
        <w:tc>
          <w:tcPr>
            <w:tcW w:w="5" w:type="pct"/>
            <w:vAlign w:val="center"/>
            <w:hideMark/>
          </w:tcPr>
          <w:p w14:paraId="0366CDAE" w14:textId="77777777" w:rsidR="00000000" w:rsidRDefault="00C01C43">
            <w:pPr>
              <w:rPr>
                <w:rFonts w:eastAsia="Times New Roman"/>
                <w:sz w:val="20"/>
                <w:szCs w:val="20"/>
              </w:rPr>
            </w:pPr>
          </w:p>
        </w:tc>
        <w:tc>
          <w:tcPr>
            <w:tcW w:w="50" w:type="pct"/>
            <w:vAlign w:val="center"/>
            <w:hideMark/>
          </w:tcPr>
          <w:p w14:paraId="19ED399F" w14:textId="77777777" w:rsidR="00000000" w:rsidRDefault="00C01C43">
            <w:pPr>
              <w:rPr>
                <w:rFonts w:eastAsia="Times New Roman"/>
                <w:sz w:val="20"/>
                <w:szCs w:val="20"/>
              </w:rPr>
            </w:pPr>
          </w:p>
        </w:tc>
        <w:tc>
          <w:tcPr>
            <w:tcW w:w="305" w:type="pct"/>
            <w:vAlign w:val="center"/>
            <w:hideMark/>
          </w:tcPr>
          <w:p w14:paraId="3CC83F16" w14:textId="77777777" w:rsidR="00000000" w:rsidRDefault="00C01C43">
            <w:pPr>
              <w:rPr>
                <w:rFonts w:eastAsia="Times New Roman"/>
                <w:sz w:val="20"/>
                <w:szCs w:val="20"/>
              </w:rPr>
            </w:pPr>
          </w:p>
        </w:tc>
        <w:tc>
          <w:tcPr>
            <w:tcW w:w="5" w:type="pct"/>
            <w:vAlign w:val="center"/>
            <w:hideMark/>
          </w:tcPr>
          <w:p w14:paraId="6928FCEA" w14:textId="77777777" w:rsidR="00000000" w:rsidRDefault="00C01C43">
            <w:pPr>
              <w:rPr>
                <w:rFonts w:eastAsia="Times New Roman"/>
                <w:sz w:val="20"/>
                <w:szCs w:val="20"/>
              </w:rPr>
            </w:pPr>
          </w:p>
        </w:tc>
        <w:tc>
          <w:tcPr>
            <w:tcW w:w="5" w:type="pct"/>
            <w:vAlign w:val="center"/>
            <w:hideMark/>
          </w:tcPr>
          <w:p w14:paraId="647B999D" w14:textId="77777777" w:rsidR="00000000" w:rsidRDefault="00C01C43">
            <w:pPr>
              <w:rPr>
                <w:rFonts w:eastAsia="Times New Roman"/>
                <w:sz w:val="20"/>
                <w:szCs w:val="20"/>
              </w:rPr>
            </w:pPr>
          </w:p>
        </w:tc>
        <w:tc>
          <w:tcPr>
            <w:tcW w:w="26" w:type="pct"/>
            <w:vAlign w:val="center"/>
            <w:hideMark/>
          </w:tcPr>
          <w:p w14:paraId="74C0F87E" w14:textId="77777777" w:rsidR="00000000" w:rsidRDefault="00C01C43">
            <w:pPr>
              <w:rPr>
                <w:rFonts w:eastAsia="Times New Roman"/>
                <w:sz w:val="20"/>
                <w:szCs w:val="20"/>
              </w:rPr>
            </w:pPr>
          </w:p>
        </w:tc>
        <w:tc>
          <w:tcPr>
            <w:tcW w:w="5" w:type="pct"/>
            <w:vAlign w:val="center"/>
            <w:hideMark/>
          </w:tcPr>
          <w:p w14:paraId="2A09FF86" w14:textId="77777777" w:rsidR="00000000" w:rsidRDefault="00C01C43">
            <w:pPr>
              <w:rPr>
                <w:rFonts w:eastAsia="Times New Roman"/>
                <w:sz w:val="20"/>
                <w:szCs w:val="20"/>
              </w:rPr>
            </w:pPr>
          </w:p>
        </w:tc>
        <w:tc>
          <w:tcPr>
            <w:tcW w:w="50" w:type="pct"/>
            <w:vAlign w:val="center"/>
            <w:hideMark/>
          </w:tcPr>
          <w:p w14:paraId="5C9C73FF" w14:textId="77777777" w:rsidR="00000000" w:rsidRDefault="00C01C43">
            <w:pPr>
              <w:rPr>
                <w:rFonts w:eastAsia="Times New Roman"/>
                <w:sz w:val="20"/>
                <w:szCs w:val="20"/>
              </w:rPr>
            </w:pPr>
          </w:p>
        </w:tc>
        <w:tc>
          <w:tcPr>
            <w:tcW w:w="525" w:type="pct"/>
            <w:vAlign w:val="center"/>
            <w:hideMark/>
          </w:tcPr>
          <w:p w14:paraId="791ADFF1" w14:textId="77777777" w:rsidR="00000000" w:rsidRDefault="00C01C43">
            <w:pPr>
              <w:rPr>
                <w:rFonts w:eastAsia="Times New Roman"/>
                <w:sz w:val="20"/>
                <w:szCs w:val="20"/>
              </w:rPr>
            </w:pPr>
          </w:p>
        </w:tc>
        <w:tc>
          <w:tcPr>
            <w:tcW w:w="5" w:type="pct"/>
            <w:vAlign w:val="center"/>
            <w:hideMark/>
          </w:tcPr>
          <w:p w14:paraId="170E0662" w14:textId="77777777" w:rsidR="00000000" w:rsidRDefault="00C01C43">
            <w:pPr>
              <w:rPr>
                <w:rFonts w:eastAsia="Times New Roman"/>
                <w:sz w:val="20"/>
                <w:szCs w:val="20"/>
              </w:rPr>
            </w:pPr>
          </w:p>
        </w:tc>
        <w:tc>
          <w:tcPr>
            <w:tcW w:w="5" w:type="pct"/>
            <w:vAlign w:val="center"/>
            <w:hideMark/>
          </w:tcPr>
          <w:p w14:paraId="10178B63" w14:textId="77777777" w:rsidR="00000000" w:rsidRDefault="00C01C43">
            <w:pPr>
              <w:rPr>
                <w:rFonts w:eastAsia="Times New Roman"/>
                <w:sz w:val="20"/>
                <w:szCs w:val="20"/>
              </w:rPr>
            </w:pPr>
          </w:p>
        </w:tc>
        <w:tc>
          <w:tcPr>
            <w:tcW w:w="26" w:type="pct"/>
            <w:vAlign w:val="center"/>
            <w:hideMark/>
          </w:tcPr>
          <w:p w14:paraId="724B07C3" w14:textId="77777777" w:rsidR="00000000" w:rsidRDefault="00C01C43">
            <w:pPr>
              <w:rPr>
                <w:rFonts w:eastAsia="Times New Roman"/>
                <w:sz w:val="20"/>
                <w:szCs w:val="20"/>
              </w:rPr>
            </w:pPr>
          </w:p>
        </w:tc>
        <w:tc>
          <w:tcPr>
            <w:tcW w:w="5" w:type="pct"/>
            <w:vAlign w:val="center"/>
            <w:hideMark/>
          </w:tcPr>
          <w:p w14:paraId="4375C9E3" w14:textId="77777777" w:rsidR="00000000" w:rsidRDefault="00C01C43">
            <w:pPr>
              <w:rPr>
                <w:rFonts w:eastAsia="Times New Roman"/>
                <w:sz w:val="20"/>
                <w:szCs w:val="20"/>
              </w:rPr>
            </w:pPr>
          </w:p>
        </w:tc>
        <w:tc>
          <w:tcPr>
            <w:tcW w:w="50" w:type="pct"/>
            <w:vAlign w:val="center"/>
            <w:hideMark/>
          </w:tcPr>
          <w:p w14:paraId="18CEE1A8" w14:textId="77777777" w:rsidR="00000000" w:rsidRDefault="00C01C43">
            <w:pPr>
              <w:rPr>
                <w:rFonts w:eastAsia="Times New Roman"/>
                <w:sz w:val="20"/>
                <w:szCs w:val="20"/>
              </w:rPr>
            </w:pPr>
          </w:p>
        </w:tc>
        <w:tc>
          <w:tcPr>
            <w:tcW w:w="467" w:type="pct"/>
            <w:vAlign w:val="center"/>
            <w:hideMark/>
          </w:tcPr>
          <w:p w14:paraId="53B3BBDA" w14:textId="77777777" w:rsidR="00000000" w:rsidRDefault="00C01C43">
            <w:pPr>
              <w:rPr>
                <w:rFonts w:eastAsia="Times New Roman"/>
                <w:sz w:val="20"/>
                <w:szCs w:val="20"/>
              </w:rPr>
            </w:pPr>
          </w:p>
        </w:tc>
        <w:tc>
          <w:tcPr>
            <w:tcW w:w="5" w:type="pct"/>
            <w:vAlign w:val="center"/>
            <w:hideMark/>
          </w:tcPr>
          <w:p w14:paraId="313A8186" w14:textId="77777777" w:rsidR="00000000" w:rsidRDefault="00C01C43">
            <w:pPr>
              <w:rPr>
                <w:rFonts w:eastAsia="Times New Roman"/>
                <w:sz w:val="20"/>
                <w:szCs w:val="20"/>
              </w:rPr>
            </w:pPr>
          </w:p>
        </w:tc>
        <w:tc>
          <w:tcPr>
            <w:tcW w:w="5" w:type="pct"/>
            <w:vAlign w:val="center"/>
            <w:hideMark/>
          </w:tcPr>
          <w:p w14:paraId="2C87B7AA" w14:textId="77777777" w:rsidR="00000000" w:rsidRDefault="00C01C43">
            <w:pPr>
              <w:rPr>
                <w:rFonts w:eastAsia="Times New Roman"/>
                <w:sz w:val="20"/>
                <w:szCs w:val="20"/>
              </w:rPr>
            </w:pPr>
          </w:p>
        </w:tc>
        <w:tc>
          <w:tcPr>
            <w:tcW w:w="26" w:type="pct"/>
            <w:vAlign w:val="center"/>
            <w:hideMark/>
          </w:tcPr>
          <w:p w14:paraId="6D9DC142" w14:textId="77777777" w:rsidR="00000000" w:rsidRDefault="00C01C43">
            <w:pPr>
              <w:rPr>
                <w:rFonts w:eastAsia="Times New Roman"/>
                <w:sz w:val="20"/>
                <w:szCs w:val="20"/>
              </w:rPr>
            </w:pPr>
          </w:p>
        </w:tc>
        <w:tc>
          <w:tcPr>
            <w:tcW w:w="5" w:type="pct"/>
            <w:vAlign w:val="center"/>
            <w:hideMark/>
          </w:tcPr>
          <w:p w14:paraId="580BEC46" w14:textId="77777777" w:rsidR="00000000" w:rsidRDefault="00C01C43">
            <w:pPr>
              <w:rPr>
                <w:rFonts w:eastAsia="Times New Roman"/>
                <w:sz w:val="20"/>
                <w:szCs w:val="20"/>
              </w:rPr>
            </w:pPr>
          </w:p>
        </w:tc>
        <w:tc>
          <w:tcPr>
            <w:tcW w:w="50" w:type="pct"/>
            <w:vAlign w:val="center"/>
            <w:hideMark/>
          </w:tcPr>
          <w:p w14:paraId="5C741777" w14:textId="77777777" w:rsidR="00000000" w:rsidRDefault="00C01C43">
            <w:pPr>
              <w:rPr>
                <w:rFonts w:eastAsia="Times New Roman"/>
                <w:sz w:val="20"/>
                <w:szCs w:val="20"/>
              </w:rPr>
            </w:pPr>
          </w:p>
        </w:tc>
        <w:tc>
          <w:tcPr>
            <w:tcW w:w="511" w:type="pct"/>
            <w:vAlign w:val="center"/>
            <w:hideMark/>
          </w:tcPr>
          <w:p w14:paraId="6CB5087E" w14:textId="77777777" w:rsidR="00000000" w:rsidRDefault="00C01C43">
            <w:pPr>
              <w:rPr>
                <w:rFonts w:eastAsia="Times New Roman"/>
                <w:sz w:val="20"/>
                <w:szCs w:val="20"/>
              </w:rPr>
            </w:pPr>
          </w:p>
        </w:tc>
        <w:tc>
          <w:tcPr>
            <w:tcW w:w="5" w:type="pct"/>
            <w:vAlign w:val="center"/>
            <w:hideMark/>
          </w:tcPr>
          <w:p w14:paraId="7813C8EC" w14:textId="77777777" w:rsidR="00000000" w:rsidRDefault="00C01C43">
            <w:pPr>
              <w:rPr>
                <w:rFonts w:eastAsia="Times New Roman"/>
                <w:sz w:val="20"/>
                <w:szCs w:val="20"/>
              </w:rPr>
            </w:pPr>
          </w:p>
        </w:tc>
        <w:tc>
          <w:tcPr>
            <w:tcW w:w="5" w:type="pct"/>
            <w:vAlign w:val="center"/>
            <w:hideMark/>
          </w:tcPr>
          <w:p w14:paraId="2A100F61" w14:textId="77777777" w:rsidR="00000000" w:rsidRDefault="00C01C43">
            <w:pPr>
              <w:rPr>
                <w:rFonts w:eastAsia="Times New Roman"/>
                <w:sz w:val="20"/>
                <w:szCs w:val="20"/>
              </w:rPr>
            </w:pPr>
          </w:p>
        </w:tc>
        <w:tc>
          <w:tcPr>
            <w:tcW w:w="26" w:type="pct"/>
            <w:vAlign w:val="center"/>
            <w:hideMark/>
          </w:tcPr>
          <w:p w14:paraId="452AC9A4" w14:textId="77777777" w:rsidR="00000000" w:rsidRDefault="00C01C43">
            <w:pPr>
              <w:rPr>
                <w:rFonts w:eastAsia="Times New Roman"/>
                <w:sz w:val="20"/>
                <w:szCs w:val="20"/>
              </w:rPr>
            </w:pPr>
          </w:p>
        </w:tc>
        <w:tc>
          <w:tcPr>
            <w:tcW w:w="5" w:type="pct"/>
            <w:vAlign w:val="center"/>
            <w:hideMark/>
          </w:tcPr>
          <w:p w14:paraId="15866469" w14:textId="77777777" w:rsidR="00000000" w:rsidRDefault="00C01C43">
            <w:pPr>
              <w:rPr>
                <w:rFonts w:eastAsia="Times New Roman"/>
                <w:sz w:val="20"/>
                <w:szCs w:val="20"/>
              </w:rPr>
            </w:pPr>
          </w:p>
        </w:tc>
        <w:tc>
          <w:tcPr>
            <w:tcW w:w="50" w:type="pct"/>
            <w:vAlign w:val="center"/>
            <w:hideMark/>
          </w:tcPr>
          <w:p w14:paraId="5FC6BCBA" w14:textId="77777777" w:rsidR="00000000" w:rsidRDefault="00C01C43">
            <w:pPr>
              <w:rPr>
                <w:rFonts w:eastAsia="Times New Roman"/>
                <w:sz w:val="20"/>
                <w:szCs w:val="20"/>
              </w:rPr>
            </w:pPr>
          </w:p>
        </w:tc>
        <w:tc>
          <w:tcPr>
            <w:tcW w:w="298" w:type="pct"/>
            <w:vAlign w:val="center"/>
            <w:hideMark/>
          </w:tcPr>
          <w:p w14:paraId="66430854" w14:textId="77777777" w:rsidR="00000000" w:rsidRDefault="00C01C43">
            <w:pPr>
              <w:rPr>
                <w:rFonts w:eastAsia="Times New Roman"/>
                <w:sz w:val="20"/>
                <w:szCs w:val="20"/>
              </w:rPr>
            </w:pPr>
          </w:p>
        </w:tc>
        <w:tc>
          <w:tcPr>
            <w:tcW w:w="5" w:type="pct"/>
            <w:vAlign w:val="center"/>
            <w:hideMark/>
          </w:tcPr>
          <w:p w14:paraId="34A379C6" w14:textId="77777777" w:rsidR="00000000" w:rsidRDefault="00C01C43">
            <w:pPr>
              <w:rPr>
                <w:rFonts w:eastAsia="Times New Roman"/>
                <w:sz w:val="20"/>
                <w:szCs w:val="20"/>
              </w:rPr>
            </w:pPr>
          </w:p>
        </w:tc>
      </w:tr>
      <w:tr w:rsidR="00000000" w14:paraId="41D2E424" w14:textId="77777777">
        <w:trPr>
          <w:divId w:val="2080210473"/>
          <w:trHeight w:val="240"/>
        </w:trPr>
        <w:tc>
          <w:tcPr>
            <w:tcW w:w="0" w:type="auto"/>
            <w:gridSpan w:val="3"/>
            <w:tcMar>
              <w:top w:w="0" w:type="dxa"/>
              <w:left w:w="20" w:type="dxa"/>
              <w:bottom w:w="0" w:type="dxa"/>
              <w:right w:w="20" w:type="dxa"/>
            </w:tcMar>
            <w:vAlign w:val="center"/>
            <w:hideMark/>
          </w:tcPr>
          <w:p w14:paraId="13E19690" w14:textId="77777777" w:rsidR="00000000" w:rsidRDefault="00C01C43">
            <w:pPr>
              <w:rPr>
                <w:rFonts w:eastAsia="Times New Roman"/>
                <w:sz w:val="20"/>
                <w:szCs w:val="20"/>
              </w:rPr>
            </w:pPr>
          </w:p>
        </w:tc>
        <w:tc>
          <w:tcPr>
            <w:tcW w:w="0" w:type="auto"/>
            <w:gridSpan w:val="9"/>
            <w:tcMar>
              <w:top w:w="30" w:type="dxa"/>
              <w:left w:w="20" w:type="dxa"/>
              <w:bottom w:w="30" w:type="dxa"/>
              <w:right w:w="20" w:type="dxa"/>
            </w:tcMar>
            <w:vAlign w:val="bottom"/>
            <w:hideMark/>
          </w:tcPr>
          <w:p w14:paraId="5059C7E3" w14:textId="77777777" w:rsidR="00000000" w:rsidRDefault="00C01C43">
            <w:pPr>
              <w:jc w:val="center"/>
              <w:rPr>
                <w:rFonts w:eastAsia="Times New Roman"/>
              </w:rPr>
            </w:pPr>
            <w:r>
              <w:rPr>
                <w:rFonts w:ascii="Arial" w:eastAsia="Times New Roman" w:hAnsi="Arial" w:cs="Arial"/>
                <w:b/>
                <w:bCs/>
                <w:color w:val="000000"/>
                <w:sz w:val="14"/>
                <w:szCs w:val="14"/>
              </w:rPr>
              <w:t>Common Stock</w:t>
            </w:r>
          </w:p>
        </w:tc>
        <w:tc>
          <w:tcPr>
            <w:tcW w:w="0" w:type="auto"/>
            <w:gridSpan w:val="3"/>
            <w:tcMar>
              <w:top w:w="0" w:type="dxa"/>
              <w:left w:w="20" w:type="dxa"/>
              <w:bottom w:w="0" w:type="dxa"/>
              <w:right w:w="20" w:type="dxa"/>
            </w:tcMar>
            <w:vAlign w:val="center"/>
            <w:hideMark/>
          </w:tcPr>
          <w:p w14:paraId="1F562470" w14:textId="77777777" w:rsidR="00000000" w:rsidRDefault="00C01C43">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6C08F6A" w14:textId="77777777" w:rsidR="00000000" w:rsidRDefault="00C01C43">
            <w:pPr>
              <w:jc w:val="center"/>
              <w:rPr>
                <w:rFonts w:eastAsia="Times New Roman"/>
              </w:rPr>
            </w:pPr>
            <w:r>
              <w:rPr>
                <w:rFonts w:ascii="Arial" w:eastAsia="Times New Roman" w:hAnsi="Arial" w:cs="Arial"/>
                <w:b/>
                <w:bCs/>
                <w:color w:val="000000"/>
                <w:sz w:val="14"/>
                <w:szCs w:val="14"/>
              </w:rPr>
              <w:t>Capital in Excess of Par Value</w:t>
            </w:r>
          </w:p>
        </w:tc>
        <w:tc>
          <w:tcPr>
            <w:tcW w:w="0" w:type="auto"/>
            <w:gridSpan w:val="3"/>
            <w:tcMar>
              <w:top w:w="0" w:type="dxa"/>
              <w:left w:w="20" w:type="dxa"/>
              <w:bottom w:w="0" w:type="dxa"/>
              <w:right w:w="20" w:type="dxa"/>
            </w:tcMar>
            <w:vAlign w:val="center"/>
            <w:hideMark/>
          </w:tcPr>
          <w:p w14:paraId="644AAE39"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200A9CF2"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5233BA64" w14:textId="77777777" w:rsidR="00000000" w:rsidRDefault="00C01C43">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25827D4D" w14:textId="77777777" w:rsidR="00000000" w:rsidRDefault="00C01C43">
            <w:pPr>
              <w:jc w:val="center"/>
              <w:rPr>
                <w:rFonts w:eastAsia="Times New Roman"/>
              </w:rPr>
            </w:pPr>
            <w:r>
              <w:rPr>
                <w:rFonts w:ascii="Arial" w:eastAsia="Times New Roman" w:hAnsi="Arial" w:cs="Arial"/>
                <w:b/>
                <w:bCs/>
                <w:color w:val="000000"/>
                <w:sz w:val="14"/>
                <w:szCs w:val="14"/>
              </w:rPr>
              <w:t>Accumulated Other Comprehensive Loss</w:t>
            </w:r>
          </w:p>
        </w:tc>
        <w:tc>
          <w:tcPr>
            <w:tcW w:w="0" w:type="auto"/>
            <w:gridSpan w:val="3"/>
            <w:vMerge w:val="restart"/>
            <w:tcMar>
              <w:top w:w="0" w:type="dxa"/>
              <w:left w:w="20" w:type="dxa"/>
              <w:bottom w:w="0" w:type="dxa"/>
              <w:right w:w="20" w:type="dxa"/>
            </w:tcMar>
            <w:vAlign w:val="center"/>
            <w:hideMark/>
          </w:tcPr>
          <w:p w14:paraId="1A0DA6D3" w14:textId="77777777" w:rsidR="00000000" w:rsidRDefault="00C01C43">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8C5BACE" w14:textId="77777777" w:rsidR="00000000" w:rsidRDefault="00C01C43">
            <w:pPr>
              <w:jc w:val="center"/>
              <w:rPr>
                <w:rFonts w:eastAsia="Times New Roman"/>
              </w:rPr>
            </w:pPr>
            <w:r>
              <w:rPr>
                <w:rFonts w:ascii="Arial" w:eastAsia="Times New Roman" w:hAnsi="Arial" w:cs="Arial"/>
                <w:b/>
                <w:bCs/>
                <w:color w:val="000000"/>
                <w:sz w:val="14"/>
                <w:szCs w:val="14"/>
              </w:rPr>
              <w:t>Total World Fuel Shareholders’ Equity</w:t>
            </w:r>
          </w:p>
        </w:tc>
        <w:tc>
          <w:tcPr>
            <w:tcW w:w="0" w:type="auto"/>
            <w:gridSpan w:val="3"/>
            <w:vMerge w:val="restart"/>
            <w:tcMar>
              <w:top w:w="0" w:type="dxa"/>
              <w:left w:w="20" w:type="dxa"/>
              <w:bottom w:w="0" w:type="dxa"/>
              <w:right w:w="20" w:type="dxa"/>
            </w:tcMar>
            <w:vAlign w:val="center"/>
            <w:hideMark/>
          </w:tcPr>
          <w:p w14:paraId="749C359E" w14:textId="77777777" w:rsidR="00000000" w:rsidRDefault="00C01C43">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7C1E4DD" w14:textId="77777777" w:rsidR="00000000" w:rsidRDefault="00C01C43">
            <w:pPr>
              <w:jc w:val="center"/>
              <w:rPr>
                <w:rFonts w:eastAsia="Times New Roman"/>
              </w:rPr>
            </w:pPr>
            <w:r>
              <w:rPr>
                <w:rFonts w:ascii="Arial" w:eastAsia="Times New Roman" w:hAnsi="Arial" w:cs="Arial"/>
                <w:b/>
                <w:bCs/>
                <w:color w:val="000000"/>
                <w:sz w:val="14"/>
                <w:szCs w:val="14"/>
              </w:rPr>
              <w:t>Noncontrolling Interest</w:t>
            </w:r>
          </w:p>
        </w:tc>
        <w:tc>
          <w:tcPr>
            <w:tcW w:w="0" w:type="auto"/>
            <w:gridSpan w:val="3"/>
            <w:tcMar>
              <w:top w:w="0" w:type="dxa"/>
              <w:left w:w="20" w:type="dxa"/>
              <w:bottom w:w="0" w:type="dxa"/>
              <w:right w:w="20" w:type="dxa"/>
            </w:tcMar>
            <w:vAlign w:val="center"/>
            <w:hideMark/>
          </w:tcPr>
          <w:p w14:paraId="5475AC81"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4167AFDF" w14:textId="77777777" w:rsidR="00000000" w:rsidRDefault="00C01C43">
            <w:pPr>
              <w:rPr>
                <w:rFonts w:eastAsia="Times New Roman"/>
                <w:sz w:val="20"/>
                <w:szCs w:val="20"/>
              </w:rPr>
            </w:pPr>
          </w:p>
        </w:tc>
      </w:tr>
      <w:tr w:rsidR="00000000" w14:paraId="7BC8372D" w14:textId="77777777">
        <w:trPr>
          <w:divId w:val="2080210473"/>
          <w:trHeight w:val="360"/>
        </w:trPr>
        <w:tc>
          <w:tcPr>
            <w:tcW w:w="0" w:type="auto"/>
            <w:gridSpan w:val="3"/>
            <w:tcMar>
              <w:top w:w="0" w:type="dxa"/>
              <w:left w:w="20" w:type="dxa"/>
              <w:bottom w:w="0" w:type="dxa"/>
              <w:right w:w="20" w:type="dxa"/>
            </w:tcMar>
            <w:vAlign w:val="center"/>
            <w:hideMark/>
          </w:tcPr>
          <w:p w14:paraId="528702A8" w14:textId="77777777" w:rsidR="00000000" w:rsidRDefault="00C01C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07DCF1C" w14:textId="77777777" w:rsidR="00000000" w:rsidRDefault="00C01C43">
            <w:pPr>
              <w:jc w:val="center"/>
              <w:rPr>
                <w:rFonts w:eastAsia="Times New Roman"/>
              </w:rPr>
            </w:pPr>
            <w:r>
              <w:rPr>
                <w:rFonts w:ascii="Arial" w:eastAsia="Times New Roman" w:hAnsi="Arial" w:cs="Arial"/>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157F241D"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993630" w14:textId="77777777" w:rsidR="00000000" w:rsidRDefault="00C01C43">
            <w:pPr>
              <w:jc w:val="center"/>
              <w:rPr>
                <w:rFonts w:eastAsia="Times New Roman"/>
              </w:rPr>
            </w:pPr>
            <w:r>
              <w:rPr>
                <w:rFonts w:ascii="Arial" w:eastAsia="Times New Roman" w:hAnsi="Arial" w:cs="Arial"/>
                <w:b/>
                <w:bCs/>
                <w:color w:val="000000"/>
                <w:sz w:val="14"/>
                <w:szCs w:val="14"/>
              </w:rPr>
              <w:t>Amount</w:t>
            </w:r>
          </w:p>
        </w:tc>
        <w:tc>
          <w:tcPr>
            <w:tcW w:w="0" w:type="auto"/>
            <w:gridSpan w:val="3"/>
            <w:tcMar>
              <w:top w:w="0" w:type="dxa"/>
              <w:left w:w="20" w:type="dxa"/>
              <w:bottom w:w="0" w:type="dxa"/>
              <w:right w:w="20" w:type="dxa"/>
            </w:tcMar>
            <w:vAlign w:val="center"/>
            <w:hideMark/>
          </w:tcPr>
          <w:p w14:paraId="15C0BE7C" w14:textId="77777777" w:rsidR="00000000" w:rsidRDefault="00C01C43">
            <w:pPr>
              <w:jc w:val="center"/>
              <w:rPr>
                <w:rFonts w:eastAsia="Times New Roman"/>
              </w:rPr>
            </w:pPr>
          </w:p>
        </w:tc>
        <w:tc>
          <w:tcPr>
            <w:tcW w:w="0" w:type="auto"/>
            <w:gridSpan w:val="3"/>
            <w:vMerge/>
            <w:vAlign w:val="center"/>
            <w:hideMark/>
          </w:tcPr>
          <w:p w14:paraId="1E5855DE"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3DE2EFAE"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4611AB5F" w14:textId="77777777" w:rsidR="00000000" w:rsidRDefault="00C01C43">
            <w:pPr>
              <w:jc w:val="center"/>
              <w:rPr>
                <w:rFonts w:eastAsia="Times New Roman"/>
              </w:rPr>
            </w:pPr>
            <w:r>
              <w:rPr>
                <w:rFonts w:ascii="Arial" w:eastAsia="Times New Roman" w:hAnsi="Arial" w:cs="Arial"/>
                <w:b/>
                <w:bCs/>
                <w:color w:val="000000"/>
                <w:sz w:val="14"/>
                <w:szCs w:val="14"/>
              </w:rPr>
              <w:t>Retained Earnings</w:t>
            </w:r>
          </w:p>
        </w:tc>
        <w:tc>
          <w:tcPr>
            <w:tcW w:w="0" w:type="auto"/>
            <w:gridSpan w:val="3"/>
            <w:tcMar>
              <w:top w:w="0" w:type="dxa"/>
              <w:left w:w="20" w:type="dxa"/>
              <w:bottom w:w="0" w:type="dxa"/>
              <w:right w:w="20" w:type="dxa"/>
            </w:tcMar>
            <w:vAlign w:val="center"/>
            <w:hideMark/>
          </w:tcPr>
          <w:p w14:paraId="2EE82817" w14:textId="77777777" w:rsidR="00000000" w:rsidRDefault="00C01C43">
            <w:pPr>
              <w:jc w:val="center"/>
              <w:rPr>
                <w:rFonts w:eastAsia="Times New Roman"/>
              </w:rPr>
            </w:pPr>
          </w:p>
        </w:tc>
        <w:tc>
          <w:tcPr>
            <w:tcW w:w="0" w:type="auto"/>
            <w:gridSpan w:val="3"/>
            <w:vMerge/>
            <w:vAlign w:val="center"/>
            <w:hideMark/>
          </w:tcPr>
          <w:p w14:paraId="1B56C643" w14:textId="77777777" w:rsidR="00000000" w:rsidRDefault="00C01C43">
            <w:pPr>
              <w:rPr>
                <w:rFonts w:eastAsia="Times New Roman"/>
              </w:rPr>
            </w:pPr>
          </w:p>
        </w:tc>
        <w:tc>
          <w:tcPr>
            <w:tcW w:w="0" w:type="auto"/>
            <w:gridSpan w:val="3"/>
            <w:vMerge/>
            <w:vAlign w:val="center"/>
            <w:hideMark/>
          </w:tcPr>
          <w:p w14:paraId="6B00ABE3" w14:textId="77777777" w:rsidR="00000000" w:rsidRDefault="00C01C43">
            <w:pPr>
              <w:rPr>
                <w:rFonts w:eastAsia="Times New Roman"/>
              </w:rPr>
            </w:pPr>
          </w:p>
        </w:tc>
        <w:tc>
          <w:tcPr>
            <w:tcW w:w="0" w:type="auto"/>
            <w:gridSpan w:val="3"/>
            <w:vMerge/>
            <w:vAlign w:val="center"/>
            <w:hideMark/>
          </w:tcPr>
          <w:p w14:paraId="13CF2279" w14:textId="77777777" w:rsidR="00000000" w:rsidRDefault="00C01C43">
            <w:pPr>
              <w:rPr>
                <w:rFonts w:eastAsia="Times New Roman"/>
              </w:rPr>
            </w:pPr>
          </w:p>
        </w:tc>
        <w:tc>
          <w:tcPr>
            <w:tcW w:w="0" w:type="auto"/>
            <w:gridSpan w:val="3"/>
            <w:vMerge/>
            <w:vAlign w:val="center"/>
            <w:hideMark/>
          </w:tcPr>
          <w:p w14:paraId="0C6A2AF1" w14:textId="77777777" w:rsidR="00000000" w:rsidRDefault="00C01C43">
            <w:pPr>
              <w:rPr>
                <w:rFonts w:eastAsia="Times New Roman"/>
              </w:rPr>
            </w:pPr>
          </w:p>
        </w:tc>
        <w:tc>
          <w:tcPr>
            <w:tcW w:w="0" w:type="auto"/>
            <w:gridSpan w:val="3"/>
            <w:vMerge/>
            <w:vAlign w:val="center"/>
            <w:hideMark/>
          </w:tcPr>
          <w:p w14:paraId="5FFE0EC1"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3088EC96"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0FE9149B" w14:textId="77777777" w:rsidR="00000000" w:rsidRDefault="00C01C43">
            <w:pPr>
              <w:jc w:val="center"/>
              <w:rPr>
                <w:rFonts w:eastAsia="Times New Roman"/>
              </w:rPr>
            </w:pPr>
            <w:r>
              <w:rPr>
                <w:rFonts w:ascii="Arial" w:eastAsia="Times New Roman" w:hAnsi="Arial" w:cs="Arial"/>
                <w:b/>
                <w:bCs/>
                <w:color w:val="000000"/>
                <w:sz w:val="14"/>
                <w:szCs w:val="14"/>
              </w:rPr>
              <w:t>Total Equity</w:t>
            </w:r>
          </w:p>
        </w:tc>
      </w:tr>
      <w:tr w:rsidR="00C01C43" w14:paraId="6AE242C8" w14:textId="77777777">
        <w:trPr>
          <w:divId w:val="208021047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AF9B461" w14:textId="77777777" w:rsidR="00000000" w:rsidRDefault="00C01C43">
            <w:pPr>
              <w:rPr>
                <w:rFonts w:eastAsia="Times New Roman"/>
              </w:rPr>
            </w:pPr>
            <w:r>
              <w:rPr>
                <w:rFonts w:ascii="Arial" w:eastAsia="Times New Roman" w:hAnsi="Arial" w:cs="Arial"/>
                <w:color w:val="000000"/>
                <w:sz w:val="15"/>
                <w:szCs w:val="15"/>
              </w:rPr>
              <w:t>Balance as of December 31, 2017</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89D0F7" w14:textId="77777777" w:rsidR="00000000" w:rsidRDefault="00C01C43">
            <w:pPr>
              <w:jc w:val="right"/>
              <w:rPr>
                <w:rFonts w:eastAsia="Times New Roman"/>
              </w:rPr>
            </w:pPr>
            <w:r>
              <w:rPr>
                <w:rFonts w:ascii="Arial" w:eastAsia="Times New Roman" w:hAnsi="Arial" w:cs="Arial"/>
                <w:color w:val="000000"/>
                <w:sz w:val="15"/>
                <w:szCs w:val="15"/>
              </w:rPr>
              <w:t>67.7 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228ADF"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363924"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3B19C2"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57EEBC" w14:textId="77777777" w:rsidR="00000000" w:rsidRDefault="00C01C43">
            <w:pPr>
              <w:jc w:val="right"/>
              <w:rPr>
                <w:rFonts w:eastAsia="Times New Roman"/>
              </w:rPr>
            </w:pPr>
            <w:r>
              <w:rPr>
                <w:rFonts w:ascii="Arial" w:eastAsia="Times New Roman" w:hAnsi="Arial" w:cs="Arial"/>
                <w:color w:val="000000"/>
                <w:sz w:val="15"/>
                <w:szCs w:val="15"/>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6E722D"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1ECD97"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C1D7E5"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845551" w14:textId="77777777" w:rsidR="00000000" w:rsidRDefault="00C01C43">
            <w:pPr>
              <w:jc w:val="right"/>
              <w:rPr>
                <w:rFonts w:eastAsia="Times New Roman"/>
              </w:rPr>
            </w:pPr>
            <w:r>
              <w:rPr>
                <w:rFonts w:ascii="Arial" w:eastAsia="Times New Roman" w:hAnsi="Arial" w:cs="Arial"/>
                <w:color w:val="000000"/>
                <w:sz w:val="15"/>
                <w:szCs w:val="15"/>
              </w:rPr>
              <w:t>354.9 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C9D832"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77D2DA"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E0C31E"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AA5282" w14:textId="77777777" w:rsidR="00000000" w:rsidRDefault="00C01C43">
            <w:pPr>
              <w:jc w:val="right"/>
              <w:rPr>
                <w:rFonts w:eastAsia="Times New Roman"/>
              </w:rPr>
            </w:pPr>
            <w:r>
              <w:rPr>
                <w:rFonts w:ascii="Arial" w:eastAsia="Times New Roman" w:hAnsi="Arial" w:cs="Arial"/>
                <w:color w:val="000000"/>
                <w:sz w:val="15"/>
                <w:szCs w:val="15"/>
              </w:rPr>
              <w:t>1,492.8 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2BFB6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585E67"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2A9A44"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6CFE7D" w14:textId="77777777" w:rsidR="00000000" w:rsidRDefault="00C01C43">
            <w:pPr>
              <w:jc w:val="right"/>
              <w:rPr>
                <w:rFonts w:eastAsia="Times New Roman"/>
              </w:rPr>
            </w:pPr>
            <w:r>
              <w:rPr>
                <w:rFonts w:ascii="Arial" w:eastAsia="Times New Roman" w:hAnsi="Arial" w:cs="Arial"/>
                <w:color w:val="000000"/>
                <w:sz w:val="15"/>
                <w:szCs w:val="15"/>
              </w:rPr>
              <w:t>(126.5)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6BEECF"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B5362B"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EBE796"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2048C5" w14:textId="77777777" w:rsidR="00000000" w:rsidRDefault="00C01C43">
            <w:pPr>
              <w:jc w:val="right"/>
              <w:rPr>
                <w:rFonts w:eastAsia="Times New Roman"/>
              </w:rPr>
            </w:pPr>
            <w:r>
              <w:rPr>
                <w:rFonts w:ascii="Arial" w:eastAsia="Times New Roman" w:hAnsi="Arial" w:cs="Arial"/>
                <w:color w:val="000000"/>
                <w:sz w:val="15"/>
                <w:szCs w:val="15"/>
              </w:rPr>
              <w:t>1,721.9 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94A142"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FB25D5"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E759D0"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6D36BC" w14:textId="77777777" w:rsidR="00000000" w:rsidRDefault="00C01C43">
            <w:pPr>
              <w:jc w:val="right"/>
              <w:rPr>
                <w:rFonts w:eastAsia="Times New Roman"/>
              </w:rPr>
            </w:pPr>
            <w:r>
              <w:rPr>
                <w:rFonts w:ascii="Arial" w:eastAsia="Times New Roman" w:hAnsi="Arial" w:cs="Arial"/>
                <w:color w:val="000000"/>
                <w:sz w:val="15"/>
                <w:szCs w:val="15"/>
              </w:rPr>
              <w:t>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D9B0A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5AAECA"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F05719"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4A1A26" w14:textId="77777777" w:rsidR="00000000" w:rsidRDefault="00C01C43">
            <w:pPr>
              <w:jc w:val="right"/>
              <w:rPr>
                <w:rFonts w:eastAsia="Times New Roman"/>
              </w:rPr>
            </w:pPr>
            <w:r>
              <w:rPr>
                <w:rFonts w:ascii="Arial" w:eastAsia="Times New Roman" w:hAnsi="Arial" w:cs="Arial"/>
                <w:color w:val="000000"/>
                <w:sz w:val="15"/>
                <w:szCs w:val="15"/>
              </w:rPr>
              <w:t>1,738.0 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D9E2E5" w14:textId="77777777" w:rsidR="00000000" w:rsidRDefault="00C01C43">
            <w:pPr>
              <w:jc w:val="right"/>
              <w:rPr>
                <w:rFonts w:eastAsia="Times New Roman"/>
              </w:rPr>
            </w:pPr>
          </w:p>
        </w:tc>
      </w:tr>
      <w:tr w:rsidR="00000000" w14:paraId="66E8AC17" w14:textId="77777777">
        <w:trPr>
          <w:divId w:val="2080210473"/>
        </w:trPr>
        <w:tc>
          <w:tcPr>
            <w:tcW w:w="0" w:type="auto"/>
            <w:gridSpan w:val="3"/>
            <w:shd w:val="clear" w:color="auto" w:fill="FFFFFF"/>
            <w:tcMar>
              <w:top w:w="30" w:type="dxa"/>
              <w:left w:w="20" w:type="dxa"/>
              <w:bottom w:w="30" w:type="dxa"/>
              <w:right w:w="20" w:type="dxa"/>
            </w:tcMar>
            <w:vAlign w:val="bottom"/>
            <w:hideMark/>
          </w:tcPr>
          <w:p w14:paraId="0528D976" w14:textId="77777777" w:rsidR="00000000" w:rsidRDefault="00C01C43">
            <w:pPr>
              <w:rPr>
                <w:rFonts w:eastAsia="Times New Roman"/>
              </w:rPr>
            </w:pPr>
            <w:r>
              <w:rPr>
                <w:rFonts w:ascii="Arial" w:eastAsia="Times New Roman" w:hAnsi="Arial" w:cs="Arial"/>
                <w:color w:val="000000"/>
                <w:sz w:val="15"/>
                <w:szCs w:val="15"/>
              </w:rPr>
              <w:t>Net income</w:t>
            </w:r>
          </w:p>
        </w:tc>
        <w:tc>
          <w:tcPr>
            <w:tcW w:w="0" w:type="auto"/>
            <w:gridSpan w:val="2"/>
            <w:tcMar>
              <w:top w:w="30" w:type="dxa"/>
              <w:left w:w="20" w:type="dxa"/>
              <w:bottom w:w="30" w:type="dxa"/>
              <w:right w:w="0" w:type="dxa"/>
            </w:tcMar>
            <w:vAlign w:val="bottom"/>
            <w:hideMark/>
          </w:tcPr>
          <w:p w14:paraId="0B2B3F70"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vAlign w:val="bottom"/>
            <w:hideMark/>
          </w:tcPr>
          <w:p w14:paraId="152D6EA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BA52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FBE637"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4BBC16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F70B7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7EE065"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77733D5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05D4E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C4894A" w14:textId="77777777" w:rsidR="00000000" w:rsidRDefault="00C01C43">
            <w:pPr>
              <w:jc w:val="right"/>
              <w:rPr>
                <w:rFonts w:eastAsia="Times New Roman"/>
              </w:rPr>
            </w:pPr>
            <w:r>
              <w:rPr>
                <w:rFonts w:ascii="Arial" w:eastAsia="Times New Roman" w:hAnsi="Arial" w:cs="Arial"/>
                <w:color w:val="000000"/>
                <w:sz w:val="15"/>
                <w:szCs w:val="15"/>
              </w:rPr>
              <w:t>127.7 </w:t>
            </w:r>
          </w:p>
        </w:tc>
        <w:tc>
          <w:tcPr>
            <w:tcW w:w="0" w:type="auto"/>
            <w:shd w:val="clear" w:color="auto" w:fill="FFFFFF"/>
            <w:tcMar>
              <w:top w:w="30" w:type="dxa"/>
              <w:left w:w="0" w:type="dxa"/>
              <w:bottom w:w="30" w:type="dxa"/>
              <w:right w:w="20" w:type="dxa"/>
            </w:tcMar>
            <w:vAlign w:val="bottom"/>
            <w:hideMark/>
          </w:tcPr>
          <w:p w14:paraId="13D3B5A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C6C0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F8663C"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F77000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48427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29AA3D" w14:textId="77777777" w:rsidR="00000000" w:rsidRDefault="00C01C43">
            <w:pPr>
              <w:jc w:val="right"/>
              <w:rPr>
                <w:rFonts w:eastAsia="Times New Roman"/>
              </w:rPr>
            </w:pPr>
            <w:r>
              <w:rPr>
                <w:rFonts w:ascii="Arial" w:eastAsia="Times New Roman" w:hAnsi="Arial" w:cs="Arial"/>
                <w:color w:val="000000"/>
                <w:sz w:val="15"/>
                <w:szCs w:val="15"/>
              </w:rPr>
              <w:t>127.7 </w:t>
            </w:r>
          </w:p>
        </w:tc>
        <w:tc>
          <w:tcPr>
            <w:tcW w:w="0" w:type="auto"/>
            <w:shd w:val="clear" w:color="auto" w:fill="FFFFFF"/>
            <w:tcMar>
              <w:top w:w="30" w:type="dxa"/>
              <w:left w:w="0" w:type="dxa"/>
              <w:bottom w:w="30" w:type="dxa"/>
              <w:right w:w="20" w:type="dxa"/>
            </w:tcMar>
            <w:vAlign w:val="bottom"/>
            <w:hideMark/>
          </w:tcPr>
          <w:p w14:paraId="6774C10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1ECFD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191759" w14:textId="77777777" w:rsidR="00000000" w:rsidRDefault="00C01C43">
            <w:pPr>
              <w:jc w:val="right"/>
              <w:rPr>
                <w:rFonts w:eastAsia="Times New Roman"/>
              </w:rPr>
            </w:pPr>
            <w:r>
              <w:rPr>
                <w:rFonts w:ascii="Arial" w:eastAsia="Times New Roman" w:hAnsi="Arial" w:cs="Arial"/>
                <w:color w:val="000000"/>
                <w:sz w:val="15"/>
                <w:szCs w:val="15"/>
              </w:rPr>
              <w:t>1.3 </w:t>
            </w:r>
          </w:p>
        </w:tc>
        <w:tc>
          <w:tcPr>
            <w:tcW w:w="0" w:type="auto"/>
            <w:shd w:val="clear" w:color="auto" w:fill="FFFFFF"/>
            <w:tcMar>
              <w:top w:w="30" w:type="dxa"/>
              <w:left w:w="0" w:type="dxa"/>
              <w:bottom w:w="30" w:type="dxa"/>
              <w:right w:w="20" w:type="dxa"/>
            </w:tcMar>
            <w:vAlign w:val="bottom"/>
            <w:hideMark/>
          </w:tcPr>
          <w:p w14:paraId="7FA15E6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B0D5D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095DC5" w14:textId="77777777" w:rsidR="00000000" w:rsidRDefault="00C01C43">
            <w:pPr>
              <w:jc w:val="right"/>
              <w:rPr>
                <w:rFonts w:eastAsia="Times New Roman"/>
              </w:rPr>
            </w:pPr>
            <w:r>
              <w:rPr>
                <w:rFonts w:ascii="Arial" w:eastAsia="Times New Roman" w:hAnsi="Arial" w:cs="Arial"/>
                <w:color w:val="000000"/>
                <w:sz w:val="15"/>
                <w:szCs w:val="15"/>
              </w:rPr>
              <w:t>129.0 </w:t>
            </w:r>
          </w:p>
        </w:tc>
        <w:tc>
          <w:tcPr>
            <w:tcW w:w="0" w:type="auto"/>
            <w:shd w:val="clear" w:color="auto" w:fill="FFFFFF"/>
            <w:tcMar>
              <w:top w:w="30" w:type="dxa"/>
              <w:left w:w="0" w:type="dxa"/>
              <w:bottom w:w="30" w:type="dxa"/>
              <w:right w:w="20" w:type="dxa"/>
            </w:tcMar>
            <w:vAlign w:val="bottom"/>
            <w:hideMark/>
          </w:tcPr>
          <w:p w14:paraId="1D5F2A5B" w14:textId="77777777" w:rsidR="00000000" w:rsidRDefault="00C01C43">
            <w:pPr>
              <w:jc w:val="right"/>
              <w:rPr>
                <w:rFonts w:eastAsia="Times New Roman"/>
              </w:rPr>
            </w:pPr>
          </w:p>
        </w:tc>
      </w:tr>
      <w:tr w:rsidR="00000000" w14:paraId="648BE539" w14:textId="77777777">
        <w:trPr>
          <w:divId w:val="2080210473"/>
        </w:trPr>
        <w:tc>
          <w:tcPr>
            <w:tcW w:w="0" w:type="auto"/>
            <w:gridSpan w:val="3"/>
            <w:shd w:val="clear" w:color="auto" w:fill="CCEEFF"/>
            <w:tcMar>
              <w:top w:w="30" w:type="dxa"/>
              <w:left w:w="20" w:type="dxa"/>
              <w:bottom w:w="30" w:type="dxa"/>
              <w:right w:w="20" w:type="dxa"/>
            </w:tcMar>
            <w:vAlign w:val="bottom"/>
            <w:hideMark/>
          </w:tcPr>
          <w:p w14:paraId="071ECFB1" w14:textId="77777777" w:rsidR="00000000" w:rsidRDefault="00C01C43">
            <w:pPr>
              <w:rPr>
                <w:rFonts w:eastAsia="Times New Roman"/>
              </w:rPr>
            </w:pPr>
            <w:r>
              <w:rPr>
                <w:rFonts w:ascii="Arial" w:eastAsia="Times New Roman" w:hAnsi="Arial" w:cs="Arial"/>
                <w:color w:val="000000"/>
                <w:sz w:val="15"/>
                <w:szCs w:val="15"/>
              </w:rPr>
              <w:t>Cash dividends declared</w:t>
            </w:r>
          </w:p>
        </w:tc>
        <w:tc>
          <w:tcPr>
            <w:tcW w:w="0" w:type="auto"/>
            <w:gridSpan w:val="2"/>
            <w:shd w:val="clear" w:color="auto" w:fill="CCEEFF"/>
            <w:tcMar>
              <w:top w:w="30" w:type="dxa"/>
              <w:left w:w="20" w:type="dxa"/>
              <w:bottom w:w="30" w:type="dxa"/>
              <w:right w:w="0" w:type="dxa"/>
            </w:tcMar>
            <w:vAlign w:val="bottom"/>
            <w:hideMark/>
          </w:tcPr>
          <w:p w14:paraId="44126AE7"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119C033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3388D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15FE6B"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1BCE25F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2449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5D93D1"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0CFC9FA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5A4A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09A1F5" w14:textId="77777777" w:rsidR="00000000" w:rsidRDefault="00C01C43">
            <w:pPr>
              <w:jc w:val="right"/>
              <w:rPr>
                <w:rFonts w:eastAsia="Times New Roman"/>
              </w:rPr>
            </w:pPr>
            <w:r>
              <w:rPr>
                <w:rFonts w:ascii="Arial" w:eastAsia="Times New Roman" w:hAnsi="Arial" w:cs="Arial"/>
                <w:color w:val="000000"/>
                <w:sz w:val="15"/>
                <w:szCs w:val="15"/>
              </w:rPr>
              <w:t>(16.1)</w:t>
            </w:r>
          </w:p>
        </w:tc>
        <w:tc>
          <w:tcPr>
            <w:tcW w:w="0" w:type="auto"/>
            <w:shd w:val="clear" w:color="auto" w:fill="CCEEFF"/>
            <w:tcMar>
              <w:top w:w="30" w:type="dxa"/>
              <w:left w:w="0" w:type="dxa"/>
              <w:bottom w:w="30" w:type="dxa"/>
              <w:right w:w="20" w:type="dxa"/>
            </w:tcMar>
            <w:vAlign w:val="bottom"/>
            <w:hideMark/>
          </w:tcPr>
          <w:p w14:paraId="48971C4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5B02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E4B85F"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4981B7F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AE24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46D6EA" w14:textId="77777777" w:rsidR="00000000" w:rsidRDefault="00C01C43">
            <w:pPr>
              <w:jc w:val="right"/>
              <w:rPr>
                <w:rFonts w:eastAsia="Times New Roman"/>
              </w:rPr>
            </w:pPr>
            <w:r>
              <w:rPr>
                <w:rFonts w:ascii="Arial" w:eastAsia="Times New Roman" w:hAnsi="Arial" w:cs="Arial"/>
                <w:color w:val="000000"/>
                <w:sz w:val="15"/>
                <w:szCs w:val="15"/>
              </w:rPr>
              <w:t>(16.1)</w:t>
            </w:r>
          </w:p>
        </w:tc>
        <w:tc>
          <w:tcPr>
            <w:tcW w:w="0" w:type="auto"/>
            <w:shd w:val="clear" w:color="auto" w:fill="CCEEFF"/>
            <w:tcMar>
              <w:top w:w="30" w:type="dxa"/>
              <w:left w:w="0" w:type="dxa"/>
              <w:bottom w:w="30" w:type="dxa"/>
              <w:right w:w="20" w:type="dxa"/>
            </w:tcMar>
            <w:vAlign w:val="bottom"/>
            <w:hideMark/>
          </w:tcPr>
          <w:p w14:paraId="19AFC02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6B564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D9F83F"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6B157EE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21A9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B3E9F3" w14:textId="77777777" w:rsidR="00000000" w:rsidRDefault="00C01C43">
            <w:pPr>
              <w:jc w:val="right"/>
              <w:rPr>
                <w:rFonts w:eastAsia="Times New Roman"/>
              </w:rPr>
            </w:pPr>
            <w:r>
              <w:rPr>
                <w:rFonts w:ascii="Arial" w:eastAsia="Times New Roman" w:hAnsi="Arial" w:cs="Arial"/>
                <w:color w:val="000000"/>
                <w:sz w:val="15"/>
                <w:szCs w:val="15"/>
              </w:rPr>
              <w:t>(16.1)</w:t>
            </w:r>
          </w:p>
        </w:tc>
        <w:tc>
          <w:tcPr>
            <w:tcW w:w="0" w:type="auto"/>
            <w:shd w:val="clear" w:color="auto" w:fill="CCEEFF"/>
            <w:tcMar>
              <w:top w:w="30" w:type="dxa"/>
              <w:left w:w="0" w:type="dxa"/>
              <w:bottom w:w="30" w:type="dxa"/>
              <w:right w:w="20" w:type="dxa"/>
            </w:tcMar>
            <w:vAlign w:val="bottom"/>
            <w:hideMark/>
          </w:tcPr>
          <w:p w14:paraId="12230538" w14:textId="77777777" w:rsidR="00000000" w:rsidRDefault="00C01C43">
            <w:pPr>
              <w:jc w:val="right"/>
              <w:rPr>
                <w:rFonts w:eastAsia="Times New Roman"/>
              </w:rPr>
            </w:pPr>
          </w:p>
        </w:tc>
      </w:tr>
      <w:tr w:rsidR="00000000" w14:paraId="366C2AA9" w14:textId="77777777">
        <w:trPr>
          <w:divId w:val="2080210473"/>
        </w:trPr>
        <w:tc>
          <w:tcPr>
            <w:tcW w:w="0" w:type="auto"/>
            <w:gridSpan w:val="3"/>
            <w:shd w:val="clear" w:color="auto" w:fill="FFFFFF"/>
            <w:tcMar>
              <w:top w:w="30" w:type="dxa"/>
              <w:left w:w="20" w:type="dxa"/>
              <w:bottom w:w="30" w:type="dxa"/>
              <w:right w:w="20" w:type="dxa"/>
            </w:tcMar>
            <w:vAlign w:val="bottom"/>
            <w:hideMark/>
          </w:tcPr>
          <w:p w14:paraId="65E5982B" w14:textId="77777777" w:rsidR="00000000" w:rsidRDefault="00C01C43">
            <w:pPr>
              <w:rPr>
                <w:rFonts w:eastAsia="Times New Roman"/>
              </w:rPr>
            </w:pPr>
            <w:r>
              <w:rPr>
                <w:rFonts w:ascii="Arial" w:eastAsia="Times New Roman" w:hAnsi="Arial" w:cs="Arial"/>
                <w:color w:val="000000"/>
                <w:sz w:val="15"/>
                <w:szCs w:val="15"/>
              </w:rPr>
              <w:t>Amortization of share-based payment awards</w:t>
            </w:r>
          </w:p>
        </w:tc>
        <w:tc>
          <w:tcPr>
            <w:tcW w:w="0" w:type="auto"/>
            <w:gridSpan w:val="2"/>
            <w:shd w:val="clear" w:color="auto" w:fill="FFFFFF"/>
            <w:tcMar>
              <w:top w:w="30" w:type="dxa"/>
              <w:left w:w="20" w:type="dxa"/>
              <w:bottom w:w="30" w:type="dxa"/>
              <w:right w:w="0" w:type="dxa"/>
            </w:tcMar>
            <w:vAlign w:val="bottom"/>
            <w:hideMark/>
          </w:tcPr>
          <w:p w14:paraId="340B8902"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3993CDF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17E6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6C2BE9"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63DD5D7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58681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9D1DFA" w14:textId="77777777" w:rsidR="00000000" w:rsidRDefault="00C01C43">
            <w:pPr>
              <w:jc w:val="right"/>
              <w:rPr>
                <w:rFonts w:eastAsia="Times New Roman"/>
              </w:rPr>
            </w:pPr>
            <w:r>
              <w:rPr>
                <w:rFonts w:ascii="Arial" w:eastAsia="Times New Roman" w:hAnsi="Arial" w:cs="Arial"/>
                <w:color w:val="000000"/>
                <w:sz w:val="15"/>
                <w:szCs w:val="15"/>
              </w:rPr>
              <w:t>7.7 </w:t>
            </w:r>
          </w:p>
        </w:tc>
        <w:tc>
          <w:tcPr>
            <w:tcW w:w="0" w:type="auto"/>
            <w:shd w:val="clear" w:color="auto" w:fill="FFFFFF"/>
            <w:tcMar>
              <w:top w:w="30" w:type="dxa"/>
              <w:left w:w="0" w:type="dxa"/>
              <w:bottom w:w="30" w:type="dxa"/>
              <w:right w:w="20" w:type="dxa"/>
            </w:tcMar>
            <w:vAlign w:val="bottom"/>
            <w:hideMark/>
          </w:tcPr>
          <w:p w14:paraId="0693FCC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61D6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B33649"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5636732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EC507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D7F95D"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3586429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B5C1F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E3D01" w14:textId="77777777" w:rsidR="00000000" w:rsidRDefault="00C01C43">
            <w:pPr>
              <w:jc w:val="right"/>
              <w:rPr>
                <w:rFonts w:eastAsia="Times New Roman"/>
              </w:rPr>
            </w:pPr>
            <w:r>
              <w:rPr>
                <w:rFonts w:ascii="Arial" w:eastAsia="Times New Roman" w:hAnsi="Arial" w:cs="Arial"/>
                <w:color w:val="000000"/>
                <w:sz w:val="15"/>
                <w:szCs w:val="15"/>
              </w:rPr>
              <w:t>7.7 </w:t>
            </w:r>
          </w:p>
        </w:tc>
        <w:tc>
          <w:tcPr>
            <w:tcW w:w="0" w:type="auto"/>
            <w:shd w:val="clear" w:color="auto" w:fill="FFFFFF"/>
            <w:tcMar>
              <w:top w:w="30" w:type="dxa"/>
              <w:left w:w="0" w:type="dxa"/>
              <w:bottom w:w="30" w:type="dxa"/>
              <w:right w:w="20" w:type="dxa"/>
            </w:tcMar>
            <w:vAlign w:val="bottom"/>
            <w:hideMark/>
          </w:tcPr>
          <w:p w14:paraId="4DD70BF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3740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B5F959"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532B7A8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08C43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5D5CA2" w14:textId="77777777" w:rsidR="00000000" w:rsidRDefault="00C01C43">
            <w:pPr>
              <w:jc w:val="right"/>
              <w:rPr>
                <w:rFonts w:eastAsia="Times New Roman"/>
              </w:rPr>
            </w:pPr>
            <w:r>
              <w:rPr>
                <w:rFonts w:ascii="Arial" w:eastAsia="Times New Roman" w:hAnsi="Arial" w:cs="Arial"/>
                <w:color w:val="000000"/>
                <w:sz w:val="15"/>
                <w:szCs w:val="15"/>
              </w:rPr>
              <w:t>7.7 </w:t>
            </w:r>
          </w:p>
        </w:tc>
        <w:tc>
          <w:tcPr>
            <w:tcW w:w="0" w:type="auto"/>
            <w:shd w:val="clear" w:color="auto" w:fill="FFFFFF"/>
            <w:tcMar>
              <w:top w:w="30" w:type="dxa"/>
              <w:left w:w="0" w:type="dxa"/>
              <w:bottom w:w="30" w:type="dxa"/>
              <w:right w:w="20" w:type="dxa"/>
            </w:tcMar>
            <w:vAlign w:val="bottom"/>
            <w:hideMark/>
          </w:tcPr>
          <w:p w14:paraId="6DB79215" w14:textId="77777777" w:rsidR="00000000" w:rsidRDefault="00C01C43">
            <w:pPr>
              <w:jc w:val="right"/>
              <w:rPr>
                <w:rFonts w:eastAsia="Times New Roman"/>
              </w:rPr>
            </w:pPr>
          </w:p>
        </w:tc>
      </w:tr>
      <w:tr w:rsidR="00000000" w14:paraId="20133CC0" w14:textId="77777777">
        <w:trPr>
          <w:divId w:val="2080210473"/>
        </w:trPr>
        <w:tc>
          <w:tcPr>
            <w:tcW w:w="0" w:type="auto"/>
            <w:gridSpan w:val="3"/>
            <w:shd w:val="clear" w:color="auto" w:fill="CCEEFF"/>
            <w:tcMar>
              <w:top w:w="30" w:type="dxa"/>
              <w:left w:w="20" w:type="dxa"/>
              <w:bottom w:w="30" w:type="dxa"/>
              <w:right w:w="20" w:type="dxa"/>
            </w:tcMar>
            <w:vAlign w:val="bottom"/>
            <w:hideMark/>
          </w:tcPr>
          <w:p w14:paraId="6EAD791F" w14:textId="77777777" w:rsidR="00000000" w:rsidRDefault="00C01C43">
            <w:pPr>
              <w:rPr>
                <w:rFonts w:eastAsia="Times New Roman"/>
              </w:rPr>
            </w:pPr>
            <w:r>
              <w:rPr>
                <w:rFonts w:ascii="Arial" w:eastAsia="Times New Roman" w:hAnsi="Arial" w:cs="Arial"/>
                <w:color w:val="000000"/>
                <w:sz w:val="15"/>
                <w:szCs w:val="15"/>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14:paraId="100C9167" w14:textId="77777777" w:rsidR="00000000" w:rsidRDefault="00C01C43">
            <w:pPr>
              <w:jc w:val="right"/>
              <w:rPr>
                <w:rFonts w:eastAsia="Times New Roman"/>
              </w:rPr>
            </w:pPr>
            <w:r>
              <w:rPr>
                <w:rFonts w:ascii="Arial" w:eastAsia="Times New Roman" w:hAnsi="Arial" w:cs="Arial"/>
                <w:color w:val="000000"/>
                <w:sz w:val="15"/>
                <w:szCs w:val="15"/>
              </w:rPr>
              <w:t>0.2 </w:t>
            </w:r>
          </w:p>
        </w:tc>
        <w:tc>
          <w:tcPr>
            <w:tcW w:w="0" w:type="auto"/>
            <w:shd w:val="clear" w:color="auto" w:fill="CCEEFF"/>
            <w:tcMar>
              <w:top w:w="30" w:type="dxa"/>
              <w:left w:w="0" w:type="dxa"/>
              <w:bottom w:w="30" w:type="dxa"/>
              <w:right w:w="20" w:type="dxa"/>
            </w:tcMar>
            <w:vAlign w:val="bottom"/>
            <w:hideMark/>
          </w:tcPr>
          <w:p w14:paraId="4D32C8B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4A624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A9232C"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63B71F9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44683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5F80FD"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54E456C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2249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20726"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2EF91E4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BBC6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485646"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1122898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01FE0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7BC037"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6E89DE1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ADA1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2DC9B9"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7EA0937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467DE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98F0A"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5ED15769" w14:textId="77777777" w:rsidR="00000000" w:rsidRDefault="00C01C43">
            <w:pPr>
              <w:jc w:val="right"/>
              <w:rPr>
                <w:rFonts w:eastAsia="Times New Roman"/>
              </w:rPr>
            </w:pPr>
          </w:p>
        </w:tc>
      </w:tr>
      <w:tr w:rsidR="00000000" w14:paraId="2F642FCB" w14:textId="77777777">
        <w:trPr>
          <w:divId w:val="2080210473"/>
        </w:trPr>
        <w:tc>
          <w:tcPr>
            <w:tcW w:w="0" w:type="auto"/>
            <w:gridSpan w:val="3"/>
            <w:shd w:val="clear" w:color="auto" w:fill="FFFFFF"/>
            <w:tcMar>
              <w:top w:w="30" w:type="dxa"/>
              <w:left w:w="20" w:type="dxa"/>
              <w:bottom w:w="30" w:type="dxa"/>
              <w:right w:w="20" w:type="dxa"/>
            </w:tcMar>
            <w:vAlign w:val="bottom"/>
            <w:hideMark/>
          </w:tcPr>
          <w:p w14:paraId="1D0E50EB" w14:textId="77777777" w:rsidR="00000000" w:rsidRDefault="00C01C43">
            <w:pPr>
              <w:rPr>
                <w:rFonts w:eastAsia="Times New Roman"/>
              </w:rPr>
            </w:pPr>
            <w:r>
              <w:rPr>
                <w:rFonts w:ascii="Arial" w:eastAsia="Times New Roman" w:hAnsi="Arial" w:cs="Arial"/>
                <w:color w:val="000000"/>
                <w:sz w:val="15"/>
                <w:szCs w:val="15"/>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14:paraId="4942FF91"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2A53405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D8C55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18669D"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2425691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E030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06212B" w14:textId="77777777" w:rsidR="00000000" w:rsidRDefault="00C01C43">
            <w:pPr>
              <w:jc w:val="right"/>
              <w:rPr>
                <w:rFonts w:eastAsia="Times New Roman"/>
              </w:rPr>
            </w:pPr>
            <w:r>
              <w:rPr>
                <w:rFonts w:ascii="Arial" w:eastAsia="Times New Roman" w:hAnsi="Arial" w:cs="Arial"/>
                <w:color w:val="000000"/>
                <w:sz w:val="15"/>
                <w:szCs w:val="15"/>
              </w:rPr>
              <w:t>(2.1)</w:t>
            </w:r>
          </w:p>
        </w:tc>
        <w:tc>
          <w:tcPr>
            <w:tcW w:w="0" w:type="auto"/>
            <w:shd w:val="clear" w:color="auto" w:fill="FFFFFF"/>
            <w:tcMar>
              <w:top w:w="30" w:type="dxa"/>
              <w:left w:w="0" w:type="dxa"/>
              <w:bottom w:w="30" w:type="dxa"/>
              <w:right w:w="20" w:type="dxa"/>
            </w:tcMar>
            <w:vAlign w:val="bottom"/>
            <w:hideMark/>
          </w:tcPr>
          <w:p w14:paraId="2E33465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1F2C2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EDFA95"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32B3103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82711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39480A"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58D627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6C62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ED4B26" w14:textId="77777777" w:rsidR="00000000" w:rsidRDefault="00C01C43">
            <w:pPr>
              <w:jc w:val="right"/>
              <w:rPr>
                <w:rFonts w:eastAsia="Times New Roman"/>
              </w:rPr>
            </w:pPr>
            <w:r>
              <w:rPr>
                <w:rFonts w:ascii="Arial" w:eastAsia="Times New Roman" w:hAnsi="Arial" w:cs="Arial"/>
                <w:color w:val="000000"/>
                <w:sz w:val="15"/>
                <w:szCs w:val="15"/>
              </w:rPr>
              <w:t>(2.1)</w:t>
            </w:r>
          </w:p>
        </w:tc>
        <w:tc>
          <w:tcPr>
            <w:tcW w:w="0" w:type="auto"/>
            <w:shd w:val="clear" w:color="auto" w:fill="FFFFFF"/>
            <w:tcMar>
              <w:top w:w="30" w:type="dxa"/>
              <w:left w:w="0" w:type="dxa"/>
              <w:bottom w:w="30" w:type="dxa"/>
              <w:right w:w="20" w:type="dxa"/>
            </w:tcMar>
            <w:vAlign w:val="bottom"/>
            <w:hideMark/>
          </w:tcPr>
          <w:p w14:paraId="4C68970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666B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4F7AC2"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14253D1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A67D2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1CA938" w14:textId="77777777" w:rsidR="00000000" w:rsidRDefault="00C01C43">
            <w:pPr>
              <w:jc w:val="right"/>
              <w:rPr>
                <w:rFonts w:eastAsia="Times New Roman"/>
              </w:rPr>
            </w:pPr>
            <w:r>
              <w:rPr>
                <w:rFonts w:ascii="Arial" w:eastAsia="Times New Roman" w:hAnsi="Arial" w:cs="Arial"/>
                <w:color w:val="000000"/>
                <w:sz w:val="15"/>
                <w:szCs w:val="15"/>
              </w:rPr>
              <w:t>(2.1)</w:t>
            </w:r>
          </w:p>
        </w:tc>
        <w:tc>
          <w:tcPr>
            <w:tcW w:w="0" w:type="auto"/>
            <w:shd w:val="clear" w:color="auto" w:fill="FFFFFF"/>
            <w:tcMar>
              <w:top w:w="30" w:type="dxa"/>
              <w:left w:w="0" w:type="dxa"/>
              <w:bottom w:w="30" w:type="dxa"/>
              <w:right w:w="20" w:type="dxa"/>
            </w:tcMar>
            <w:vAlign w:val="bottom"/>
            <w:hideMark/>
          </w:tcPr>
          <w:p w14:paraId="4794B803" w14:textId="77777777" w:rsidR="00000000" w:rsidRDefault="00C01C43">
            <w:pPr>
              <w:jc w:val="right"/>
              <w:rPr>
                <w:rFonts w:eastAsia="Times New Roman"/>
              </w:rPr>
            </w:pPr>
          </w:p>
        </w:tc>
      </w:tr>
      <w:tr w:rsidR="00000000" w14:paraId="62563499" w14:textId="77777777">
        <w:trPr>
          <w:divId w:val="2080210473"/>
        </w:trPr>
        <w:tc>
          <w:tcPr>
            <w:tcW w:w="0" w:type="auto"/>
            <w:gridSpan w:val="3"/>
            <w:shd w:val="clear" w:color="auto" w:fill="CCEEFF"/>
            <w:tcMar>
              <w:top w:w="30" w:type="dxa"/>
              <w:left w:w="20" w:type="dxa"/>
              <w:bottom w:w="30" w:type="dxa"/>
              <w:right w:w="20" w:type="dxa"/>
            </w:tcMar>
            <w:vAlign w:val="bottom"/>
            <w:hideMark/>
          </w:tcPr>
          <w:p w14:paraId="318A5D62" w14:textId="77777777" w:rsidR="00000000" w:rsidRDefault="00C01C43">
            <w:pPr>
              <w:rPr>
                <w:rFonts w:eastAsia="Times New Roman"/>
              </w:rPr>
            </w:pPr>
            <w:r>
              <w:rPr>
                <w:rFonts w:ascii="Arial" w:eastAsia="Times New Roman" w:hAnsi="Arial" w:cs="Arial"/>
                <w:color w:val="000000"/>
                <w:sz w:val="15"/>
                <w:szCs w:val="15"/>
              </w:rPr>
              <w:t>Purchases of common stock</w:t>
            </w:r>
          </w:p>
        </w:tc>
        <w:tc>
          <w:tcPr>
            <w:tcW w:w="0" w:type="auto"/>
            <w:gridSpan w:val="2"/>
            <w:shd w:val="clear" w:color="auto" w:fill="CCEEFF"/>
            <w:tcMar>
              <w:top w:w="30" w:type="dxa"/>
              <w:left w:w="20" w:type="dxa"/>
              <w:bottom w:w="30" w:type="dxa"/>
              <w:right w:w="0" w:type="dxa"/>
            </w:tcMar>
            <w:vAlign w:val="bottom"/>
            <w:hideMark/>
          </w:tcPr>
          <w:p w14:paraId="242D3BE4" w14:textId="77777777" w:rsidR="00000000" w:rsidRDefault="00C01C43">
            <w:pPr>
              <w:jc w:val="right"/>
              <w:rPr>
                <w:rFonts w:eastAsia="Times New Roman"/>
              </w:rPr>
            </w:pPr>
            <w:r>
              <w:rPr>
                <w:rFonts w:ascii="Arial" w:eastAsia="Times New Roman" w:hAnsi="Arial" w:cs="Arial"/>
                <w:color w:val="000000"/>
                <w:sz w:val="15"/>
                <w:szCs w:val="15"/>
              </w:rPr>
              <w:t>(0.7)</w:t>
            </w:r>
          </w:p>
        </w:tc>
        <w:tc>
          <w:tcPr>
            <w:tcW w:w="0" w:type="auto"/>
            <w:shd w:val="clear" w:color="auto" w:fill="CCEEFF"/>
            <w:tcMar>
              <w:top w:w="30" w:type="dxa"/>
              <w:left w:w="0" w:type="dxa"/>
              <w:bottom w:w="30" w:type="dxa"/>
              <w:right w:w="20" w:type="dxa"/>
            </w:tcMar>
            <w:vAlign w:val="bottom"/>
            <w:hideMark/>
          </w:tcPr>
          <w:p w14:paraId="765F51A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C338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E0D2C6"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3902D9E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D98C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8AF6CA" w14:textId="77777777" w:rsidR="00000000" w:rsidRDefault="00C01C43">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20.0)</w:t>
            </w:r>
          </w:p>
        </w:tc>
        <w:tc>
          <w:tcPr>
            <w:tcW w:w="0" w:type="auto"/>
            <w:shd w:val="clear" w:color="auto" w:fill="CCEEFF"/>
            <w:tcMar>
              <w:top w:w="30" w:type="dxa"/>
              <w:left w:w="0" w:type="dxa"/>
              <w:bottom w:w="30" w:type="dxa"/>
              <w:right w:w="20" w:type="dxa"/>
            </w:tcMar>
            <w:vAlign w:val="bottom"/>
            <w:hideMark/>
          </w:tcPr>
          <w:p w14:paraId="5E2A7DD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9C45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5E42C1"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5B33B75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D342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97D607"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36FA940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E717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23CBA8" w14:textId="77777777" w:rsidR="00000000" w:rsidRDefault="00C01C43">
            <w:pPr>
              <w:jc w:val="right"/>
              <w:rPr>
                <w:rFonts w:eastAsia="Times New Roman"/>
              </w:rPr>
            </w:pPr>
            <w:r>
              <w:rPr>
                <w:rFonts w:ascii="Arial" w:eastAsia="Times New Roman" w:hAnsi="Arial" w:cs="Arial"/>
                <w:color w:val="000000"/>
                <w:sz w:val="15"/>
                <w:szCs w:val="15"/>
              </w:rPr>
              <w:t>(20.0)</w:t>
            </w:r>
          </w:p>
        </w:tc>
        <w:tc>
          <w:tcPr>
            <w:tcW w:w="0" w:type="auto"/>
            <w:shd w:val="clear" w:color="auto" w:fill="CCEEFF"/>
            <w:tcMar>
              <w:top w:w="30" w:type="dxa"/>
              <w:left w:w="0" w:type="dxa"/>
              <w:bottom w:w="30" w:type="dxa"/>
              <w:right w:w="20" w:type="dxa"/>
            </w:tcMar>
            <w:vAlign w:val="bottom"/>
            <w:hideMark/>
          </w:tcPr>
          <w:p w14:paraId="7F48B54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08A4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A52234"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5F1DF40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7101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A17655" w14:textId="77777777" w:rsidR="00000000" w:rsidRDefault="00C01C43">
            <w:pPr>
              <w:jc w:val="right"/>
              <w:rPr>
                <w:rFonts w:eastAsia="Times New Roman"/>
              </w:rPr>
            </w:pPr>
            <w:r>
              <w:rPr>
                <w:rFonts w:ascii="Arial" w:eastAsia="Times New Roman" w:hAnsi="Arial" w:cs="Arial"/>
                <w:color w:val="000000"/>
                <w:sz w:val="15"/>
                <w:szCs w:val="15"/>
              </w:rPr>
              <w:t>(20.0)</w:t>
            </w:r>
          </w:p>
        </w:tc>
        <w:tc>
          <w:tcPr>
            <w:tcW w:w="0" w:type="auto"/>
            <w:shd w:val="clear" w:color="auto" w:fill="CCEEFF"/>
            <w:tcMar>
              <w:top w:w="30" w:type="dxa"/>
              <w:left w:w="0" w:type="dxa"/>
              <w:bottom w:w="30" w:type="dxa"/>
              <w:right w:w="20" w:type="dxa"/>
            </w:tcMar>
            <w:vAlign w:val="bottom"/>
            <w:hideMark/>
          </w:tcPr>
          <w:p w14:paraId="01458043" w14:textId="77777777" w:rsidR="00000000" w:rsidRDefault="00C01C43">
            <w:pPr>
              <w:jc w:val="right"/>
              <w:rPr>
                <w:rFonts w:eastAsia="Times New Roman"/>
              </w:rPr>
            </w:pPr>
          </w:p>
        </w:tc>
      </w:tr>
      <w:tr w:rsidR="00000000" w14:paraId="3F13C62E" w14:textId="77777777">
        <w:trPr>
          <w:divId w:val="2080210473"/>
        </w:trPr>
        <w:tc>
          <w:tcPr>
            <w:tcW w:w="0" w:type="auto"/>
            <w:gridSpan w:val="3"/>
            <w:shd w:val="clear" w:color="auto" w:fill="FFFFFF"/>
            <w:tcMar>
              <w:top w:w="30" w:type="dxa"/>
              <w:left w:w="20" w:type="dxa"/>
              <w:bottom w:w="30" w:type="dxa"/>
              <w:right w:w="20" w:type="dxa"/>
            </w:tcMar>
            <w:vAlign w:val="bottom"/>
            <w:hideMark/>
          </w:tcPr>
          <w:p w14:paraId="202CBC82" w14:textId="77777777" w:rsidR="00000000" w:rsidRDefault="00C01C43">
            <w:pPr>
              <w:rPr>
                <w:rFonts w:eastAsia="Times New Roman"/>
              </w:rPr>
            </w:pPr>
            <w:r>
              <w:rPr>
                <w:rFonts w:ascii="Arial" w:eastAsia="Times New Roman" w:hAnsi="Arial" w:cs="Arial"/>
                <w:color w:val="000000"/>
                <w:sz w:val="15"/>
                <w:szCs w:val="15"/>
              </w:rPr>
              <w:t>Other comprehensive income (loss)</w:t>
            </w:r>
          </w:p>
        </w:tc>
        <w:tc>
          <w:tcPr>
            <w:tcW w:w="0" w:type="auto"/>
            <w:gridSpan w:val="2"/>
            <w:shd w:val="clear" w:color="auto" w:fill="FFFFFF"/>
            <w:tcMar>
              <w:top w:w="30" w:type="dxa"/>
              <w:left w:w="20" w:type="dxa"/>
              <w:bottom w:w="30" w:type="dxa"/>
              <w:right w:w="0" w:type="dxa"/>
            </w:tcMar>
            <w:vAlign w:val="bottom"/>
            <w:hideMark/>
          </w:tcPr>
          <w:p w14:paraId="6F488DE2"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D77FBF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09AC5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2634C5"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31C319E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C5461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1F259B"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28F2787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39A5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45994F"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7B17361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836B7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BDD2C1" w14:textId="77777777" w:rsidR="00000000" w:rsidRDefault="00C01C43">
            <w:pPr>
              <w:jc w:val="right"/>
              <w:rPr>
                <w:rFonts w:eastAsia="Times New Roman"/>
              </w:rPr>
            </w:pPr>
            <w:r>
              <w:rPr>
                <w:rFonts w:ascii="Arial" w:eastAsia="Times New Roman" w:hAnsi="Arial" w:cs="Arial"/>
                <w:color w:val="000000"/>
                <w:sz w:val="15"/>
                <w:szCs w:val="15"/>
              </w:rPr>
              <w:t>(5.2)</w:t>
            </w:r>
          </w:p>
        </w:tc>
        <w:tc>
          <w:tcPr>
            <w:tcW w:w="0" w:type="auto"/>
            <w:shd w:val="clear" w:color="auto" w:fill="FFFFFF"/>
            <w:tcMar>
              <w:top w:w="30" w:type="dxa"/>
              <w:left w:w="0" w:type="dxa"/>
              <w:bottom w:w="30" w:type="dxa"/>
              <w:right w:w="20" w:type="dxa"/>
            </w:tcMar>
            <w:vAlign w:val="bottom"/>
            <w:hideMark/>
          </w:tcPr>
          <w:p w14:paraId="0D4ADD8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214C5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7AE289" w14:textId="77777777" w:rsidR="00000000" w:rsidRDefault="00C01C43">
            <w:pPr>
              <w:jc w:val="right"/>
              <w:rPr>
                <w:rFonts w:eastAsia="Times New Roman"/>
              </w:rPr>
            </w:pPr>
            <w:r>
              <w:rPr>
                <w:rFonts w:ascii="Arial" w:eastAsia="Times New Roman" w:hAnsi="Arial" w:cs="Arial"/>
                <w:color w:val="000000"/>
                <w:sz w:val="15"/>
                <w:szCs w:val="15"/>
              </w:rPr>
              <w:t>(5.2)</w:t>
            </w:r>
          </w:p>
        </w:tc>
        <w:tc>
          <w:tcPr>
            <w:tcW w:w="0" w:type="auto"/>
            <w:shd w:val="clear" w:color="auto" w:fill="FFFFFF"/>
            <w:tcMar>
              <w:top w:w="30" w:type="dxa"/>
              <w:left w:w="0" w:type="dxa"/>
              <w:bottom w:w="30" w:type="dxa"/>
              <w:right w:w="20" w:type="dxa"/>
            </w:tcMar>
            <w:vAlign w:val="bottom"/>
            <w:hideMark/>
          </w:tcPr>
          <w:p w14:paraId="29518F0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9CFE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D96CCA" w14:textId="77777777" w:rsidR="00000000" w:rsidRDefault="00C01C43">
            <w:pPr>
              <w:jc w:val="right"/>
              <w:rPr>
                <w:rFonts w:eastAsia="Times New Roman"/>
              </w:rPr>
            </w:pPr>
            <w:r>
              <w:rPr>
                <w:rFonts w:ascii="Arial" w:eastAsia="Times New Roman" w:hAnsi="Arial" w:cs="Arial"/>
                <w:color w:val="000000"/>
                <w:sz w:val="15"/>
                <w:szCs w:val="15"/>
              </w:rPr>
              <w:t>(1.2)</w:t>
            </w:r>
          </w:p>
        </w:tc>
        <w:tc>
          <w:tcPr>
            <w:tcW w:w="0" w:type="auto"/>
            <w:shd w:val="clear" w:color="auto" w:fill="FFFFFF"/>
            <w:tcMar>
              <w:top w:w="30" w:type="dxa"/>
              <w:left w:w="0" w:type="dxa"/>
              <w:bottom w:w="30" w:type="dxa"/>
              <w:right w:w="20" w:type="dxa"/>
            </w:tcMar>
            <w:vAlign w:val="bottom"/>
            <w:hideMark/>
          </w:tcPr>
          <w:p w14:paraId="3C2F711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12C5B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36E993" w14:textId="77777777" w:rsidR="00000000" w:rsidRDefault="00C01C43">
            <w:pPr>
              <w:jc w:val="right"/>
              <w:rPr>
                <w:rFonts w:eastAsia="Times New Roman"/>
              </w:rPr>
            </w:pPr>
            <w:r>
              <w:rPr>
                <w:rFonts w:ascii="Arial" w:eastAsia="Times New Roman" w:hAnsi="Arial" w:cs="Arial"/>
                <w:color w:val="000000"/>
                <w:sz w:val="15"/>
                <w:szCs w:val="15"/>
              </w:rPr>
              <w:t>(6.3)</w:t>
            </w:r>
          </w:p>
        </w:tc>
        <w:tc>
          <w:tcPr>
            <w:tcW w:w="0" w:type="auto"/>
            <w:shd w:val="clear" w:color="auto" w:fill="FFFFFF"/>
            <w:tcMar>
              <w:top w:w="30" w:type="dxa"/>
              <w:left w:w="0" w:type="dxa"/>
              <w:bottom w:w="30" w:type="dxa"/>
              <w:right w:w="20" w:type="dxa"/>
            </w:tcMar>
            <w:vAlign w:val="bottom"/>
            <w:hideMark/>
          </w:tcPr>
          <w:p w14:paraId="0FAB70D1" w14:textId="77777777" w:rsidR="00000000" w:rsidRDefault="00C01C43">
            <w:pPr>
              <w:jc w:val="right"/>
              <w:rPr>
                <w:rFonts w:eastAsia="Times New Roman"/>
              </w:rPr>
            </w:pPr>
          </w:p>
        </w:tc>
      </w:tr>
      <w:tr w:rsidR="00000000" w14:paraId="5DE027AD" w14:textId="77777777">
        <w:trPr>
          <w:divId w:val="2080210473"/>
        </w:trPr>
        <w:tc>
          <w:tcPr>
            <w:tcW w:w="0" w:type="auto"/>
            <w:gridSpan w:val="3"/>
            <w:shd w:val="clear" w:color="auto" w:fill="CCEEFF"/>
            <w:tcMar>
              <w:top w:w="30" w:type="dxa"/>
              <w:left w:w="20" w:type="dxa"/>
              <w:bottom w:w="30" w:type="dxa"/>
              <w:right w:w="20" w:type="dxa"/>
            </w:tcMar>
            <w:vAlign w:val="bottom"/>
            <w:hideMark/>
          </w:tcPr>
          <w:p w14:paraId="74A6B721" w14:textId="77777777" w:rsidR="00000000" w:rsidRDefault="00C01C43">
            <w:pPr>
              <w:rPr>
                <w:rFonts w:eastAsia="Times New Roman"/>
              </w:rPr>
            </w:pPr>
            <w:r>
              <w:rPr>
                <w:rFonts w:ascii="Arial" w:eastAsia="Times New Roman" w:hAnsi="Arial" w:cs="Arial"/>
                <w:color w:val="000000"/>
                <w:sz w:val="15"/>
                <w:szCs w:val="15"/>
              </w:rPr>
              <w:t>Reclassification of certain tax effects from US Tax Reform</w:t>
            </w:r>
          </w:p>
        </w:tc>
        <w:tc>
          <w:tcPr>
            <w:tcW w:w="0" w:type="auto"/>
            <w:gridSpan w:val="2"/>
            <w:shd w:val="clear" w:color="auto" w:fill="CCEEFF"/>
            <w:tcMar>
              <w:top w:w="30" w:type="dxa"/>
              <w:left w:w="20" w:type="dxa"/>
              <w:bottom w:w="30" w:type="dxa"/>
              <w:right w:w="0" w:type="dxa"/>
            </w:tcMar>
            <w:vAlign w:val="bottom"/>
            <w:hideMark/>
          </w:tcPr>
          <w:p w14:paraId="3ACC749C"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50A255D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C3284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EC7D6A"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4E9414B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B75B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0FC106" w14:textId="77777777" w:rsidR="00000000" w:rsidRDefault="00C01C43">
            <w:pPr>
              <w:jc w:val="right"/>
              <w:rPr>
                <w:rFonts w:eastAsia="Times New Roman"/>
              </w:rPr>
            </w:pPr>
            <w:r>
              <w:rPr>
                <w:rFonts w:ascii="Arial" w:eastAsia="Times New Roman" w:hAnsi="Arial" w:cs="Arial"/>
                <w:color w:val="000000"/>
                <w:sz w:val="15"/>
                <w:szCs w:val="15"/>
              </w:rPr>
              <w:t>(0.2)</w:t>
            </w:r>
          </w:p>
        </w:tc>
        <w:tc>
          <w:tcPr>
            <w:tcW w:w="0" w:type="auto"/>
            <w:shd w:val="clear" w:color="auto" w:fill="CCEEFF"/>
            <w:tcMar>
              <w:top w:w="30" w:type="dxa"/>
              <w:left w:w="0" w:type="dxa"/>
              <w:bottom w:w="30" w:type="dxa"/>
              <w:right w:w="20" w:type="dxa"/>
            </w:tcMar>
            <w:vAlign w:val="bottom"/>
            <w:hideMark/>
          </w:tcPr>
          <w:p w14:paraId="346CF15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2D77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BFDF2C" w14:textId="77777777" w:rsidR="00000000" w:rsidRDefault="00C01C43">
            <w:pPr>
              <w:jc w:val="right"/>
              <w:rPr>
                <w:rFonts w:eastAsia="Times New Roman"/>
              </w:rPr>
            </w:pPr>
            <w:r>
              <w:rPr>
                <w:rFonts w:ascii="Arial" w:eastAsia="Times New Roman" w:hAnsi="Arial" w:cs="Arial"/>
                <w:color w:val="000000"/>
                <w:sz w:val="15"/>
                <w:szCs w:val="15"/>
              </w:rPr>
              <w:t>1.6 </w:t>
            </w:r>
          </w:p>
        </w:tc>
        <w:tc>
          <w:tcPr>
            <w:tcW w:w="0" w:type="auto"/>
            <w:shd w:val="clear" w:color="auto" w:fill="CCEEFF"/>
            <w:tcMar>
              <w:top w:w="30" w:type="dxa"/>
              <w:left w:w="0" w:type="dxa"/>
              <w:bottom w:w="30" w:type="dxa"/>
              <w:right w:w="20" w:type="dxa"/>
            </w:tcMar>
            <w:vAlign w:val="bottom"/>
            <w:hideMark/>
          </w:tcPr>
          <w:p w14:paraId="4DE15BA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5BFC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1B1247"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5899179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2AE7F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23FC7" w14:textId="77777777" w:rsidR="00000000" w:rsidRDefault="00C01C43">
            <w:pPr>
              <w:jc w:val="right"/>
              <w:rPr>
                <w:rFonts w:eastAsia="Times New Roman"/>
              </w:rPr>
            </w:pPr>
            <w:r>
              <w:rPr>
                <w:rFonts w:ascii="Arial" w:eastAsia="Times New Roman" w:hAnsi="Arial" w:cs="Arial"/>
                <w:color w:val="000000"/>
                <w:sz w:val="15"/>
                <w:szCs w:val="15"/>
              </w:rPr>
              <w:t>1.4 </w:t>
            </w:r>
          </w:p>
        </w:tc>
        <w:tc>
          <w:tcPr>
            <w:tcW w:w="0" w:type="auto"/>
            <w:shd w:val="clear" w:color="auto" w:fill="CCEEFF"/>
            <w:tcMar>
              <w:top w:w="30" w:type="dxa"/>
              <w:left w:w="0" w:type="dxa"/>
              <w:bottom w:w="30" w:type="dxa"/>
              <w:right w:w="20" w:type="dxa"/>
            </w:tcMar>
            <w:vAlign w:val="bottom"/>
            <w:hideMark/>
          </w:tcPr>
          <w:p w14:paraId="4025ACF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68E9A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D788EC"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0EACB1D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300AE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1F32C8" w14:textId="77777777" w:rsidR="00000000" w:rsidRDefault="00C01C43">
            <w:pPr>
              <w:jc w:val="right"/>
              <w:rPr>
                <w:rFonts w:eastAsia="Times New Roman"/>
              </w:rPr>
            </w:pPr>
            <w:r>
              <w:rPr>
                <w:rFonts w:ascii="Arial" w:eastAsia="Times New Roman" w:hAnsi="Arial" w:cs="Arial"/>
                <w:color w:val="000000"/>
                <w:sz w:val="15"/>
                <w:szCs w:val="15"/>
              </w:rPr>
              <w:t>1.4 </w:t>
            </w:r>
          </w:p>
        </w:tc>
        <w:tc>
          <w:tcPr>
            <w:tcW w:w="0" w:type="auto"/>
            <w:shd w:val="clear" w:color="auto" w:fill="CCEEFF"/>
            <w:tcMar>
              <w:top w:w="30" w:type="dxa"/>
              <w:left w:w="0" w:type="dxa"/>
              <w:bottom w:w="30" w:type="dxa"/>
              <w:right w:w="20" w:type="dxa"/>
            </w:tcMar>
            <w:vAlign w:val="bottom"/>
            <w:hideMark/>
          </w:tcPr>
          <w:p w14:paraId="3FEC0DF4" w14:textId="77777777" w:rsidR="00000000" w:rsidRDefault="00C01C43">
            <w:pPr>
              <w:jc w:val="right"/>
              <w:rPr>
                <w:rFonts w:eastAsia="Times New Roman"/>
              </w:rPr>
            </w:pPr>
          </w:p>
        </w:tc>
      </w:tr>
      <w:tr w:rsidR="00000000" w14:paraId="23944FA0" w14:textId="77777777">
        <w:trPr>
          <w:divId w:val="208021047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B5EF01C" w14:textId="77777777" w:rsidR="00000000" w:rsidRDefault="00C01C43">
            <w:pPr>
              <w:rPr>
                <w:rFonts w:eastAsia="Times New Roman"/>
              </w:rPr>
            </w:pPr>
            <w:r>
              <w:rPr>
                <w:rFonts w:ascii="Arial" w:eastAsia="Times New Roman" w:hAnsi="Arial" w:cs="Arial"/>
                <w:color w:val="000000"/>
                <w:sz w:val="15"/>
                <w:szCs w:val="15"/>
              </w:rPr>
              <w:t>Balance as of December 31, 2018</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2E6154" w14:textId="77777777" w:rsidR="00000000" w:rsidRDefault="00C01C43">
            <w:pPr>
              <w:jc w:val="right"/>
              <w:rPr>
                <w:rFonts w:eastAsia="Times New Roman"/>
              </w:rPr>
            </w:pPr>
            <w:r>
              <w:rPr>
                <w:rFonts w:ascii="Arial" w:eastAsia="Times New Roman" w:hAnsi="Arial" w:cs="Arial"/>
                <w:color w:val="000000"/>
                <w:sz w:val="15"/>
                <w:szCs w:val="15"/>
              </w:rPr>
              <w:t>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589070"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A9BFA7"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2A2E87" w14:textId="77777777" w:rsidR="00000000" w:rsidRDefault="00C01C43">
            <w:pPr>
              <w:jc w:val="right"/>
              <w:rPr>
                <w:rFonts w:eastAsia="Times New Roman"/>
              </w:rPr>
            </w:pPr>
            <w:r>
              <w:rPr>
                <w:rFonts w:ascii="Arial" w:eastAsia="Times New Roman" w:hAnsi="Arial" w:cs="Arial"/>
                <w:color w:val="000000"/>
                <w:sz w:val="15"/>
                <w:szCs w:val="15"/>
              </w:rPr>
              <w:t>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47DF1D"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E472EEF"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E040AC" w14:textId="77777777" w:rsidR="00000000" w:rsidRDefault="00C01C43">
            <w:pPr>
              <w:jc w:val="right"/>
              <w:rPr>
                <w:rFonts w:eastAsia="Times New Roman"/>
              </w:rPr>
            </w:pPr>
            <w:r>
              <w:rPr>
                <w:rFonts w:ascii="Arial" w:eastAsia="Times New Roman" w:hAnsi="Arial" w:cs="Arial"/>
                <w:color w:val="000000"/>
                <w:sz w:val="15"/>
                <w:szCs w:val="15"/>
              </w:rPr>
              <w:t>340.4 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1DC2A7"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C15509"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E82857" w14:textId="77777777" w:rsidR="00000000" w:rsidRDefault="00C01C43">
            <w:pPr>
              <w:jc w:val="right"/>
              <w:rPr>
                <w:rFonts w:eastAsia="Times New Roman"/>
              </w:rPr>
            </w:pPr>
            <w:r>
              <w:rPr>
                <w:rFonts w:ascii="Arial" w:eastAsia="Times New Roman" w:hAnsi="Arial" w:cs="Arial"/>
                <w:color w:val="000000"/>
                <w:sz w:val="15"/>
                <w:szCs w:val="15"/>
              </w:rPr>
              <w:t>1,606.1 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606501"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E0F9135"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4280CA" w14:textId="77777777" w:rsidR="00000000" w:rsidRDefault="00C01C43">
            <w:pPr>
              <w:jc w:val="right"/>
              <w:rPr>
                <w:rFonts w:eastAsia="Times New Roman"/>
              </w:rPr>
            </w:pPr>
            <w:r>
              <w:rPr>
                <w:rFonts w:ascii="Arial" w:eastAsia="Times New Roman" w:hAnsi="Arial" w:cs="Arial"/>
                <w:color w:val="000000"/>
                <w:sz w:val="15"/>
                <w:szCs w:val="15"/>
              </w:rPr>
              <w:t>(131.7)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537364"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7E8B08"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A8AB97" w14:textId="77777777" w:rsidR="00000000" w:rsidRDefault="00C01C43">
            <w:pPr>
              <w:jc w:val="right"/>
              <w:rPr>
                <w:rFonts w:eastAsia="Times New Roman"/>
              </w:rPr>
            </w:pPr>
            <w:r>
              <w:rPr>
                <w:rFonts w:ascii="Arial" w:eastAsia="Times New Roman" w:hAnsi="Arial" w:cs="Arial"/>
                <w:color w:val="000000"/>
                <w:sz w:val="15"/>
                <w:szCs w:val="15"/>
              </w:rPr>
              <w:t>1,815.4 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CB9918"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FBD145F"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C35482" w14:textId="77777777" w:rsidR="00000000" w:rsidRDefault="00C01C43">
            <w:pPr>
              <w:jc w:val="right"/>
              <w:rPr>
                <w:rFonts w:eastAsia="Times New Roman"/>
              </w:rPr>
            </w:pPr>
            <w:r>
              <w:rPr>
                <w:rFonts w:ascii="Arial" w:eastAsia="Times New Roman" w:hAnsi="Arial" w:cs="Arial"/>
                <w:color w:val="000000"/>
                <w:sz w:val="15"/>
                <w:szCs w:val="15"/>
              </w:rPr>
              <w:t>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8DCA75"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9CAC11"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81DF8B" w14:textId="77777777" w:rsidR="00000000" w:rsidRDefault="00C01C43">
            <w:pPr>
              <w:jc w:val="right"/>
              <w:rPr>
                <w:rFonts w:eastAsia="Times New Roman"/>
              </w:rPr>
            </w:pPr>
            <w:r>
              <w:rPr>
                <w:rFonts w:ascii="Arial" w:eastAsia="Times New Roman" w:hAnsi="Arial" w:cs="Arial"/>
                <w:color w:val="000000"/>
                <w:sz w:val="15"/>
                <w:szCs w:val="15"/>
              </w:rPr>
              <w:t>1,831.6 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69A964" w14:textId="77777777" w:rsidR="00000000" w:rsidRDefault="00C01C43">
            <w:pPr>
              <w:jc w:val="right"/>
              <w:rPr>
                <w:rFonts w:eastAsia="Times New Roman"/>
              </w:rPr>
            </w:pPr>
          </w:p>
        </w:tc>
      </w:tr>
      <w:tr w:rsidR="00000000" w14:paraId="0B22FD35" w14:textId="77777777">
        <w:trPr>
          <w:divId w:val="2080210473"/>
        </w:trPr>
        <w:tc>
          <w:tcPr>
            <w:tcW w:w="0" w:type="auto"/>
            <w:gridSpan w:val="3"/>
            <w:shd w:val="clear" w:color="auto" w:fill="CCEEFF"/>
            <w:tcMar>
              <w:top w:w="30" w:type="dxa"/>
              <w:left w:w="20" w:type="dxa"/>
              <w:bottom w:w="30" w:type="dxa"/>
              <w:right w:w="20" w:type="dxa"/>
            </w:tcMar>
            <w:vAlign w:val="bottom"/>
            <w:hideMark/>
          </w:tcPr>
          <w:p w14:paraId="0BBF6EFE" w14:textId="77777777" w:rsidR="00000000" w:rsidRDefault="00C01C43">
            <w:pPr>
              <w:rPr>
                <w:rFonts w:eastAsia="Times New Roman"/>
              </w:rPr>
            </w:pPr>
            <w:r>
              <w:rPr>
                <w:rFonts w:ascii="Arial" w:eastAsia="Times New Roman" w:hAnsi="Arial" w:cs="Arial"/>
                <w:color w:val="000000"/>
                <w:sz w:val="15"/>
                <w:szCs w:val="15"/>
              </w:rPr>
              <w:t>Net income</w:t>
            </w:r>
          </w:p>
        </w:tc>
        <w:tc>
          <w:tcPr>
            <w:tcW w:w="0" w:type="auto"/>
            <w:gridSpan w:val="2"/>
            <w:shd w:val="clear" w:color="auto" w:fill="CCEEFF"/>
            <w:tcMar>
              <w:top w:w="30" w:type="dxa"/>
              <w:left w:w="20" w:type="dxa"/>
              <w:bottom w:w="30" w:type="dxa"/>
              <w:right w:w="0" w:type="dxa"/>
            </w:tcMar>
            <w:vAlign w:val="bottom"/>
            <w:hideMark/>
          </w:tcPr>
          <w:p w14:paraId="4A11ACC9"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231E82C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C958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51A947"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57D7A99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2B4F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345FAA"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4E46B5A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2B62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03001D" w14:textId="77777777" w:rsidR="00000000" w:rsidRDefault="00C01C43">
            <w:pPr>
              <w:jc w:val="right"/>
              <w:rPr>
                <w:rFonts w:eastAsia="Times New Roman"/>
              </w:rPr>
            </w:pPr>
            <w:r>
              <w:rPr>
                <w:rFonts w:ascii="Arial" w:eastAsia="Times New Roman" w:hAnsi="Arial" w:cs="Arial"/>
                <w:color w:val="000000"/>
                <w:sz w:val="15"/>
                <w:szCs w:val="15"/>
              </w:rPr>
              <w:t>178.9 </w:t>
            </w:r>
          </w:p>
        </w:tc>
        <w:tc>
          <w:tcPr>
            <w:tcW w:w="0" w:type="auto"/>
            <w:shd w:val="clear" w:color="auto" w:fill="CCEEFF"/>
            <w:tcMar>
              <w:top w:w="30" w:type="dxa"/>
              <w:left w:w="0" w:type="dxa"/>
              <w:bottom w:w="30" w:type="dxa"/>
              <w:right w:w="20" w:type="dxa"/>
            </w:tcMar>
            <w:vAlign w:val="bottom"/>
            <w:hideMark/>
          </w:tcPr>
          <w:p w14:paraId="16281B6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AEE64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C3FDD1"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3CED093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87C8C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2EDB9B" w14:textId="77777777" w:rsidR="00000000" w:rsidRDefault="00C01C43">
            <w:pPr>
              <w:jc w:val="right"/>
              <w:rPr>
                <w:rFonts w:eastAsia="Times New Roman"/>
              </w:rPr>
            </w:pPr>
            <w:r>
              <w:rPr>
                <w:rFonts w:ascii="Arial" w:eastAsia="Times New Roman" w:hAnsi="Arial" w:cs="Arial"/>
                <w:color w:val="000000"/>
                <w:sz w:val="15"/>
                <w:szCs w:val="15"/>
              </w:rPr>
              <w:t>178.9 </w:t>
            </w:r>
          </w:p>
        </w:tc>
        <w:tc>
          <w:tcPr>
            <w:tcW w:w="0" w:type="auto"/>
            <w:shd w:val="clear" w:color="auto" w:fill="CCEEFF"/>
            <w:tcMar>
              <w:top w:w="30" w:type="dxa"/>
              <w:left w:w="0" w:type="dxa"/>
              <w:bottom w:w="30" w:type="dxa"/>
              <w:right w:w="20" w:type="dxa"/>
            </w:tcMar>
            <w:vAlign w:val="bottom"/>
            <w:hideMark/>
          </w:tcPr>
          <w:p w14:paraId="10AB844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FE6FC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1248C2" w14:textId="77777777" w:rsidR="00000000" w:rsidRDefault="00C01C43">
            <w:pPr>
              <w:jc w:val="right"/>
              <w:rPr>
                <w:rFonts w:eastAsia="Times New Roman"/>
              </w:rPr>
            </w:pPr>
            <w:r>
              <w:rPr>
                <w:rFonts w:ascii="Arial" w:eastAsia="Times New Roman" w:hAnsi="Arial" w:cs="Arial"/>
                <w:color w:val="000000"/>
                <w:sz w:val="15"/>
                <w:szCs w:val="15"/>
              </w:rPr>
              <w:t>2.2 </w:t>
            </w:r>
          </w:p>
        </w:tc>
        <w:tc>
          <w:tcPr>
            <w:tcW w:w="0" w:type="auto"/>
            <w:shd w:val="clear" w:color="auto" w:fill="CCEEFF"/>
            <w:tcMar>
              <w:top w:w="30" w:type="dxa"/>
              <w:left w:w="0" w:type="dxa"/>
              <w:bottom w:w="30" w:type="dxa"/>
              <w:right w:w="20" w:type="dxa"/>
            </w:tcMar>
            <w:vAlign w:val="bottom"/>
            <w:hideMark/>
          </w:tcPr>
          <w:p w14:paraId="327E07C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E2EB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5239BB" w14:textId="77777777" w:rsidR="00000000" w:rsidRDefault="00C01C43">
            <w:pPr>
              <w:jc w:val="right"/>
              <w:rPr>
                <w:rFonts w:eastAsia="Times New Roman"/>
              </w:rPr>
            </w:pPr>
            <w:r>
              <w:rPr>
                <w:rFonts w:ascii="Arial" w:eastAsia="Times New Roman" w:hAnsi="Arial" w:cs="Arial"/>
                <w:color w:val="000000"/>
                <w:sz w:val="15"/>
                <w:szCs w:val="15"/>
              </w:rPr>
              <w:t>181.1 </w:t>
            </w:r>
          </w:p>
        </w:tc>
        <w:tc>
          <w:tcPr>
            <w:tcW w:w="0" w:type="auto"/>
            <w:shd w:val="clear" w:color="auto" w:fill="CCEEFF"/>
            <w:tcMar>
              <w:top w:w="30" w:type="dxa"/>
              <w:left w:w="0" w:type="dxa"/>
              <w:bottom w:w="30" w:type="dxa"/>
              <w:right w:w="20" w:type="dxa"/>
            </w:tcMar>
            <w:vAlign w:val="bottom"/>
            <w:hideMark/>
          </w:tcPr>
          <w:p w14:paraId="367D9752" w14:textId="77777777" w:rsidR="00000000" w:rsidRDefault="00C01C43">
            <w:pPr>
              <w:jc w:val="right"/>
              <w:rPr>
                <w:rFonts w:eastAsia="Times New Roman"/>
              </w:rPr>
            </w:pPr>
          </w:p>
        </w:tc>
      </w:tr>
      <w:tr w:rsidR="00000000" w14:paraId="4F58A7CD" w14:textId="77777777">
        <w:trPr>
          <w:divId w:val="2080210473"/>
        </w:trPr>
        <w:tc>
          <w:tcPr>
            <w:tcW w:w="0" w:type="auto"/>
            <w:gridSpan w:val="3"/>
            <w:shd w:val="clear" w:color="auto" w:fill="FFFFFF"/>
            <w:tcMar>
              <w:top w:w="30" w:type="dxa"/>
              <w:left w:w="20" w:type="dxa"/>
              <w:bottom w:w="30" w:type="dxa"/>
              <w:right w:w="20" w:type="dxa"/>
            </w:tcMar>
            <w:vAlign w:val="bottom"/>
            <w:hideMark/>
          </w:tcPr>
          <w:p w14:paraId="58589A9E" w14:textId="77777777" w:rsidR="00000000" w:rsidRDefault="00C01C43">
            <w:pPr>
              <w:rPr>
                <w:rFonts w:eastAsia="Times New Roman"/>
              </w:rPr>
            </w:pPr>
            <w:r>
              <w:rPr>
                <w:rFonts w:ascii="Arial" w:eastAsia="Times New Roman" w:hAnsi="Arial" w:cs="Arial"/>
                <w:color w:val="000000"/>
                <w:sz w:val="15"/>
                <w:szCs w:val="15"/>
              </w:rPr>
              <w:t>Cash dividends declared</w:t>
            </w:r>
          </w:p>
        </w:tc>
        <w:tc>
          <w:tcPr>
            <w:tcW w:w="0" w:type="auto"/>
            <w:gridSpan w:val="2"/>
            <w:shd w:val="clear" w:color="auto" w:fill="FFFFFF"/>
            <w:tcMar>
              <w:top w:w="30" w:type="dxa"/>
              <w:left w:w="20" w:type="dxa"/>
              <w:bottom w:w="30" w:type="dxa"/>
              <w:right w:w="0" w:type="dxa"/>
            </w:tcMar>
            <w:vAlign w:val="bottom"/>
            <w:hideMark/>
          </w:tcPr>
          <w:p w14:paraId="5A307A5C"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10D308E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08FB2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96F4D5"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243B730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B8EA3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FE7143"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5B4BE80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11932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476954" w14:textId="77777777" w:rsidR="00000000" w:rsidRDefault="00C01C43">
            <w:pPr>
              <w:jc w:val="right"/>
              <w:rPr>
                <w:rFonts w:eastAsia="Times New Roman"/>
              </w:rPr>
            </w:pPr>
            <w:r>
              <w:rPr>
                <w:rFonts w:ascii="Arial" w:eastAsia="Times New Roman" w:hAnsi="Arial" w:cs="Arial"/>
                <w:color w:val="000000"/>
                <w:sz w:val="15"/>
                <w:szCs w:val="15"/>
              </w:rPr>
              <w:t>(23.6)</w:t>
            </w:r>
          </w:p>
        </w:tc>
        <w:tc>
          <w:tcPr>
            <w:tcW w:w="0" w:type="auto"/>
            <w:shd w:val="clear" w:color="auto" w:fill="FFFFFF"/>
            <w:tcMar>
              <w:top w:w="30" w:type="dxa"/>
              <w:left w:w="0" w:type="dxa"/>
              <w:bottom w:w="30" w:type="dxa"/>
              <w:right w:w="20" w:type="dxa"/>
            </w:tcMar>
            <w:vAlign w:val="bottom"/>
            <w:hideMark/>
          </w:tcPr>
          <w:p w14:paraId="51A0A8C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7143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502201"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173562E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1FBF8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04BF05" w14:textId="77777777" w:rsidR="00000000" w:rsidRDefault="00C01C43">
            <w:pPr>
              <w:jc w:val="right"/>
              <w:rPr>
                <w:rFonts w:eastAsia="Times New Roman"/>
              </w:rPr>
            </w:pPr>
            <w:r>
              <w:rPr>
                <w:rFonts w:ascii="Arial" w:eastAsia="Times New Roman" w:hAnsi="Arial" w:cs="Arial"/>
                <w:color w:val="000000"/>
                <w:sz w:val="15"/>
                <w:szCs w:val="15"/>
              </w:rPr>
              <w:t>(23.6)</w:t>
            </w:r>
          </w:p>
        </w:tc>
        <w:tc>
          <w:tcPr>
            <w:tcW w:w="0" w:type="auto"/>
            <w:shd w:val="clear" w:color="auto" w:fill="FFFFFF"/>
            <w:tcMar>
              <w:top w:w="30" w:type="dxa"/>
              <w:left w:w="0" w:type="dxa"/>
              <w:bottom w:w="30" w:type="dxa"/>
              <w:right w:w="20" w:type="dxa"/>
            </w:tcMar>
            <w:vAlign w:val="bottom"/>
            <w:hideMark/>
          </w:tcPr>
          <w:p w14:paraId="4020F63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9255D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F3622F"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5F0A797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1D21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46C296" w14:textId="77777777" w:rsidR="00000000" w:rsidRDefault="00C01C43">
            <w:pPr>
              <w:jc w:val="right"/>
              <w:rPr>
                <w:rFonts w:eastAsia="Times New Roman"/>
              </w:rPr>
            </w:pPr>
            <w:r>
              <w:rPr>
                <w:rFonts w:ascii="Arial" w:eastAsia="Times New Roman" w:hAnsi="Arial" w:cs="Arial"/>
                <w:color w:val="000000"/>
                <w:sz w:val="15"/>
                <w:szCs w:val="15"/>
              </w:rPr>
              <w:t>(23.6)</w:t>
            </w:r>
          </w:p>
        </w:tc>
        <w:tc>
          <w:tcPr>
            <w:tcW w:w="0" w:type="auto"/>
            <w:shd w:val="clear" w:color="auto" w:fill="FFFFFF"/>
            <w:tcMar>
              <w:top w:w="30" w:type="dxa"/>
              <w:left w:w="0" w:type="dxa"/>
              <w:bottom w:w="30" w:type="dxa"/>
              <w:right w:w="20" w:type="dxa"/>
            </w:tcMar>
            <w:vAlign w:val="bottom"/>
            <w:hideMark/>
          </w:tcPr>
          <w:p w14:paraId="06A3A75F" w14:textId="77777777" w:rsidR="00000000" w:rsidRDefault="00C01C43">
            <w:pPr>
              <w:jc w:val="right"/>
              <w:rPr>
                <w:rFonts w:eastAsia="Times New Roman"/>
              </w:rPr>
            </w:pPr>
          </w:p>
        </w:tc>
      </w:tr>
      <w:tr w:rsidR="00000000" w14:paraId="5D2EC7A8" w14:textId="77777777">
        <w:trPr>
          <w:divId w:val="2080210473"/>
        </w:trPr>
        <w:tc>
          <w:tcPr>
            <w:tcW w:w="0" w:type="auto"/>
            <w:gridSpan w:val="3"/>
            <w:shd w:val="clear" w:color="auto" w:fill="CCEEFF"/>
            <w:tcMar>
              <w:top w:w="30" w:type="dxa"/>
              <w:left w:w="20" w:type="dxa"/>
              <w:bottom w:w="30" w:type="dxa"/>
              <w:right w:w="20" w:type="dxa"/>
            </w:tcMar>
            <w:vAlign w:val="bottom"/>
            <w:hideMark/>
          </w:tcPr>
          <w:p w14:paraId="172A3778" w14:textId="77777777" w:rsidR="00000000" w:rsidRDefault="00C01C43">
            <w:pPr>
              <w:rPr>
                <w:rFonts w:eastAsia="Times New Roman"/>
              </w:rPr>
            </w:pPr>
            <w:r>
              <w:rPr>
                <w:rFonts w:ascii="Arial" w:eastAsia="Times New Roman" w:hAnsi="Arial" w:cs="Arial"/>
                <w:color w:val="000000"/>
                <w:sz w:val="15"/>
                <w:szCs w:val="15"/>
              </w:rPr>
              <w:t>Amortization of share-based payment awards</w:t>
            </w:r>
          </w:p>
        </w:tc>
        <w:tc>
          <w:tcPr>
            <w:tcW w:w="0" w:type="auto"/>
            <w:gridSpan w:val="2"/>
            <w:shd w:val="clear" w:color="auto" w:fill="CCEEFF"/>
            <w:tcMar>
              <w:top w:w="30" w:type="dxa"/>
              <w:left w:w="20" w:type="dxa"/>
              <w:bottom w:w="30" w:type="dxa"/>
              <w:right w:w="0" w:type="dxa"/>
            </w:tcMar>
            <w:vAlign w:val="bottom"/>
            <w:hideMark/>
          </w:tcPr>
          <w:p w14:paraId="499EC1D2"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6A7E7D3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967E5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79EE3A"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41B5155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01790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8C34F7" w14:textId="77777777" w:rsidR="00000000" w:rsidRDefault="00C01C43">
            <w:pPr>
              <w:jc w:val="right"/>
              <w:rPr>
                <w:rFonts w:eastAsia="Times New Roman"/>
              </w:rPr>
            </w:pPr>
            <w:r>
              <w:rPr>
                <w:rFonts w:ascii="Arial" w:eastAsia="Times New Roman" w:hAnsi="Arial" w:cs="Arial"/>
                <w:color w:val="000000"/>
                <w:sz w:val="15"/>
                <w:szCs w:val="15"/>
              </w:rPr>
              <w:t>22.4 </w:t>
            </w:r>
          </w:p>
        </w:tc>
        <w:tc>
          <w:tcPr>
            <w:tcW w:w="0" w:type="auto"/>
            <w:shd w:val="clear" w:color="auto" w:fill="CCEEFF"/>
            <w:tcMar>
              <w:top w:w="30" w:type="dxa"/>
              <w:left w:w="0" w:type="dxa"/>
              <w:bottom w:w="30" w:type="dxa"/>
              <w:right w:w="20" w:type="dxa"/>
            </w:tcMar>
            <w:vAlign w:val="bottom"/>
            <w:hideMark/>
          </w:tcPr>
          <w:p w14:paraId="37D8CF8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D77A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04422C"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0D6B592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88F8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B6FDC3"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13322C3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D7C02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F38784" w14:textId="77777777" w:rsidR="00000000" w:rsidRDefault="00C01C43">
            <w:pPr>
              <w:jc w:val="right"/>
              <w:rPr>
                <w:rFonts w:eastAsia="Times New Roman"/>
              </w:rPr>
            </w:pPr>
            <w:r>
              <w:rPr>
                <w:rFonts w:ascii="Arial" w:eastAsia="Times New Roman" w:hAnsi="Arial" w:cs="Arial"/>
                <w:color w:val="000000"/>
                <w:sz w:val="15"/>
                <w:szCs w:val="15"/>
              </w:rPr>
              <w:t>22.4 </w:t>
            </w:r>
          </w:p>
        </w:tc>
        <w:tc>
          <w:tcPr>
            <w:tcW w:w="0" w:type="auto"/>
            <w:shd w:val="clear" w:color="auto" w:fill="CCEEFF"/>
            <w:tcMar>
              <w:top w:w="30" w:type="dxa"/>
              <w:left w:w="0" w:type="dxa"/>
              <w:bottom w:w="30" w:type="dxa"/>
              <w:right w:w="20" w:type="dxa"/>
            </w:tcMar>
            <w:vAlign w:val="bottom"/>
            <w:hideMark/>
          </w:tcPr>
          <w:p w14:paraId="22A2834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3411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33EFD5"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6684A33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76FB0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8836C5" w14:textId="77777777" w:rsidR="00000000" w:rsidRDefault="00C01C43">
            <w:pPr>
              <w:jc w:val="right"/>
              <w:rPr>
                <w:rFonts w:eastAsia="Times New Roman"/>
              </w:rPr>
            </w:pPr>
            <w:r>
              <w:rPr>
                <w:rFonts w:ascii="Arial" w:eastAsia="Times New Roman" w:hAnsi="Arial" w:cs="Arial"/>
                <w:color w:val="000000"/>
                <w:sz w:val="15"/>
                <w:szCs w:val="15"/>
              </w:rPr>
              <w:t>22.4 </w:t>
            </w:r>
          </w:p>
        </w:tc>
        <w:tc>
          <w:tcPr>
            <w:tcW w:w="0" w:type="auto"/>
            <w:shd w:val="clear" w:color="auto" w:fill="CCEEFF"/>
            <w:tcMar>
              <w:top w:w="30" w:type="dxa"/>
              <w:left w:w="0" w:type="dxa"/>
              <w:bottom w:w="30" w:type="dxa"/>
              <w:right w:w="20" w:type="dxa"/>
            </w:tcMar>
            <w:vAlign w:val="bottom"/>
            <w:hideMark/>
          </w:tcPr>
          <w:p w14:paraId="68AA0280" w14:textId="77777777" w:rsidR="00000000" w:rsidRDefault="00C01C43">
            <w:pPr>
              <w:jc w:val="right"/>
              <w:rPr>
                <w:rFonts w:eastAsia="Times New Roman"/>
              </w:rPr>
            </w:pPr>
          </w:p>
        </w:tc>
      </w:tr>
      <w:tr w:rsidR="00000000" w14:paraId="56AE0425" w14:textId="77777777">
        <w:trPr>
          <w:divId w:val="2080210473"/>
        </w:trPr>
        <w:tc>
          <w:tcPr>
            <w:tcW w:w="0" w:type="auto"/>
            <w:gridSpan w:val="3"/>
            <w:shd w:val="clear" w:color="auto" w:fill="FFFFFF"/>
            <w:tcMar>
              <w:top w:w="30" w:type="dxa"/>
              <w:left w:w="20" w:type="dxa"/>
              <w:bottom w:w="30" w:type="dxa"/>
              <w:right w:w="20" w:type="dxa"/>
            </w:tcMar>
            <w:vAlign w:val="bottom"/>
            <w:hideMark/>
          </w:tcPr>
          <w:p w14:paraId="66AE6C18" w14:textId="77777777" w:rsidR="00000000" w:rsidRDefault="00C01C43">
            <w:pPr>
              <w:rPr>
                <w:rFonts w:eastAsia="Times New Roman"/>
              </w:rPr>
            </w:pPr>
            <w:r>
              <w:rPr>
                <w:rFonts w:ascii="Arial" w:eastAsia="Times New Roman" w:hAnsi="Arial" w:cs="Arial"/>
                <w:color w:val="000000"/>
                <w:sz w:val="15"/>
                <w:szCs w:val="15"/>
              </w:rPr>
              <w:t>Issuance (cancellation) of common stock related to share-based payment awards</w:t>
            </w:r>
          </w:p>
        </w:tc>
        <w:tc>
          <w:tcPr>
            <w:tcW w:w="0" w:type="auto"/>
            <w:gridSpan w:val="2"/>
            <w:shd w:val="clear" w:color="auto" w:fill="FFFFFF"/>
            <w:tcMar>
              <w:top w:w="30" w:type="dxa"/>
              <w:left w:w="20" w:type="dxa"/>
              <w:bottom w:w="30" w:type="dxa"/>
              <w:right w:w="0" w:type="dxa"/>
            </w:tcMar>
            <w:vAlign w:val="bottom"/>
            <w:hideMark/>
          </w:tcPr>
          <w:p w14:paraId="4C75BC6B" w14:textId="77777777" w:rsidR="00000000" w:rsidRDefault="00C01C43">
            <w:pPr>
              <w:jc w:val="right"/>
              <w:rPr>
                <w:rFonts w:eastAsia="Times New Roman"/>
              </w:rPr>
            </w:pPr>
            <w:r>
              <w:rPr>
                <w:rFonts w:ascii="Arial" w:eastAsia="Times New Roman" w:hAnsi="Arial" w:cs="Arial"/>
                <w:color w:val="000000"/>
                <w:sz w:val="15"/>
                <w:szCs w:val="15"/>
              </w:rPr>
              <w:t>0.3 </w:t>
            </w:r>
          </w:p>
        </w:tc>
        <w:tc>
          <w:tcPr>
            <w:tcW w:w="0" w:type="auto"/>
            <w:shd w:val="clear" w:color="auto" w:fill="FFFFFF"/>
            <w:tcMar>
              <w:top w:w="30" w:type="dxa"/>
              <w:left w:w="0" w:type="dxa"/>
              <w:bottom w:w="30" w:type="dxa"/>
              <w:right w:w="20" w:type="dxa"/>
            </w:tcMar>
            <w:vAlign w:val="bottom"/>
            <w:hideMark/>
          </w:tcPr>
          <w:p w14:paraId="5BCA3DB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ADB3E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DC51E8"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313EFDC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ACCF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B58AAD" w14:textId="77777777" w:rsidR="00000000" w:rsidRDefault="00C01C43">
            <w:pPr>
              <w:jc w:val="right"/>
              <w:rPr>
                <w:rFonts w:eastAsia="Times New Roman"/>
              </w:rPr>
            </w:pPr>
            <w:r>
              <w:rPr>
                <w:rFonts w:ascii="Arial" w:eastAsia="Times New Roman" w:hAnsi="Arial" w:cs="Arial"/>
                <w:color w:val="000000"/>
                <w:sz w:val="15"/>
                <w:szCs w:val="15"/>
              </w:rPr>
              <w:t>0.7 </w:t>
            </w:r>
          </w:p>
        </w:tc>
        <w:tc>
          <w:tcPr>
            <w:tcW w:w="0" w:type="auto"/>
            <w:shd w:val="clear" w:color="auto" w:fill="FFFFFF"/>
            <w:tcMar>
              <w:top w:w="30" w:type="dxa"/>
              <w:left w:w="0" w:type="dxa"/>
              <w:bottom w:w="30" w:type="dxa"/>
              <w:right w:w="20" w:type="dxa"/>
            </w:tcMar>
            <w:vAlign w:val="bottom"/>
            <w:hideMark/>
          </w:tcPr>
          <w:p w14:paraId="6095E71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01C5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DB7F5B"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1AB1B2C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246BA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4222E8"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7241FE3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C1647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37C16E" w14:textId="77777777" w:rsidR="00000000" w:rsidRDefault="00C01C43">
            <w:pPr>
              <w:jc w:val="right"/>
              <w:rPr>
                <w:rFonts w:eastAsia="Times New Roman"/>
              </w:rPr>
            </w:pPr>
            <w:r>
              <w:rPr>
                <w:rFonts w:ascii="Arial" w:eastAsia="Times New Roman" w:hAnsi="Arial" w:cs="Arial"/>
                <w:color w:val="000000"/>
                <w:sz w:val="15"/>
                <w:szCs w:val="15"/>
              </w:rPr>
              <w:t>0.7 </w:t>
            </w:r>
          </w:p>
        </w:tc>
        <w:tc>
          <w:tcPr>
            <w:tcW w:w="0" w:type="auto"/>
            <w:shd w:val="clear" w:color="auto" w:fill="FFFFFF"/>
            <w:tcMar>
              <w:top w:w="30" w:type="dxa"/>
              <w:left w:w="0" w:type="dxa"/>
              <w:bottom w:w="30" w:type="dxa"/>
              <w:right w:w="20" w:type="dxa"/>
            </w:tcMar>
            <w:vAlign w:val="bottom"/>
            <w:hideMark/>
          </w:tcPr>
          <w:p w14:paraId="1C048C8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EE7C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5EE955"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22A172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C712A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226DB4" w14:textId="77777777" w:rsidR="00000000" w:rsidRDefault="00C01C43">
            <w:pPr>
              <w:jc w:val="right"/>
              <w:rPr>
                <w:rFonts w:eastAsia="Times New Roman"/>
              </w:rPr>
            </w:pPr>
            <w:r>
              <w:rPr>
                <w:rFonts w:ascii="Arial" w:eastAsia="Times New Roman" w:hAnsi="Arial" w:cs="Arial"/>
                <w:color w:val="000000"/>
                <w:sz w:val="15"/>
                <w:szCs w:val="15"/>
              </w:rPr>
              <w:t>0.7 </w:t>
            </w:r>
          </w:p>
        </w:tc>
        <w:tc>
          <w:tcPr>
            <w:tcW w:w="0" w:type="auto"/>
            <w:shd w:val="clear" w:color="auto" w:fill="FFFFFF"/>
            <w:tcMar>
              <w:top w:w="30" w:type="dxa"/>
              <w:left w:w="0" w:type="dxa"/>
              <w:bottom w:w="30" w:type="dxa"/>
              <w:right w:w="20" w:type="dxa"/>
            </w:tcMar>
            <w:vAlign w:val="bottom"/>
            <w:hideMark/>
          </w:tcPr>
          <w:p w14:paraId="6ED75A3F" w14:textId="77777777" w:rsidR="00000000" w:rsidRDefault="00C01C43">
            <w:pPr>
              <w:jc w:val="right"/>
              <w:rPr>
                <w:rFonts w:eastAsia="Times New Roman"/>
              </w:rPr>
            </w:pPr>
          </w:p>
        </w:tc>
      </w:tr>
      <w:tr w:rsidR="00000000" w14:paraId="6889995D" w14:textId="77777777">
        <w:trPr>
          <w:divId w:val="2080210473"/>
        </w:trPr>
        <w:tc>
          <w:tcPr>
            <w:tcW w:w="0" w:type="auto"/>
            <w:gridSpan w:val="3"/>
            <w:shd w:val="clear" w:color="auto" w:fill="CCEEFF"/>
            <w:tcMar>
              <w:top w:w="30" w:type="dxa"/>
              <w:left w:w="20" w:type="dxa"/>
              <w:bottom w:w="30" w:type="dxa"/>
              <w:right w:w="20" w:type="dxa"/>
            </w:tcMar>
            <w:vAlign w:val="bottom"/>
            <w:hideMark/>
          </w:tcPr>
          <w:p w14:paraId="6CE1D096" w14:textId="77777777" w:rsidR="00000000" w:rsidRDefault="00C01C43">
            <w:pPr>
              <w:rPr>
                <w:rFonts w:eastAsia="Times New Roman"/>
              </w:rPr>
            </w:pPr>
            <w:r>
              <w:rPr>
                <w:rFonts w:ascii="Arial" w:eastAsia="Times New Roman" w:hAnsi="Arial" w:cs="Arial"/>
                <w:color w:val="000000"/>
                <w:sz w:val="15"/>
                <w:szCs w:val="15"/>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14:paraId="2E0BFFD5"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1D62533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20223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CDE775"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35354BE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E5D1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36630C" w14:textId="77777777" w:rsidR="00000000" w:rsidRDefault="00C01C43">
            <w:pPr>
              <w:jc w:val="right"/>
              <w:rPr>
                <w:rFonts w:eastAsia="Times New Roman"/>
              </w:rPr>
            </w:pPr>
            <w:r>
              <w:rPr>
                <w:rFonts w:ascii="Arial" w:eastAsia="Times New Roman" w:hAnsi="Arial" w:cs="Arial"/>
                <w:color w:val="000000"/>
                <w:sz w:val="15"/>
                <w:szCs w:val="15"/>
              </w:rPr>
              <w:t>(2.8)</w:t>
            </w:r>
          </w:p>
        </w:tc>
        <w:tc>
          <w:tcPr>
            <w:tcW w:w="0" w:type="auto"/>
            <w:shd w:val="clear" w:color="auto" w:fill="CCEEFF"/>
            <w:tcMar>
              <w:top w:w="30" w:type="dxa"/>
              <w:left w:w="0" w:type="dxa"/>
              <w:bottom w:w="30" w:type="dxa"/>
              <w:right w:w="20" w:type="dxa"/>
            </w:tcMar>
            <w:vAlign w:val="bottom"/>
            <w:hideMark/>
          </w:tcPr>
          <w:p w14:paraId="25828A7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6DF8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BA3840"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590CD2E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3D81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859A9D"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12892B9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5AF0D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D5400B" w14:textId="77777777" w:rsidR="00000000" w:rsidRDefault="00C01C43">
            <w:pPr>
              <w:jc w:val="right"/>
              <w:rPr>
                <w:rFonts w:eastAsia="Times New Roman"/>
              </w:rPr>
            </w:pPr>
            <w:r>
              <w:rPr>
                <w:rFonts w:ascii="Arial" w:eastAsia="Times New Roman" w:hAnsi="Arial" w:cs="Arial"/>
                <w:color w:val="000000"/>
                <w:sz w:val="15"/>
                <w:szCs w:val="15"/>
              </w:rPr>
              <w:t>(2.8)</w:t>
            </w:r>
          </w:p>
        </w:tc>
        <w:tc>
          <w:tcPr>
            <w:tcW w:w="0" w:type="auto"/>
            <w:shd w:val="clear" w:color="auto" w:fill="CCEEFF"/>
            <w:tcMar>
              <w:top w:w="30" w:type="dxa"/>
              <w:left w:w="0" w:type="dxa"/>
              <w:bottom w:w="30" w:type="dxa"/>
              <w:right w:w="20" w:type="dxa"/>
            </w:tcMar>
            <w:vAlign w:val="bottom"/>
            <w:hideMark/>
          </w:tcPr>
          <w:p w14:paraId="0A06AFB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0423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493B67"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2E78CF3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1261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0E853E" w14:textId="77777777" w:rsidR="00000000" w:rsidRDefault="00C01C43">
            <w:pPr>
              <w:jc w:val="right"/>
              <w:rPr>
                <w:rFonts w:eastAsia="Times New Roman"/>
              </w:rPr>
            </w:pPr>
            <w:r>
              <w:rPr>
                <w:rFonts w:ascii="Arial" w:eastAsia="Times New Roman" w:hAnsi="Arial" w:cs="Arial"/>
                <w:color w:val="000000"/>
                <w:sz w:val="15"/>
                <w:szCs w:val="15"/>
              </w:rPr>
              <w:t>(2.8)</w:t>
            </w:r>
          </w:p>
        </w:tc>
        <w:tc>
          <w:tcPr>
            <w:tcW w:w="0" w:type="auto"/>
            <w:shd w:val="clear" w:color="auto" w:fill="CCEEFF"/>
            <w:tcMar>
              <w:top w:w="30" w:type="dxa"/>
              <w:left w:w="0" w:type="dxa"/>
              <w:bottom w:w="30" w:type="dxa"/>
              <w:right w:w="20" w:type="dxa"/>
            </w:tcMar>
            <w:vAlign w:val="bottom"/>
            <w:hideMark/>
          </w:tcPr>
          <w:p w14:paraId="761A4302" w14:textId="77777777" w:rsidR="00000000" w:rsidRDefault="00C01C43">
            <w:pPr>
              <w:jc w:val="right"/>
              <w:rPr>
                <w:rFonts w:eastAsia="Times New Roman"/>
              </w:rPr>
            </w:pPr>
          </w:p>
        </w:tc>
      </w:tr>
      <w:tr w:rsidR="00000000" w14:paraId="2613CB6B" w14:textId="77777777">
        <w:trPr>
          <w:divId w:val="2080210473"/>
        </w:trPr>
        <w:tc>
          <w:tcPr>
            <w:tcW w:w="0" w:type="auto"/>
            <w:gridSpan w:val="3"/>
            <w:shd w:val="clear" w:color="auto" w:fill="FFFFFF"/>
            <w:tcMar>
              <w:top w:w="30" w:type="dxa"/>
              <w:left w:w="20" w:type="dxa"/>
              <w:bottom w:w="30" w:type="dxa"/>
              <w:right w:w="20" w:type="dxa"/>
            </w:tcMar>
            <w:vAlign w:val="bottom"/>
            <w:hideMark/>
          </w:tcPr>
          <w:p w14:paraId="01CD6586" w14:textId="77777777" w:rsidR="00000000" w:rsidRDefault="00C01C43">
            <w:pPr>
              <w:rPr>
                <w:rFonts w:eastAsia="Times New Roman"/>
              </w:rPr>
            </w:pPr>
            <w:r>
              <w:rPr>
                <w:rFonts w:ascii="Arial" w:eastAsia="Times New Roman" w:hAnsi="Arial" w:cs="Arial"/>
                <w:color w:val="000000"/>
                <w:sz w:val="15"/>
                <w:szCs w:val="15"/>
              </w:rPr>
              <w:t>Purchases of common stock</w:t>
            </w:r>
          </w:p>
        </w:tc>
        <w:tc>
          <w:tcPr>
            <w:tcW w:w="0" w:type="auto"/>
            <w:gridSpan w:val="2"/>
            <w:shd w:val="clear" w:color="auto" w:fill="FFFFFF"/>
            <w:tcMar>
              <w:top w:w="30" w:type="dxa"/>
              <w:left w:w="20" w:type="dxa"/>
              <w:bottom w:w="30" w:type="dxa"/>
              <w:right w:w="0" w:type="dxa"/>
            </w:tcMar>
            <w:vAlign w:val="bottom"/>
            <w:hideMark/>
          </w:tcPr>
          <w:p w14:paraId="3FBC65E6" w14:textId="77777777" w:rsidR="00000000" w:rsidRDefault="00C01C43">
            <w:pPr>
              <w:jc w:val="right"/>
              <w:rPr>
                <w:rFonts w:eastAsia="Times New Roman"/>
              </w:rPr>
            </w:pPr>
            <w:r>
              <w:rPr>
                <w:rFonts w:ascii="Arial" w:eastAsia="Times New Roman" w:hAnsi="Arial" w:cs="Arial"/>
                <w:color w:val="000000"/>
                <w:sz w:val="15"/>
                <w:szCs w:val="15"/>
              </w:rPr>
              <w:t>(2.1)</w:t>
            </w:r>
          </w:p>
        </w:tc>
        <w:tc>
          <w:tcPr>
            <w:tcW w:w="0" w:type="auto"/>
            <w:shd w:val="clear" w:color="auto" w:fill="FFFFFF"/>
            <w:tcMar>
              <w:top w:w="30" w:type="dxa"/>
              <w:left w:w="0" w:type="dxa"/>
              <w:bottom w:w="30" w:type="dxa"/>
              <w:right w:w="20" w:type="dxa"/>
            </w:tcMar>
            <w:vAlign w:val="bottom"/>
            <w:hideMark/>
          </w:tcPr>
          <w:p w14:paraId="399E067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9FE6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50CD91"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DEB171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2421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D8F86" w14:textId="77777777" w:rsidR="00000000" w:rsidRDefault="00C01C43">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65.4)</w:t>
            </w:r>
          </w:p>
        </w:tc>
        <w:tc>
          <w:tcPr>
            <w:tcW w:w="0" w:type="auto"/>
            <w:shd w:val="clear" w:color="auto" w:fill="FFFFFF"/>
            <w:tcMar>
              <w:top w:w="30" w:type="dxa"/>
              <w:left w:w="0" w:type="dxa"/>
              <w:bottom w:w="30" w:type="dxa"/>
              <w:right w:w="20" w:type="dxa"/>
            </w:tcMar>
            <w:vAlign w:val="bottom"/>
            <w:hideMark/>
          </w:tcPr>
          <w:p w14:paraId="3847B92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9622B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BDDC3B"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2B6ADE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A7B6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C8A8F"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137C8B0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EF82A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7365EF" w14:textId="77777777" w:rsidR="00000000" w:rsidRDefault="00C01C43">
            <w:pPr>
              <w:jc w:val="right"/>
              <w:rPr>
                <w:rFonts w:eastAsia="Times New Roman"/>
              </w:rPr>
            </w:pPr>
            <w:r>
              <w:rPr>
                <w:rFonts w:ascii="Arial" w:eastAsia="Times New Roman" w:hAnsi="Arial" w:cs="Arial"/>
                <w:color w:val="000000"/>
                <w:sz w:val="15"/>
                <w:szCs w:val="15"/>
              </w:rPr>
              <w:t>(65.4)</w:t>
            </w:r>
          </w:p>
        </w:tc>
        <w:tc>
          <w:tcPr>
            <w:tcW w:w="0" w:type="auto"/>
            <w:shd w:val="clear" w:color="auto" w:fill="FFFFFF"/>
            <w:tcMar>
              <w:top w:w="30" w:type="dxa"/>
              <w:left w:w="0" w:type="dxa"/>
              <w:bottom w:w="30" w:type="dxa"/>
              <w:right w:w="20" w:type="dxa"/>
            </w:tcMar>
            <w:vAlign w:val="bottom"/>
            <w:hideMark/>
          </w:tcPr>
          <w:p w14:paraId="4C1A369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AC7A7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E2477A"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EDCC18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A1AD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E44AB3" w14:textId="77777777" w:rsidR="00000000" w:rsidRDefault="00C01C43">
            <w:pPr>
              <w:jc w:val="right"/>
              <w:rPr>
                <w:rFonts w:eastAsia="Times New Roman"/>
              </w:rPr>
            </w:pPr>
            <w:r>
              <w:rPr>
                <w:rFonts w:ascii="Arial" w:eastAsia="Times New Roman" w:hAnsi="Arial" w:cs="Arial"/>
                <w:color w:val="000000"/>
                <w:sz w:val="15"/>
                <w:szCs w:val="15"/>
              </w:rPr>
              <w:t>(65.4)</w:t>
            </w:r>
          </w:p>
        </w:tc>
        <w:tc>
          <w:tcPr>
            <w:tcW w:w="0" w:type="auto"/>
            <w:shd w:val="clear" w:color="auto" w:fill="FFFFFF"/>
            <w:tcMar>
              <w:top w:w="30" w:type="dxa"/>
              <w:left w:w="0" w:type="dxa"/>
              <w:bottom w:w="30" w:type="dxa"/>
              <w:right w:w="20" w:type="dxa"/>
            </w:tcMar>
            <w:vAlign w:val="bottom"/>
            <w:hideMark/>
          </w:tcPr>
          <w:p w14:paraId="1F128F65" w14:textId="77777777" w:rsidR="00000000" w:rsidRDefault="00C01C43">
            <w:pPr>
              <w:jc w:val="right"/>
              <w:rPr>
                <w:rFonts w:eastAsia="Times New Roman"/>
              </w:rPr>
            </w:pPr>
          </w:p>
        </w:tc>
      </w:tr>
      <w:tr w:rsidR="00000000" w14:paraId="6F2CD560" w14:textId="77777777">
        <w:trPr>
          <w:divId w:val="2080210473"/>
        </w:trPr>
        <w:tc>
          <w:tcPr>
            <w:tcW w:w="0" w:type="auto"/>
            <w:gridSpan w:val="3"/>
            <w:shd w:val="clear" w:color="auto" w:fill="CCEEFF"/>
            <w:tcMar>
              <w:top w:w="30" w:type="dxa"/>
              <w:left w:w="20" w:type="dxa"/>
              <w:bottom w:w="30" w:type="dxa"/>
              <w:right w:w="20" w:type="dxa"/>
            </w:tcMar>
            <w:vAlign w:val="bottom"/>
            <w:hideMark/>
          </w:tcPr>
          <w:p w14:paraId="606F8469" w14:textId="77777777" w:rsidR="00000000" w:rsidRDefault="00C01C43">
            <w:pPr>
              <w:divId w:val="1846941245"/>
              <w:rPr>
                <w:rFonts w:eastAsia="Times New Roman"/>
              </w:rPr>
            </w:pPr>
            <w:r>
              <w:rPr>
                <w:rFonts w:ascii="Arial" w:eastAsia="Times New Roman" w:hAnsi="Arial" w:cs="Arial"/>
                <w:color w:val="000000"/>
                <w:sz w:val="15"/>
                <w:szCs w:val="15"/>
              </w:rPr>
              <w:t>Acquisition of remaining 49% equity interest</w:t>
            </w:r>
          </w:p>
        </w:tc>
        <w:tc>
          <w:tcPr>
            <w:tcW w:w="0" w:type="auto"/>
            <w:gridSpan w:val="2"/>
            <w:shd w:val="clear" w:color="auto" w:fill="CCEEFF"/>
            <w:tcMar>
              <w:top w:w="30" w:type="dxa"/>
              <w:left w:w="20" w:type="dxa"/>
              <w:bottom w:w="30" w:type="dxa"/>
              <w:right w:w="0" w:type="dxa"/>
            </w:tcMar>
            <w:vAlign w:val="bottom"/>
            <w:hideMark/>
          </w:tcPr>
          <w:p w14:paraId="3137A75B"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3F1C278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2514E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9E9D02"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2AFA221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A36A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0E7E68" w14:textId="77777777" w:rsidR="00000000" w:rsidRDefault="00C01C43">
            <w:pPr>
              <w:jc w:val="right"/>
              <w:rPr>
                <w:rFonts w:eastAsia="Times New Roman"/>
              </w:rPr>
            </w:pPr>
            <w:r>
              <w:rPr>
                <w:rFonts w:ascii="Arial" w:eastAsia="Times New Roman" w:hAnsi="Arial" w:cs="Arial"/>
                <w:color w:val="000000"/>
                <w:sz w:val="15"/>
                <w:szCs w:val="15"/>
              </w:rPr>
              <w:t>(20.6)</w:t>
            </w:r>
          </w:p>
        </w:tc>
        <w:tc>
          <w:tcPr>
            <w:tcW w:w="0" w:type="auto"/>
            <w:shd w:val="clear" w:color="auto" w:fill="CCEEFF"/>
            <w:tcMar>
              <w:top w:w="30" w:type="dxa"/>
              <w:left w:w="0" w:type="dxa"/>
              <w:bottom w:w="30" w:type="dxa"/>
              <w:right w:w="20" w:type="dxa"/>
            </w:tcMar>
            <w:vAlign w:val="bottom"/>
            <w:hideMark/>
          </w:tcPr>
          <w:p w14:paraId="51140CE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410CA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8F6F16"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5CA5619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E3D2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9C7303"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00F4E0E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4DB3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3A3934" w14:textId="77777777" w:rsidR="00000000" w:rsidRDefault="00C01C43">
            <w:pPr>
              <w:jc w:val="right"/>
              <w:rPr>
                <w:rFonts w:eastAsia="Times New Roman"/>
              </w:rPr>
            </w:pPr>
            <w:r>
              <w:rPr>
                <w:rFonts w:ascii="Arial" w:eastAsia="Times New Roman" w:hAnsi="Arial" w:cs="Arial"/>
                <w:color w:val="000000"/>
                <w:sz w:val="15"/>
                <w:szCs w:val="15"/>
              </w:rPr>
              <w:t>(20.6)</w:t>
            </w:r>
          </w:p>
        </w:tc>
        <w:tc>
          <w:tcPr>
            <w:tcW w:w="0" w:type="auto"/>
            <w:shd w:val="clear" w:color="auto" w:fill="CCEEFF"/>
            <w:tcMar>
              <w:top w:w="30" w:type="dxa"/>
              <w:left w:w="0" w:type="dxa"/>
              <w:bottom w:w="30" w:type="dxa"/>
              <w:right w:w="20" w:type="dxa"/>
            </w:tcMar>
            <w:vAlign w:val="bottom"/>
            <w:hideMark/>
          </w:tcPr>
          <w:p w14:paraId="21B140A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0937E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B37E54" w14:textId="77777777" w:rsidR="00000000" w:rsidRDefault="00C01C43">
            <w:pPr>
              <w:jc w:val="right"/>
              <w:rPr>
                <w:rFonts w:eastAsia="Times New Roman"/>
              </w:rPr>
            </w:pPr>
            <w:r>
              <w:rPr>
                <w:rFonts w:ascii="Arial" w:eastAsia="Times New Roman" w:hAnsi="Arial" w:cs="Arial"/>
                <w:color w:val="000000"/>
                <w:sz w:val="15"/>
                <w:szCs w:val="15"/>
              </w:rPr>
              <w:t>(12.1)</w:t>
            </w:r>
          </w:p>
        </w:tc>
        <w:tc>
          <w:tcPr>
            <w:tcW w:w="0" w:type="auto"/>
            <w:shd w:val="clear" w:color="auto" w:fill="CCEEFF"/>
            <w:tcMar>
              <w:top w:w="30" w:type="dxa"/>
              <w:left w:w="0" w:type="dxa"/>
              <w:bottom w:w="30" w:type="dxa"/>
              <w:right w:w="20" w:type="dxa"/>
            </w:tcMar>
            <w:vAlign w:val="bottom"/>
            <w:hideMark/>
          </w:tcPr>
          <w:p w14:paraId="7502205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9EF8C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B9CD79" w14:textId="77777777" w:rsidR="00000000" w:rsidRDefault="00C01C43">
            <w:pPr>
              <w:jc w:val="right"/>
              <w:rPr>
                <w:rFonts w:eastAsia="Times New Roman"/>
              </w:rPr>
            </w:pPr>
            <w:r>
              <w:rPr>
                <w:rFonts w:ascii="Arial" w:eastAsia="Times New Roman" w:hAnsi="Arial" w:cs="Arial"/>
                <w:color w:val="000000"/>
                <w:sz w:val="15"/>
                <w:szCs w:val="15"/>
              </w:rPr>
              <w:t>(32.7)</w:t>
            </w:r>
          </w:p>
        </w:tc>
        <w:tc>
          <w:tcPr>
            <w:tcW w:w="0" w:type="auto"/>
            <w:shd w:val="clear" w:color="auto" w:fill="CCEEFF"/>
            <w:tcMar>
              <w:top w:w="30" w:type="dxa"/>
              <w:left w:w="0" w:type="dxa"/>
              <w:bottom w:w="30" w:type="dxa"/>
              <w:right w:w="20" w:type="dxa"/>
            </w:tcMar>
            <w:vAlign w:val="bottom"/>
            <w:hideMark/>
          </w:tcPr>
          <w:p w14:paraId="210C47D7" w14:textId="77777777" w:rsidR="00000000" w:rsidRDefault="00C01C43">
            <w:pPr>
              <w:jc w:val="right"/>
              <w:rPr>
                <w:rFonts w:eastAsia="Times New Roman"/>
              </w:rPr>
            </w:pPr>
          </w:p>
        </w:tc>
      </w:tr>
      <w:tr w:rsidR="00000000" w14:paraId="6394FA01" w14:textId="77777777">
        <w:trPr>
          <w:divId w:val="2080210473"/>
        </w:trPr>
        <w:tc>
          <w:tcPr>
            <w:tcW w:w="0" w:type="auto"/>
            <w:gridSpan w:val="3"/>
            <w:shd w:val="clear" w:color="auto" w:fill="FFFFFF"/>
            <w:tcMar>
              <w:top w:w="30" w:type="dxa"/>
              <w:left w:w="20" w:type="dxa"/>
              <w:bottom w:w="30" w:type="dxa"/>
              <w:right w:w="20" w:type="dxa"/>
            </w:tcMar>
            <w:vAlign w:val="bottom"/>
            <w:hideMark/>
          </w:tcPr>
          <w:p w14:paraId="2602AEA6" w14:textId="77777777" w:rsidR="00000000" w:rsidRDefault="00C01C43">
            <w:pPr>
              <w:rPr>
                <w:rFonts w:eastAsia="Times New Roman"/>
              </w:rPr>
            </w:pPr>
            <w:r>
              <w:rPr>
                <w:rFonts w:ascii="Arial" w:eastAsia="Times New Roman" w:hAnsi="Arial" w:cs="Arial"/>
                <w:color w:val="000000"/>
                <w:sz w:val="15"/>
                <w:szCs w:val="15"/>
              </w:rPr>
              <w:t>Other comprehensive income (loss)</w:t>
            </w:r>
          </w:p>
        </w:tc>
        <w:tc>
          <w:tcPr>
            <w:tcW w:w="0" w:type="auto"/>
            <w:gridSpan w:val="2"/>
            <w:shd w:val="clear" w:color="auto" w:fill="FFFFFF"/>
            <w:tcMar>
              <w:top w:w="30" w:type="dxa"/>
              <w:left w:w="20" w:type="dxa"/>
              <w:bottom w:w="30" w:type="dxa"/>
              <w:right w:w="0" w:type="dxa"/>
            </w:tcMar>
            <w:vAlign w:val="bottom"/>
            <w:hideMark/>
          </w:tcPr>
          <w:p w14:paraId="4FF2EA00"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3507D7B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B7FE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9623B2"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13E443A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404E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3DFF32"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5573E7B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8E684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430FC3"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3BC0668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96BA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14E5F9" w14:textId="77777777" w:rsidR="00000000" w:rsidRDefault="00C01C43">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14.6)</w:t>
            </w:r>
          </w:p>
        </w:tc>
        <w:tc>
          <w:tcPr>
            <w:tcW w:w="0" w:type="auto"/>
            <w:shd w:val="clear" w:color="auto" w:fill="FFFFFF"/>
            <w:tcMar>
              <w:top w:w="30" w:type="dxa"/>
              <w:left w:w="0" w:type="dxa"/>
              <w:bottom w:w="30" w:type="dxa"/>
              <w:right w:w="20" w:type="dxa"/>
            </w:tcMar>
            <w:vAlign w:val="bottom"/>
            <w:hideMark/>
          </w:tcPr>
          <w:p w14:paraId="63C773A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AC7A3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DAC602" w14:textId="77777777" w:rsidR="00000000" w:rsidRDefault="00C01C43">
            <w:pPr>
              <w:jc w:val="right"/>
              <w:rPr>
                <w:rFonts w:eastAsia="Times New Roman"/>
              </w:rPr>
            </w:pPr>
            <w:r>
              <w:rPr>
                <w:rFonts w:ascii="Arial" w:eastAsia="Times New Roman" w:hAnsi="Arial" w:cs="Arial"/>
                <w:color w:val="000000"/>
                <w:sz w:val="15"/>
                <w:szCs w:val="15"/>
              </w:rPr>
              <w:t>(14.6)</w:t>
            </w:r>
          </w:p>
        </w:tc>
        <w:tc>
          <w:tcPr>
            <w:tcW w:w="0" w:type="auto"/>
            <w:shd w:val="clear" w:color="auto" w:fill="FFFFFF"/>
            <w:tcMar>
              <w:top w:w="30" w:type="dxa"/>
              <w:left w:w="0" w:type="dxa"/>
              <w:bottom w:w="30" w:type="dxa"/>
              <w:right w:w="20" w:type="dxa"/>
            </w:tcMar>
            <w:vAlign w:val="bottom"/>
            <w:hideMark/>
          </w:tcPr>
          <w:p w14:paraId="07EB362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8967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01EE9C" w14:textId="77777777" w:rsidR="00000000" w:rsidRDefault="00C01C43">
            <w:pPr>
              <w:jc w:val="right"/>
              <w:rPr>
                <w:rFonts w:eastAsia="Times New Roman"/>
              </w:rPr>
            </w:pPr>
            <w:r>
              <w:rPr>
                <w:rFonts w:ascii="Arial" w:eastAsia="Times New Roman" w:hAnsi="Arial" w:cs="Arial"/>
                <w:color w:val="000000"/>
                <w:sz w:val="15"/>
                <w:szCs w:val="15"/>
              </w:rPr>
              <w:t>(2.7)</w:t>
            </w:r>
          </w:p>
        </w:tc>
        <w:tc>
          <w:tcPr>
            <w:tcW w:w="0" w:type="auto"/>
            <w:shd w:val="clear" w:color="auto" w:fill="FFFFFF"/>
            <w:tcMar>
              <w:top w:w="30" w:type="dxa"/>
              <w:left w:w="0" w:type="dxa"/>
              <w:bottom w:w="30" w:type="dxa"/>
              <w:right w:w="20" w:type="dxa"/>
            </w:tcMar>
            <w:vAlign w:val="bottom"/>
            <w:hideMark/>
          </w:tcPr>
          <w:p w14:paraId="192BAF2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BA59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3C68B2" w14:textId="77777777" w:rsidR="00000000" w:rsidRDefault="00C01C43">
            <w:pPr>
              <w:jc w:val="right"/>
              <w:rPr>
                <w:rFonts w:eastAsia="Times New Roman"/>
              </w:rPr>
            </w:pPr>
            <w:r>
              <w:rPr>
                <w:rFonts w:ascii="Arial" w:eastAsia="Times New Roman" w:hAnsi="Arial" w:cs="Arial"/>
                <w:color w:val="000000"/>
                <w:sz w:val="15"/>
                <w:szCs w:val="15"/>
              </w:rPr>
              <w:t>(17.3)</w:t>
            </w:r>
          </w:p>
        </w:tc>
        <w:tc>
          <w:tcPr>
            <w:tcW w:w="0" w:type="auto"/>
            <w:shd w:val="clear" w:color="auto" w:fill="FFFFFF"/>
            <w:tcMar>
              <w:top w:w="30" w:type="dxa"/>
              <w:left w:w="0" w:type="dxa"/>
              <w:bottom w:w="30" w:type="dxa"/>
              <w:right w:w="20" w:type="dxa"/>
            </w:tcMar>
            <w:vAlign w:val="bottom"/>
            <w:hideMark/>
          </w:tcPr>
          <w:p w14:paraId="5A896282" w14:textId="77777777" w:rsidR="00000000" w:rsidRDefault="00C01C43">
            <w:pPr>
              <w:jc w:val="right"/>
              <w:rPr>
                <w:rFonts w:eastAsia="Times New Roman"/>
              </w:rPr>
            </w:pPr>
          </w:p>
        </w:tc>
      </w:tr>
      <w:tr w:rsidR="00000000" w14:paraId="6ED12674" w14:textId="77777777">
        <w:trPr>
          <w:divId w:val="2080210473"/>
        </w:trPr>
        <w:tc>
          <w:tcPr>
            <w:tcW w:w="0" w:type="auto"/>
            <w:gridSpan w:val="3"/>
            <w:vAlign w:val="center"/>
            <w:hideMark/>
          </w:tcPr>
          <w:p w14:paraId="6547DDF7" w14:textId="77777777" w:rsidR="00000000" w:rsidRDefault="00C01C43">
            <w:pPr>
              <w:jc w:val="right"/>
              <w:rPr>
                <w:rFonts w:eastAsia="Times New Roman"/>
                <w:sz w:val="20"/>
                <w:szCs w:val="20"/>
              </w:rPr>
            </w:pPr>
          </w:p>
        </w:tc>
        <w:tc>
          <w:tcPr>
            <w:tcW w:w="0" w:type="auto"/>
            <w:gridSpan w:val="3"/>
            <w:vAlign w:val="center"/>
            <w:hideMark/>
          </w:tcPr>
          <w:p w14:paraId="111B3243" w14:textId="77777777" w:rsidR="00000000" w:rsidRDefault="00C01C43">
            <w:pPr>
              <w:rPr>
                <w:rFonts w:eastAsia="Times New Roman"/>
                <w:sz w:val="20"/>
                <w:szCs w:val="20"/>
              </w:rPr>
            </w:pPr>
          </w:p>
        </w:tc>
        <w:tc>
          <w:tcPr>
            <w:tcW w:w="0" w:type="auto"/>
            <w:gridSpan w:val="3"/>
            <w:vAlign w:val="center"/>
            <w:hideMark/>
          </w:tcPr>
          <w:p w14:paraId="5B63EC89" w14:textId="77777777" w:rsidR="00000000" w:rsidRDefault="00C01C43">
            <w:pPr>
              <w:rPr>
                <w:rFonts w:eastAsia="Times New Roman"/>
                <w:sz w:val="20"/>
                <w:szCs w:val="20"/>
              </w:rPr>
            </w:pPr>
          </w:p>
        </w:tc>
        <w:tc>
          <w:tcPr>
            <w:tcW w:w="0" w:type="auto"/>
            <w:gridSpan w:val="3"/>
            <w:vAlign w:val="center"/>
            <w:hideMark/>
          </w:tcPr>
          <w:p w14:paraId="23762674" w14:textId="77777777" w:rsidR="00000000" w:rsidRDefault="00C01C43">
            <w:pPr>
              <w:rPr>
                <w:rFonts w:eastAsia="Times New Roman"/>
                <w:sz w:val="20"/>
                <w:szCs w:val="20"/>
              </w:rPr>
            </w:pPr>
          </w:p>
        </w:tc>
        <w:tc>
          <w:tcPr>
            <w:tcW w:w="0" w:type="auto"/>
            <w:gridSpan w:val="3"/>
            <w:vAlign w:val="center"/>
            <w:hideMark/>
          </w:tcPr>
          <w:p w14:paraId="06ADEC16" w14:textId="77777777" w:rsidR="00000000" w:rsidRDefault="00C01C43">
            <w:pPr>
              <w:rPr>
                <w:rFonts w:eastAsia="Times New Roman"/>
                <w:sz w:val="20"/>
                <w:szCs w:val="20"/>
              </w:rPr>
            </w:pPr>
          </w:p>
        </w:tc>
        <w:tc>
          <w:tcPr>
            <w:tcW w:w="0" w:type="auto"/>
            <w:gridSpan w:val="3"/>
            <w:vAlign w:val="center"/>
            <w:hideMark/>
          </w:tcPr>
          <w:p w14:paraId="5946C775" w14:textId="77777777" w:rsidR="00000000" w:rsidRDefault="00C01C43">
            <w:pPr>
              <w:rPr>
                <w:rFonts w:eastAsia="Times New Roman"/>
                <w:sz w:val="20"/>
                <w:szCs w:val="20"/>
              </w:rPr>
            </w:pPr>
          </w:p>
        </w:tc>
        <w:tc>
          <w:tcPr>
            <w:tcW w:w="0" w:type="auto"/>
            <w:gridSpan w:val="3"/>
            <w:vAlign w:val="center"/>
            <w:hideMark/>
          </w:tcPr>
          <w:p w14:paraId="0B5EA794" w14:textId="77777777" w:rsidR="00000000" w:rsidRDefault="00C01C43">
            <w:pPr>
              <w:rPr>
                <w:rFonts w:eastAsia="Times New Roman"/>
                <w:sz w:val="20"/>
                <w:szCs w:val="20"/>
              </w:rPr>
            </w:pPr>
          </w:p>
        </w:tc>
        <w:tc>
          <w:tcPr>
            <w:tcW w:w="0" w:type="auto"/>
            <w:gridSpan w:val="3"/>
            <w:vAlign w:val="center"/>
            <w:hideMark/>
          </w:tcPr>
          <w:p w14:paraId="494F8499" w14:textId="77777777" w:rsidR="00000000" w:rsidRDefault="00C01C43">
            <w:pPr>
              <w:rPr>
                <w:rFonts w:eastAsia="Times New Roman"/>
                <w:sz w:val="20"/>
                <w:szCs w:val="20"/>
              </w:rPr>
            </w:pPr>
          </w:p>
        </w:tc>
        <w:tc>
          <w:tcPr>
            <w:tcW w:w="0" w:type="auto"/>
            <w:gridSpan w:val="3"/>
            <w:vAlign w:val="center"/>
            <w:hideMark/>
          </w:tcPr>
          <w:p w14:paraId="0A9EC564" w14:textId="77777777" w:rsidR="00000000" w:rsidRDefault="00C01C43">
            <w:pPr>
              <w:rPr>
                <w:rFonts w:eastAsia="Times New Roman"/>
                <w:sz w:val="20"/>
                <w:szCs w:val="20"/>
              </w:rPr>
            </w:pPr>
          </w:p>
        </w:tc>
        <w:tc>
          <w:tcPr>
            <w:tcW w:w="0" w:type="auto"/>
            <w:gridSpan w:val="3"/>
            <w:vAlign w:val="center"/>
            <w:hideMark/>
          </w:tcPr>
          <w:p w14:paraId="08073EB6" w14:textId="77777777" w:rsidR="00000000" w:rsidRDefault="00C01C43">
            <w:pPr>
              <w:rPr>
                <w:rFonts w:eastAsia="Times New Roman"/>
                <w:sz w:val="20"/>
                <w:szCs w:val="20"/>
              </w:rPr>
            </w:pPr>
          </w:p>
        </w:tc>
        <w:tc>
          <w:tcPr>
            <w:tcW w:w="0" w:type="auto"/>
            <w:gridSpan w:val="3"/>
            <w:vAlign w:val="center"/>
            <w:hideMark/>
          </w:tcPr>
          <w:p w14:paraId="18FD7422" w14:textId="77777777" w:rsidR="00000000" w:rsidRDefault="00C01C43">
            <w:pPr>
              <w:rPr>
                <w:rFonts w:eastAsia="Times New Roman"/>
                <w:sz w:val="20"/>
                <w:szCs w:val="20"/>
              </w:rPr>
            </w:pPr>
          </w:p>
        </w:tc>
        <w:tc>
          <w:tcPr>
            <w:tcW w:w="0" w:type="auto"/>
            <w:gridSpan w:val="3"/>
            <w:vAlign w:val="center"/>
            <w:hideMark/>
          </w:tcPr>
          <w:p w14:paraId="4E5CEFAD" w14:textId="77777777" w:rsidR="00000000" w:rsidRDefault="00C01C43">
            <w:pPr>
              <w:rPr>
                <w:rFonts w:eastAsia="Times New Roman"/>
                <w:sz w:val="20"/>
                <w:szCs w:val="20"/>
              </w:rPr>
            </w:pPr>
          </w:p>
        </w:tc>
        <w:tc>
          <w:tcPr>
            <w:tcW w:w="0" w:type="auto"/>
            <w:gridSpan w:val="3"/>
            <w:vAlign w:val="center"/>
            <w:hideMark/>
          </w:tcPr>
          <w:p w14:paraId="5E63A9F2" w14:textId="77777777" w:rsidR="00000000" w:rsidRDefault="00C01C43">
            <w:pPr>
              <w:rPr>
                <w:rFonts w:eastAsia="Times New Roman"/>
                <w:sz w:val="20"/>
                <w:szCs w:val="20"/>
              </w:rPr>
            </w:pPr>
          </w:p>
        </w:tc>
        <w:tc>
          <w:tcPr>
            <w:tcW w:w="0" w:type="auto"/>
            <w:gridSpan w:val="3"/>
            <w:vAlign w:val="center"/>
            <w:hideMark/>
          </w:tcPr>
          <w:p w14:paraId="307B8A8C" w14:textId="77777777" w:rsidR="00000000" w:rsidRDefault="00C01C43">
            <w:pPr>
              <w:rPr>
                <w:rFonts w:eastAsia="Times New Roman"/>
                <w:sz w:val="20"/>
                <w:szCs w:val="20"/>
              </w:rPr>
            </w:pPr>
          </w:p>
        </w:tc>
        <w:tc>
          <w:tcPr>
            <w:tcW w:w="0" w:type="auto"/>
            <w:gridSpan w:val="3"/>
            <w:vAlign w:val="center"/>
            <w:hideMark/>
          </w:tcPr>
          <w:p w14:paraId="0E7EEA57" w14:textId="77777777" w:rsidR="00000000" w:rsidRDefault="00C01C43">
            <w:pPr>
              <w:rPr>
                <w:rFonts w:eastAsia="Times New Roman"/>
                <w:sz w:val="20"/>
                <w:szCs w:val="20"/>
              </w:rPr>
            </w:pPr>
          </w:p>
        </w:tc>
        <w:tc>
          <w:tcPr>
            <w:tcW w:w="0" w:type="auto"/>
            <w:gridSpan w:val="3"/>
            <w:vAlign w:val="center"/>
            <w:hideMark/>
          </w:tcPr>
          <w:p w14:paraId="35F0B80A" w14:textId="77777777" w:rsidR="00000000" w:rsidRDefault="00C01C43">
            <w:pPr>
              <w:rPr>
                <w:rFonts w:eastAsia="Times New Roman"/>
                <w:sz w:val="20"/>
                <w:szCs w:val="20"/>
              </w:rPr>
            </w:pPr>
          </w:p>
        </w:tc>
      </w:tr>
      <w:tr w:rsidR="00000000" w14:paraId="20B41B96" w14:textId="77777777">
        <w:trPr>
          <w:divId w:val="208021047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8BD33A3" w14:textId="77777777" w:rsidR="00000000" w:rsidRDefault="00C01C43">
            <w:pPr>
              <w:rPr>
                <w:rFonts w:eastAsia="Times New Roman"/>
              </w:rPr>
            </w:pPr>
            <w:r>
              <w:rPr>
                <w:rFonts w:ascii="Arial" w:eastAsia="Times New Roman" w:hAnsi="Arial" w:cs="Arial"/>
                <w:color w:val="000000"/>
                <w:sz w:val="15"/>
                <w:szCs w:val="15"/>
              </w:rPr>
              <w:t>Balance as of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72EC07" w14:textId="77777777" w:rsidR="00000000" w:rsidRDefault="00C01C43">
            <w:pPr>
              <w:jc w:val="right"/>
              <w:rPr>
                <w:rFonts w:eastAsia="Times New Roman"/>
              </w:rPr>
            </w:pPr>
            <w:r>
              <w:rPr>
                <w:rFonts w:ascii="Arial" w:eastAsia="Times New Roman" w:hAnsi="Arial" w:cs="Arial"/>
                <w:color w:val="000000"/>
                <w:sz w:val="15"/>
                <w:szCs w:val="15"/>
              </w:rPr>
              <w:t>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D58D0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902022"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2D830E" w14:textId="77777777" w:rsidR="00000000" w:rsidRDefault="00C01C43">
            <w:pPr>
              <w:jc w:val="right"/>
              <w:rPr>
                <w:rFonts w:eastAsia="Times New Roman"/>
              </w:rPr>
            </w:pPr>
            <w:r>
              <w:rPr>
                <w:rFonts w:ascii="Arial" w:eastAsia="Times New Roman" w:hAnsi="Arial" w:cs="Arial"/>
                <w:color w:val="000000"/>
                <w:sz w:val="15"/>
                <w:szCs w:val="15"/>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098D98"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89F46F"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7315AB" w14:textId="77777777" w:rsidR="00000000" w:rsidRDefault="00C01C43">
            <w:pPr>
              <w:jc w:val="right"/>
              <w:rPr>
                <w:rFonts w:eastAsia="Times New Roman"/>
              </w:rPr>
            </w:pPr>
            <w:r>
              <w:rPr>
                <w:rFonts w:ascii="Arial" w:eastAsia="Times New Roman" w:hAnsi="Arial" w:cs="Arial"/>
                <w:color w:val="000000"/>
                <w:sz w:val="15"/>
                <w:szCs w:val="15"/>
              </w:rPr>
              <w:t>274.7 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134F09"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CBE750"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758FC6" w14:textId="77777777" w:rsidR="00000000" w:rsidRDefault="00C01C43">
            <w:pPr>
              <w:jc w:val="right"/>
              <w:rPr>
                <w:rFonts w:eastAsia="Times New Roman"/>
              </w:rPr>
            </w:pPr>
            <w:r>
              <w:rPr>
                <w:rFonts w:ascii="Arial" w:eastAsia="Times New Roman" w:hAnsi="Arial" w:cs="Arial"/>
                <w:color w:val="000000"/>
                <w:sz w:val="15"/>
                <w:szCs w:val="15"/>
              </w:rPr>
              <w:t>1,761.3 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19831C"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C79D65"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EDE576" w14:textId="77777777" w:rsidR="00000000" w:rsidRDefault="00C01C43">
            <w:pPr>
              <w:jc w:val="right"/>
              <w:rPr>
                <w:rFonts w:eastAsia="Times New Roman"/>
              </w:rPr>
            </w:pPr>
            <w:r>
              <w:rPr>
                <w:rFonts w:ascii="Arial" w:eastAsia="Times New Roman" w:hAnsi="Arial" w:cs="Arial"/>
                <w:color w:val="000000"/>
                <w:sz w:val="15"/>
                <w:szCs w:val="15"/>
              </w:rPr>
              <w:t>(146.3)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88BB6D"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8B4374"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A78079" w14:textId="77777777" w:rsidR="00000000" w:rsidRDefault="00C01C43">
            <w:pPr>
              <w:jc w:val="right"/>
              <w:rPr>
                <w:rFonts w:eastAsia="Times New Roman"/>
              </w:rPr>
            </w:pPr>
            <w:r>
              <w:rPr>
                <w:rFonts w:ascii="Arial" w:eastAsia="Times New Roman" w:hAnsi="Arial" w:cs="Arial"/>
                <w:color w:val="000000"/>
                <w:sz w:val="15"/>
                <w:szCs w:val="15"/>
              </w:rPr>
              <w:t>1,890.4 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F878CD"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3F17F4"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86D06C" w14:textId="77777777" w:rsidR="00000000" w:rsidRDefault="00C01C43">
            <w:pPr>
              <w:jc w:val="right"/>
              <w:rPr>
                <w:rFonts w:eastAsia="Times New Roman"/>
              </w:rPr>
            </w:pPr>
            <w:r>
              <w:rPr>
                <w:rFonts w:ascii="Arial" w:eastAsia="Times New Roman" w:hAnsi="Arial" w:cs="Arial"/>
                <w:color w:val="000000"/>
                <w:sz w:val="15"/>
                <w:szCs w:val="15"/>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F67E8C"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61AD5B"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44567F" w14:textId="77777777" w:rsidR="00000000" w:rsidRDefault="00C01C43">
            <w:pPr>
              <w:jc w:val="right"/>
              <w:rPr>
                <w:rFonts w:eastAsia="Times New Roman"/>
              </w:rPr>
            </w:pPr>
            <w:r>
              <w:rPr>
                <w:rFonts w:ascii="Arial" w:eastAsia="Times New Roman" w:hAnsi="Arial" w:cs="Arial"/>
                <w:color w:val="000000"/>
                <w:sz w:val="15"/>
                <w:szCs w:val="15"/>
              </w:rPr>
              <w:t>1,893.9 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B72931" w14:textId="77777777" w:rsidR="00000000" w:rsidRDefault="00C01C43">
            <w:pPr>
              <w:jc w:val="right"/>
              <w:rPr>
                <w:rFonts w:eastAsia="Times New Roman"/>
              </w:rPr>
            </w:pPr>
          </w:p>
        </w:tc>
      </w:tr>
      <w:tr w:rsidR="00000000" w14:paraId="3A56A07B" w14:textId="77777777">
        <w:trPr>
          <w:divId w:val="2080210473"/>
        </w:trPr>
        <w:tc>
          <w:tcPr>
            <w:tcW w:w="0" w:type="auto"/>
            <w:gridSpan w:val="3"/>
            <w:shd w:val="clear" w:color="auto" w:fill="FFFFFF"/>
            <w:tcMar>
              <w:top w:w="30" w:type="dxa"/>
              <w:left w:w="20" w:type="dxa"/>
              <w:bottom w:w="30" w:type="dxa"/>
              <w:right w:w="20" w:type="dxa"/>
            </w:tcMar>
            <w:vAlign w:val="bottom"/>
            <w:hideMark/>
          </w:tcPr>
          <w:p w14:paraId="38931AB7" w14:textId="77777777" w:rsidR="00000000" w:rsidRDefault="00C01C43">
            <w:pPr>
              <w:rPr>
                <w:rFonts w:eastAsia="Times New Roman"/>
              </w:rPr>
            </w:pPr>
            <w:r>
              <w:rPr>
                <w:rFonts w:ascii="Arial" w:eastAsia="Times New Roman" w:hAnsi="Arial" w:cs="Arial"/>
                <w:color w:val="000000"/>
                <w:sz w:val="15"/>
                <w:szCs w:val="15"/>
              </w:rPr>
              <w:t>Net income (loss)</w:t>
            </w:r>
          </w:p>
        </w:tc>
        <w:tc>
          <w:tcPr>
            <w:tcW w:w="0" w:type="auto"/>
            <w:gridSpan w:val="2"/>
            <w:shd w:val="clear" w:color="auto" w:fill="FFFFFF"/>
            <w:tcMar>
              <w:top w:w="30" w:type="dxa"/>
              <w:left w:w="20" w:type="dxa"/>
              <w:bottom w:w="30" w:type="dxa"/>
              <w:right w:w="0" w:type="dxa"/>
            </w:tcMar>
            <w:vAlign w:val="bottom"/>
            <w:hideMark/>
          </w:tcPr>
          <w:p w14:paraId="7E74B46B"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5E3A7A2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6E4D1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905A67"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3AE8DC3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55DA3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A04EF7"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5B01FFF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4B2D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0CECD7" w14:textId="77777777" w:rsidR="00000000" w:rsidRDefault="00C01C43">
            <w:pPr>
              <w:jc w:val="right"/>
              <w:rPr>
                <w:rFonts w:eastAsia="Times New Roman"/>
              </w:rPr>
            </w:pPr>
            <w:r>
              <w:rPr>
                <w:rFonts w:ascii="Arial" w:eastAsia="Times New Roman" w:hAnsi="Arial" w:cs="Arial"/>
                <w:color w:val="000000"/>
                <w:sz w:val="15"/>
                <w:szCs w:val="15"/>
              </w:rPr>
              <w:t>109.6 </w:t>
            </w:r>
          </w:p>
        </w:tc>
        <w:tc>
          <w:tcPr>
            <w:tcW w:w="0" w:type="auto"/>
            <w:shd w:val="clear" w:color="auto" w:fill="FFFFFF"/>
            <w:tcMar>
              <w:top w:w="30" w:type="dxa"/>
              <w:left w:w="0" w:type="dxa"/>
              <w:bottom w:w="30" w:type="dxa"/>
              <w:right w:w="20" w:type="dxa"/>
            </w:tcMar>
            <w:vAlign w:val="bottom"/>
            <w:hideMark/>
          </w:tcPr>
          <w:p w14:paraId="51E6EA1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05E0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1450A4"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1D66877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7723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5723B" w14:textId="77777777" w:rsidR="00000000" w:rsidRDefault="00C01C43">
            <w:pPr>
              <w:jc w:val="right"/>
              <w:rPr>
                <w:rFonts w:eastAsia="Times New Roman"/>
              </w:rPr>
            </w:pPr>
            <w:r>
              <w:rPr>
                <w:rFonts w:ascii="Arial" w:eastAsia="Times New Roman" w:hAnsi="Arial" w:cs="Arial"/>
                <w:color w:val="000000"/>
                <w:sz w:val="15"/>
                <w:szCs w:val="15"/>
              </w:rPr>
              <w:t>109.6 </w:t>
            </w:r>
          </w:p>
        </w:tc>
        <w:tc>
          <w:tcPr>
            <w:tcW w:w="0" w:type="auto"/>
            <w:shd w:val="clear" w:color="auto" w:fill="FFFFFF"/>
            <w:tcMar>
              <w:top w:w="30" w:type="dxa"/>
              <w:left w:w="0" w:type="dxa"/>
              <w:bottom w:w="30" w:type="dxa"/>
              <w:right w:w="20" w:type="dxa"/>
            </w:tcMar>
            <w:vAlign w:val="bottom"/>
            <w:hideMark/>
          </w:tcPr>
          <w:p w14:paraId="184C41D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87870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54569D" w14:textId="77777777" w:rsidR="00000000" w:rsidRDefault="00C01C43">
            <w:pPr>
              <w:jc w:val="right"/>
              <w:rPr>
                <w:rFonts w:eastAsia="Times New Roman"/>
              </w:rPr>
            </w:pPr>
            <w:r>
              <w:rPr>
                <w:rFonts w:ascii="Arial" w:eastAsia="Times New Roman" w:hAnsi="Arial" w:cs="Arial"/>
                <w:color w:val="000000"/>
                <w:sz w:val="15"/>
                <w:szCs w:val="15"/>
              </w:rPr>
              <w:t>0.1 </w:t>
            </w:r>
          </w:p>
        </w:tc>
        <w:tc>
          <w:tcPr>
            <w:tcW w:w="0" w:type="auto"/>
            <w:shd w:val="clear" w:color="auto" w:fill="FFFFFF"/>
            <w:tcMar>
              <w:top w:w="30" w:type="dxa"/>
              <w:left w:w="0" w:type="dxa"/>
              <w:bottom w:w="30" w:type="dxa"/>
              <w:right w:w="20" w:type="dxa"/>
            </w:tcMar>
            <w:vAlign w:val="bottom"/>
            <w:hideMark/>
          </w:tcPr>
          <w:p w14:paraId="008B7F8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93F1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E6C474" w14:textId="77777777" w:rsidR="00000000" w:rsidRDefault="00C01C43">
            <w:pPr>
              <w:jc w:val="right"/>
              <w:rPr>
                <w:rFonts w:eastAsia="Times New Roman"/>
              </w:rPr>
            </w:pPr>
            <w:r>
              <w:rPr>
                <w:rFonts w:ascii="Arial" w:eastAsia="Times New Roman" w:hAnsi="Arial" w:cs="Arial"/>
                <w:color w:val="000000"/>
                <w:sz w:val="15"/>
                <w:szCs w:val="15"/>
              </w:rPr>
              <w:t>109.6 </w:t>
            </w:r>
          </w:p>
        </w:tc>
        <w:tc>
          <w:tcPr>
            <w:tcW w:w="0" w:type="auto"/>
            <w:shd w:val="clear" w:color="auto" w:fill="FFFFFF"/>
            <w:tcMar>
              <w:top w:w="30" w:type="dxa"/>
              <w:left w:w="0" w:type="dxa"/>
              <w:bottom w:w="30" w:type="dxa"/>
              <w:right w:w="20" w:type="dxa"/>
            </w:tcMar>
            <w:vAlign w:val="bottom"/>
            <w:hideMark/>
          </w:tcPr>
          <w:p w14:paraId="7D0B6CB7" w14:textId="77777777" w:rsidR="00000000" w:rsidRDefault="00C01C43">
            <w:pPr>
              <w:jc w:val="right"/>
              <w:rPr>
                <w:rFonts w:eastAsia="Times New Roman"/>
              </w:rPr>
            </w:pPr>
          </w:p>
        </w:tc>
      </w:tr>
      <w:tr w:rsidR="00000000" w14:paraId="19DA85BC" w14:textId="77777777">
        <w:trPr>
          <w:divId w:val="2080210473"/>
        </w:trPr>
        <w:tc>
          <w:tcPr>
            <w:tcW w:w="0" w:type="auto"/>
            <w:gridSpan w:val="3"/>
            <w:shd w:val="clear" w:color="auto" w:fill="CCEEFF"/>
            <w:tcMar>
              <w:top w:w="30" w:type="dxa"/>
              <w:left w:w="20" w:type="dxa"/>
              <w:bottom w:w="30" w:type="dxa"/>
              <w:right w:w="20" w:type="dxa"/>
            </w:tcMar>
            <w:vAlign w:val="bottom"/>
            <w:hideMark/>
          </w:tcPr>
          <w:p w14:paraId="28575172" w14:textId="77777777" w:rsidR="00000000" w:rsidRDefault="00C01C43">
            <w:pPr>
              <w:rPr>
                <w:rFonts w:eastAsia="Times New Roman"/>
              </w:rPr>
            </w:pPr>
            <w:r>
              <w:rPr>
                <w:rFonts w:ascii="Arial" w:eastAsia="Times New Roman" w:hAnsi="Arial" w:cs="Arial"/>
                <w:color w:val="000000"/>
                <w:sz w:val="15"/>
                <w:szCs w:val="15"/>
              </w:rPr>
              <w:t>Cumulative effect of change in accounting principl</w:t>
            </w:r>
            <w:r>
              <w:rPr>
                <w:rFonts w:ascii="Arial" w:eastAsia="Times New Roman" w:hAnsi="Arial" w:cs="Arial"/>
                <w:color w:val="000000"/>
                <w:sz w:val="15"/>
                <w:szCs w:val="15"/>
              </w:rPr>
              <w:t>e</w:t>
            </w:r>
          </w:p>
        </w:tc>
        <w:tc>
          <w:tcPr>
            <w:tcW w:w="0" w:type="auto"/>
            <w:gridSpan w:val="2"/>
            <w:shd w:val="clear" w:color="auto" w:fill="CCEEFF"/>
            <w:tcMar>
              <w:top w:w="30" w:type="dxa"/>
              <w:left w:w="20" w:type="dxa"/>
              <w:bottom w:w="30" w:type="dxa"/>
              <w:right w:w="0" w:type="dxa"/>
            </w:tcMar>
            <w:vAlign w:val="bottom"/>
            <w:hideMark/>
          </w:tcPr>
          <w:p w14:paraId="38DC562F"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77E325C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2C77C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FB7073"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5D15A1E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FEDC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810E16"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4E0616F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BEBA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7D45E9" w14:textId="77777777" w:rsidR="00000000" w:rsidRDefault="00C01C43">
            <w:pPr>
              <w:jc w:val="right"/>
              <w:rPr>
                <w:rFonts w:eastAsia="Times New Roman"/>
              </w:rPr>
            </w:pPr>
            <w:r>
              <w:rPr>
                <w:rFonts w:ascii="Arial" w:eastAsia="Times New Roman" w:hAnsi="Arial" w:cs="Arial"/>
                <w:color w:val="000000"/>
                <w:sz w:val="15"/>
                <w:szCs w:val="15"/>
              </w:rPr>
              <w:t>(11.1)</w:t>
            </w:r>
          </w:p>
        </w:tc>
        <w:tc>
          <w:tcPr>
            <w:tcW w:w="0" w:type="auto"/>
            <w:shd w:val="clear" w:color="auto" w:fill="CCEEFF"/>
            <w:tcMar>
              <w:top w:w="30" w:type="dxa"/>
              <w:left w:w="0" w:type="dxa"/>
              <w:bottom w:w="30" w:type="dxa"/>
              <w:right w:w="20" w:type="dxa"/>
            </w:tcMar>
            <w:vAlign w:val="bottom"/>
            <w:hideMark/>
          </w:tcPr>
          <w:p w14:paraId="30EFAB0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7FF10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4F2F3A"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20D3A43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4F3A7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24CA1" w14:textId="77777777" w:rsidR="00000000" w:rsidRDefault="00C01C43">
            <w:pPr>
              <w:jc w:val="right"/>
              <w:rPr>
                <w:rFonts w:eastAsia="Times New Roman"/>
              </w:rPr>
            </w:pPr>
            <w:r>
              <w:rPr>
                <w:rFonts w:ascii="Arial" w:eastAsia="Times New Roman" w:hAnsi="Arial" w:cs="Arial"/>
                <w:color w:val="000000"/>
                <w:sz w:val="15"/>
                <w:szCs w:val="15"/>
              </w:rPr>
              <w:t>(11.1)</w:t>
            </w:r>
          </w:p>
        </w:tc>
        <w:tc>
          <w:tcPr>
            <w:tcW w:w="0" w:type="auto"/>
            <w:shd w:val="clear" w:color="auto" w:fill="CCEEFF"/>
            <w:tcMar>
              <w:top w:w="30" w:type="dxa"/>
              <w:left w:w="0" w:type="dxa"/>
              <w:bottom w:w="30" w:type="dxa"/>
              <w:right w:w="20" w:type="dxa"/>
            </w:tcMar>
            <w:vAlign w:val="bottom"/>
            <w:hideMark/>
          </w:tcPr>
          <w:p w14:paraId="75C2AA4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A83C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6E9FBE"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6CF3212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4C9D6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4055F6" w14:textId="77777777" w:rsidR="00000000" w:rsidRDefault="00C01C43">
            <w:pPr>
              <w:jc w:val="right"/>
              <w:rPr>
                <w:rFonts w:eastAsia="Times New Roman"/>
              </w:rPr>
            </w:pPr>
            <w:r>
              <w:rPr>
                <w:rFonts w:ascii="Arial" w:eastAsia="Times New Roman" w:hAnsi="Arial" w:cs="Arial"/>
                <w:color w:val="000000"/>
                <w:sz w:val="15"/>
                <w:szCs w:val="15"/>
              </w:rPr>
              <w:t>(11.1)</w:t>
            </w:r>
          </w:p>
        </w:tc>
        <w:tc>
          <w:tcPr>
            <w:tcW w:w="0" w:type="auto"/>
            <w:shd w:val="clear" w:color="auto" w:fill="CCEEFF"/>
            <w:tcMar>
              <w:top w:w="30" w:type="dxa"/>
              <w:left w:w="0" w:type="dxa"/>
              <w:bottom w:w="30" w:type="dxa"/>
              <w:right w:w="20" w:type="dxa"/>
            </w:tcMar>
            <w:vAlign w:val="bottom"/>
            <w:hideMark/>
          </w:tcPr>
          <w:p w14:paraId="332E7F68" w14:textId="77777777" w:rsidR="00000000" w:rsidRDefault="00C01C43">
            <w:pPr>
              <w:jc w:val="right"/>
              <w:rPr>
                <w:rFonts w:eastAsia="Times New Roman"/>
              </w:rPr>
            </w:pPr>
          </w:p>
        </w:tc>
      </w:tr>
      <w:tr w:rsidR="00000000" w14:paraId="4011A0C2" w14:textId="77777777">
        <w:trPr>
          <w:divId w:val="2080210473"/>
        </w:trPr>
        <w:tc>
          <w:tcPr>
            <w:tcW w:w="0" w:type="auto"/>
            <w:gridSpan w:val="3"/>
            <w:shd w:val="clear" w:color="auto" w:fill="FFFFFF"/>
            <w:tcMar>
              <w:top w:w="30" w:type="dxa"/>
              <w:left w:w="20" w:type="dxa"/>
              <w:bottom w:w="30" w:type="dxa"/>
              <w:right w:w="20" w:type="dxa"/>
            </w:tcMar>
            <w:vAlign w:val="bottom"/>
            <w:hideMark/>
          </w:tcPr>
          <w:p w14:paraId="6F4945AD" w14:textId="77777777" w:rsidR="00000000" w:rsidRDefault="00C01C43">
            <w:pPr>
              <w:rPr>
                <w:rFonts w:eastAsia="Times New Roman"/>
              </w:rPr>
            </w:pPr>
            <w:r>
              <w:rPr>
                <w:rFonts w:ascii="Arial" w:eastAsia="Times New Roman" w:hAnsi="Arial" w:cs="Arial"/>
                <w:color w:val="000000"/>
                <w:sz w:val="15"/>
                <w:szCs w:val="15"/>
              </w:rPr>
              <w:t>Cash dividends declared</w:t>
            </w:r>
          </w:p>
        </w:tc>
        <w:tc>
          <w:tcPr>
            <w:tcW w:w="0" w:type="auto"/>
            <w:gridSpan w:val="2"/>
            <w:shd w:val="clear" w:color="auto" w:fill="FFFFFF"/>
            <w:tcMar>
              <w:top w:w="30" w:type="dxa"/>
              <w:left w:w="20" w:type="dxa"/>
              <w:bottom w:w="30" w:type="dxa"/>
              <w:right w:w="0" w:type="dxa"/>
            </w:tcMar>
            <w:vAlign w:val="bottom"/>
            <w:hideMark/>
          </w:tcPr>
          <w:p w14:paraId="6902E984"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2FC56DE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1627E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05EC30"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7B42BF6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5EE0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7A002D"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2365929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4A4D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2374C3" w14:textId="77777777" w:rsidR="00000000" w:rsidRDefault="00C01C43">
            <w:pPr>
              <w:jc w:val="right"/>
              <w:rPr>
                <w:rFonts w:eastAsia="Times New Roman"/>
              </w:rPr>
            </w:pPr>
            <w:r>
              <w:rPr>
                <w:rFonts w:ascii="Arial" w:eastAsia="Times New Roman" w:hAnsi="Arial" w:cs="Arial"/>
                <w:color w:val="000000"/>
                <w:sz w:val="15"/>
                <w:szCs w:val="15"/>
              </w:rPr>
              <w:t>(25.5)</w:t>
            </w:r>
          </w:p>
        </w:tc>
        <w:tc>
          <w:tcPr>
            <w:tcW w:w="0" w:type="auto"/>
            <w:shd w:val="clear" w:color="auto" w:fill="FFFFFF"/>
            <w:tcMar>
              <w:top w:w="30" w:type="dxa"/>
              <w:left w:w="0" w:type="dxa"/>
              <w:bottom w:w="30" w:type="dxa"/>
              <w:right w:w="20" w:type="dxa"/>
            </w:tcMar>
            <w:vAlign w:val="bottom"/>
            <w:hideMark/>
          </w:tcPr>
          <w:p w14:paraId="1E43355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1C53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D77F76"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6E41995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4D01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D0A7D9" w14:textId="77777777" w:rsidR="00000000" w:rsidRDefault="00C01C43">
            <w:pPr>
              <w:jc w:val="right"/>
              <w:rPr>
                <w:rFonts w:eastAsia="Times New Roman"/>
              </w:rPr>
            </w:pPr>
            <w:r>
              <w:rPr>
                <w:rFonts w:ascii="Arial" w:eastAsia="Times New Roman" w:hAnsi="Arial" w:cs="Arial"/>
                <w:color w:val="000000"/>
                <w:sz w:val="15"/>
                <w:szCs w:val="15"/>
              </w:rPr>
              <w:t>(25.5)</w:t>
            </w:r>
          </w:p>
        </w:tc>
        <w:tc>
          <w:tcPr>
            <w:tcW w:w="0" w:type="auto"/>
            <w:shd w:val="clear" w:color="auto" w:fill="FFFFFF"/>
            <w:tcMar>
              <w:top w:w="30" w:type="dxa"/>
              <w:left w:w="0" w:type="dxa"/>
              <w:bottom w:w="30" w:type="dxa"/>
              <w:right w:w="20" w:type="dxa"/>
            </w:tcMar>
            <w:vAlign w:val="bottom"/>
            <w:hideMark/>
          </w:tcPr>
          <w:p w14:paraId="25C41C5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F9CF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B51FB3"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788DCE9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BA2B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DF20E0" w14:textId="77777777" w:rsidR="00000000" w:rsidRDefault="00C01C43">
            <w:pPr>
              <w:jc w:val="right"/>
              <w:rPr>
                <w:rFonts w:eastAsia="Times New Roman"/>
              </w:rPr>
            </w:pPr>
            <w:r>
              <w:rPr>
                <w:rFonts w:ascii="Arial" w:eastAsia="Times New Roman" w:hAnsi="Arial" w:cs="Arial"/>
                <w:color w:val="000000"/>
                <w:sz w:val="15"/>
                <w:szCs w:val="15"/>
              </w:rPr>
              <w:t>(25.5)</w:t>
            </w:r>
          </w:p>
        </w:tc>
        <w:tc>
          <w:tcPr>
            <w:tcW w:w="0" w:type="auto"/>
            <w:shd w:val="clear" w:color="auto" w:fill="FFFFFF"/>
            <w:tcMar>
              <w:top w:w="30" w:type="dxa"/>
              <w:left w:w="0" w:type="dxa"/>
              <w:bottom w:w="30" w:type="dxa"/>
              <w:right w:w="20" w:type="dxa"/>
            </w:tcMar>
            <w:vAlign w:val="bottom"/>
            <w:hideMark/>
          </w:tcPr>
          <w:p w14:paraId="77FD00B9" w14:textId="77777777" w:rsidR="00000000" w:rsidRDefault="00C01C43">
            <w:pPr>
              <w:jc w:val="right"/>
              <w:rPr>
                <w:rFonts w:eastAsia="Times New Roman"/>
              </w:rPr>
            </w:pPr>
          </w:p>
        </w:tc>
      </w:tr>
      <w:tr w:rsidR="00000000" w14:paraId="1335345E" w14:textId="77777777">
        <w:trPr>
          <w:divId w:val="2080210473"/>
        </w:trPr>
        <w:tc>
          <w:tcPr>
            <w:tcW w:w="0" w:type="auto"/>
            <w:gridSpan w:val="3"/>
            <w:shd w:val="clear" w:color="auto" w:fill="CCEEFF"/>
            <w:tcMar>
              <w:top w:w="30" w:type="dxa"/>
              <w:left w:w="20" w:type="dxa"/>
              <w:bottom w:w="30" w:type="dxa"/>
              <w:right w:w="20" w:type="dxa"/>
            </w:tcMar>
            <w:vAlign w:val="bottom"/>
            <w:hideMark/>
          </w:tcPr>
          <w:p w14:paraId="7F510D83" w14:textId="77777777" w:rsidR="00000000" w:rsidRDefault="00C01C43">
            <w:pPr>
              <w:rPr>
                <w:rFonts w:eastAsia="Times New Roman"/>
              </w:rPr>
            </w:pPr>
            <w:r>
              <w:rPr>
                <w:rFonts w:ascii="Arial" w:eastAsia="Times New Roman" w:hAnsi="Arial" w:cs="Arial"/>
                <w:color w:val="000000"/>
                <w:sz w:val="15"/>
                <w:szCs w:val="15"/>
              </w:rPr>
              <w:t>Amortization of share-based payment awards</w:t>
            </w:r>
          </w:p>
        </w:tc>
        <w:tc>
          <w:tcPr>
            <w:tcW w:w="0" w:type="auto"/>
            <w:gridSpan w:val="2"/>
            <w:shd w:val="clear" w:color="auto" w:fill="CCEEFF"/>
            <w:tcMar>
              <w:top w:w="30" w:type="dxa"/>
              <w:left w:w="20" w:type="dxa"/>
              <w:bottom w:w="30" w:type="dxa"/>
              <w:right w:w="0" w:type="dxa"/>
            </w:tcMar>
            <w:vAlign w:val="bottom"/>
            <w:hideMark/>
          </w:tcPr>
          <w:p w14:paraId="63804F07"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4C64A3D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F842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AE3D83"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3D7AA6E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1BD5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AA83A2" w14:textId="77777777" w:rsidR="00000000" w:rsidRDefault="00C01C43">
            <w:pPr>
              <w:jc w:val="right"/>
              <w:rPr>
                <w:rFonts w:eastAsia="Times New Roman"/>
              </w:rPr>
            </w:pPr>
            <w:r>
              <w:rPr>
                <w:rFonts w:ascii="Arial" w:eastAsia="Times New Roman" w:hAnsi="Arial" w:cs="Arial"/>
                <w:color w:val="000000"/>
                <w:sz w:val="15"/>
                <w:szCs w:val="15"/>
              </w:rPr>
              <w:t>(1.1)</w:t>
            </w:r>
          </w:p>
        </w:tc>
        <w:tc>
          <w:tcPr>
            <w:tcW w:w="0" w:type="auto"/>
            <w:shd w:val="clear" w:color="auto" w:fill="CCEEFF"/>
            <w:tcMar>
              <w:top w:w="30" w:type="dxa"/>
              <w:left w:w="0" w:type="dxa"/>
              <w:bottom w:w="30" w:type="dxa"/>
              <w:right w:w="20" w:type="dxa"/>
            </w:tcMar>
            <w:vAlign w:val="bottom"/>
            <w:hideMark/>
          </w:tcPr>
          <w:p w14:paraId="7588B87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1891A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9996C0"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45393C1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2E6E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209CEF"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05314A1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F39F2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2D9CB7" w14:textId="77777777" w:rsidR="00000000" w:rsidRDefault="00C01C43">
            <w:pPr>
              <w:jc w:val="right"/>
              <w:rPr>
                <w:rFonts w:eastAsia="Times New Roman"/>
              </w:rPr>
            </w:pPr>
            <w:r>
              <w:rPr>
                <w:rFonts w:ascii="Arial" w:eastAsia="Times New Roman" w:hAnsi="Arial" w:cs="Arial"/>
                <w:color w:val="000000"/>
                <w:sz w:val="15"/>
                <w:szCs w:val="15"/>
              </w:rPr>
              <w:t>(1.1)</w:t>
            </w:r>
          </w:p>
        </w:tc>
        <w:tc>
          <w:tcPr>
            <w:tcW w:w="0" w:type="auto"/>
            <w:shd w:val="clear" w:color="auto" w:fill="CCEEFF"/>
            <w:tcMar>
              <w:top w:w="30" w:type="dxa"/>
              <w:left w:w="0" w:type="dxa"/>
              <w:bottom w:w="30" w:type="dxa"/>
              <w:right w:w="20" w:type="dxa"/>
            </w:tcMar>
            <w:vAlign w:val="bottom"/>
            <w:hideMark/>
          </w:tcPr>
          <w:p w14:paraId="37E21AD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D1F7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1E201A"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7CC2850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77041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E49B07" w14:textId="77777777" w:rsidR="00000000" w:rsidRDefault="00C01C43">
            <w:pPr>
              <w:jc w:val="right"/>
              <w:rPr>
                <w:rFonts w:eastAsia="Times New Roman"/>
              </w:rPr>
            </w:pPr>
            <w:r>
              <w:rPr>
                <w:rFonts w:ascii="Arial" w:eastAsia="Times New Roman" w:hAnsi="Arial" w:cs="Arial"/>
                <w:color w:val="000000"/>
                <w:sz w:val="15"/>
                <w:szCs w:val="15"/>
              </w:rPr>
              <w:t>(1.1)</w:t>
            </w:r>
          </w:p>
        </w:tc>
        <w:tc>
          <w:tcPr>
            <w:tcW w:w="0" w:type="auto"/>
            <w:shd w:val="clear" w:color="auto" w:fill="CCEEFF"/>
            <w:tcMar>
              <w:top w:w="30" w:type="dxa"/>
              <w:left w:w="0" w:type="dxa"/>
              <w:bottom w:w="30" w:type="dxa"/>
              <w:right w:w="20" w:type="dxa"/>
            </w:tcMar>
            <w:vAlign w:val="bottom"/>
            <w:hideMark/>
          </w:tcPr>
          <w:p w14:paraId="021C4FFC" w14:textId="77777777" w:rsidR="00000000" w:rsidRDefault="00C01C43">
            <w:pPr>
              <w:jc w:val="right"/>
              <w:rPr>
                <w:rFonts w:eastAsia="Times New Roman"/>
              </w:rPr>
            </w:pPr>
          </w:p>
        </w:tc>
      </w:tr>
      <w:tr w:rsidR="00000000" w14:paraId="4AAA3D30" w14:textId="77777777">
        <w:trPr>
          <w:divId w:val="2080210473"/>
        </w:trPr>
        <w:tc>
          <w:tcPr>
            <w:tcW w:w="0" w:type="auto"/>
            <w:gridSpan w:val="3"/>
            <w:shd w:val="clear" w:color="auto" w:fill="FFFFFF"/>
            <w:tcMar>
              <w:top w:w="30" w:type="dxa"/>
              <w:left w:w="20" w:type="dxa"/>
              <w:bottom w:w="30" w:type="dxa"/>
              <w:right w:w="20" w:type="dxa"/>
            </w:tcMar>
            <w:vAlign w:val="bottom"/>
            <w:hideMark/>
          </w:tcPr>
          <w:p w14:paraId="7B26A801" w14:textId="77777777" w:rsidR="00000000" w:rsidRDefault="00C01C43">
            <w:pPr>
              <w:rPr>
                <w:rFonts w:eastAsia="Times New Roman"/>
              </w:rPr>
            </w:pPr>
            <w:r>
              <w:rPr>
                <w:rFonts w:ascii="Arial" w:eastAsia="Times New Roman" w:hAnsi="Arial" w:cs="Arial"/>
                <w:color w:val="000000"/>
                <w:sz w:val="15"/>
                <w:szCs w:val="15"/>
              </w:rPr>
              <w:t>Issuance (cancellation) of common stock related to share-based payment awards</w:t>
            </w:r>
          </w:p>
        </w:tc>
        <w:tc>
          <w:tcPr>
            <w:tcW w:w="0" w:type="auto"/>
            <w:gridSpan w:val="2"/>
            <w:shd w:val="clear" w:color="auto" w:fill="FFFFFF"/>
            <w:tcMar>
              <w:top w:w="30" w:type="dxa"/>
              <w:left w:w="20" w:type="dxa"/>
              <w:bottom w:w="30" w:type="dxa"/>
              <w:right w:w="0" w:type="dxa"/>
            </w:tcMar>
            <w:vAlign w:val="bottom"/>
            <w:hideMark/>
          </w:tcPr>
          <w:p w14:paraId="15082581" w14:textId="77777777" w:rsidR="00000000" w:rsidRDefault="00C01C43">
            <w:pPr>
              <w:jc w:val="right"/>
              <w:rPr>
                <w:rFonts w:eastAsia="Times New Roman"/>
              </w:rPr>
            </w:pPr>
            <w:r>
              <w:rPr>
                <w:rFonts w:ascii="Arial" w:eastAsia="Times New Roman" w:hAnsi="Arial" w:cs="Arial"/>
                <w:color w:val="000000"/>
                <w:sz w:val="15"/>
                <w:szCs w:val="15"/>
              </w:rPr>
              <w:t>0.3 </w:t>
            </w:r>
          </w:p>
        </w:tc>
        <w:tc>
          <w:tcPr>
            <w:tcW w:w="0" w:type="auto"/>
            <w:shd w:val="clear" w:color="auto" w:fill="FFFFFF"/>
            <w:tcMar>
              <w:top w:w="30" w:type="dxa"/>
              <w:left w:w="0" w:type="dxa"/>
              <w:bottom w:w="30" w:type="dxa"/>
              <w:right w:w="20" w:type="dxa"/>
            </w:tcMar>
            <w:vAlign w:val="bottom"/>
            <w:hideMark/>
          </w:tcPr>
          <w:p w14:paraId="7493722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EDCB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B557D5"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2DF73E9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28701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60B7F0" w14:textId="77777777" w:rsidR="00000000" w:rsidRDefault="00C01C43">
            <w:pPr>
              <w:jc w:val="right"/>
              <w:rPr>
                <w:rFonts w:eastAsia="Times New Roman"/>
              </w:rPr>
            </w:pPr>
            <w:r>
              <w:rPr>
                <w:rFonts w:ascii="Arial" w:eastAsia="Times New Roman" w:hAnsi="Arial" w:cs="Arial"/>
                <w:color w:val="000000"/>
                <w:sz w:val="15"/>
                <w:szCs w:val="15"/>
              </w:rPr>
              <w:t>1.2 </w:t>
            </w:r>
          </w:p>
        </w:tc>
        <w:tc>
          <w:tcPr>
            <w:tcW w:w="0" w:type="auto"/>
            <w:shd w:val="clear" w:color="auto" w:fill="FFFFFF"/>
            <w:tcMar>
              <w:top w:w="30" w:type="dxa"/>
              <w:left w:w="0" w:type="dxa"/>
              <w:bottom w:w="30" w:type="dxa"/>
              <w:right w:w="20" w:type="dxa"/>
            </w:tcMar>
            <w:vAlign w:val="bottom"/>
            <w:hideMark/>
          </w:tcPr>
          <w:p w14:paraId="247D31A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E6B33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770C01"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41466B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B4767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313E65"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F33850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8248C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30180D" w14:textId="77777777" w:rsidR="00000000" w:rsidRDefault="00C01C43">
            <w:pPr>
              <w:jc w:val="right"/>
              <w:rPr>
                <w:rFonts w:eastAsia="Times New Roman"/>
              </w:rPr>
            </w:pPr>
            <w:r>
              <w:rPr>
                <w:rFonts w:ascii="Arial" w:eastAsia="Times New Roman" w:hAnsi="Arial" w:cs="Arial"/>
                <w:color w:val="000000"/>
                <w:sz w:val="15"/>
                <w:szCs w:val="15"/>
              </w:rPr>
              <w:t>1.2 </w:t>
            </w:r>
          </w:p>
        </w:tc>
        <w:tc>
          <w:tcPr>
            <w:tcW w:w="0" w:type="auto"/>
            <w:shd w:val="clear" w:color="auto" w:fill="FFFFFF"/>
            <w:tcMar>
              <w:top w:w="30" w:type="dxa"/>
              <w:left w:w="0" w:type="dxa"/>
              <w:bottom w:w="30" w:type="dxa"/>
              <w:right w:w="20" w:type="dxa"/>
            </w:tcMar>
            <w:vAlign w:val="bottom"/>
            <w:hideMark/>
          </w:tcPr>
          <w:p w14:paraId="43175EF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25AE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864CD2"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103E0CB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7A04E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1AA52C" w14:textId="77777777" w:rsidR="00000000" w:rsidRDefault="00C01C43">
            <w:pPr>
              <w:jc w:val="right"/>
              <w:rPr>
                <w:rFonts w:eastAsia="Times New Roman"/>
              </w:rPr>
            </w:pPr>
            <w:r>
              <w:rPr>
                <w:rFonts w:ascii="Arial" w:eastAsia="Times New Roman" w:hAnsi="Arial" w:cs="Arial"/>
                <w:color w:val="000000"/>
                <w:sz w:val="15"/>
                <w:szCs w:val="15"/>
              </w:rPr>
              <w:t>1.2 </w:t>
            </w:r>
          </w:p>
        </w:tc>
        <w:tc>
          <w:tcPr>
            <w:tcW w:w="0" w:type="auto"/>
            <w:shd w:val="clear" w:color="auto" w:fill="FFFFFF"/>
            <w:tcMar>
              <w:top w:w="30" w:type="dxa"/>
              <w:left w:w="0" w:type="dxa"/>
              <w:bottom w:w="30" w:type="dxa"/>
              <w:right w:w="20" w:type="dxa"/>
            </w:tcMar>
            <w:vAlign w:val="bottom"/>
            <w:hideMark/>
          </w:tcPr>
          <w:p w14:paraId="1C3F7CFA" w14:textId="77777777" w:rsidR="00000000" w:rsidRDefault="00C01C43">
            <w:pPr>
              <w:jc w:val="right"/>
              <w:rPr>
                <w:rFonts w:eastAsia="Times New Roman"/>
              </w:rPr>
            </w:pPr>
          </w:p>
        </w:tc>
      </w:tr>
      <w:tr w:rsidR="00000000" w14:paraId="67A22FE1" w14:textId="77777777">
        <w:trPr>
          <w:divId w:val="2080210473"/>
        </w:trPr>
        <w:tc>
          <w:tcPr>
            <w:tcW w:w="0" w:type="auto"/>
            <w:gridSpan w:val="3"/>
            <w:shd w:val="clear" w:color="auto" w:fill="CCEEFF"/>
            <w:tcMar>
              <w:top w:w="30" w:type="dxa"/>
              <w:left w:w="20" w:type="dxa"/>
              <w:bottom w:w="30" w:type="dxa"/>
              <w:right w:w="20" w:type="dxa"/>
            </w:tcMar>
            <w:vAlign w:val="bottom"/>
            <w:hideMark/>
          </w:tcPr>
          <w:p w14:paraId="7FFA4761" w14:textId="77777777" w:rsidR="00000000" w:rsidRDefault="00C01C43">
            <w:pPr>
              <w:rPr>
                <w:rFonts w:eastAsia="Times New Roman"/>
              </w:rPr>
            </w:pPr>
            <w:r>
              <w:rPr>
                <w:rFonts w:ascii="Arial" w:eastAsia="Times New Roman" w:hAnsi="Arial" w:cs="Arial"/>
                <w:color w:val="000000"/>
                <w:sz w:val="15"/>
                <w:szCs w:val="15"/>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14:paraId="3F91587D"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45FC7DD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37C9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7E7EA6"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46CD741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B28F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8E5AD4" w14:textId="77777777" w:rsidR="00000000" w:rsidRDefault="00C01C43">
            <w:pPr>
              <w:jc w:val="right"/>
              <w:rPr>
                <w:rFonts w:eastAsia="Times New Roman"/>
              </w:rPr>
            </w:pPr>
            <w:r>
              <w:rPr>
                <w:rFonts w:ascii="Arial" w:eastAsia="Times New Roman" w:hAnsi="Arial" w:cs="Arial"/>
                <w:color w:val="000000"/>
                <w:sz w:val="15"/>
                <w:szCs w:val="15"/>
              </w:rPr>
              <w:t>(3.1)</w:t>
            </w:r>
          </w:p>
        </w:tc>
        <w:tc>
          <w:tcPr>
            <w:tcW w:w="0" w:type="auto"/>
            <w:shd w:val="clear" w:color="auto" w:fill="CCEEFF"/>
            <w:tcMar>
              <w:top w:w="30" w:type="dxa"/>
              <w:left w:w="0" w:type="dxa"/>
              <w:bottom w:w="30" w:type="dxa"/>
              <w:right w:w="20" w:type="dxa"/>
            </w:tcMar>
            <w:vAlign w:val="bottom"/>
            <w:hideMark/>
          </w:tcPr>
          <w:p w14:paraId="4A3F301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258BB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6EF59B"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07D0FF4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DCA3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46DA4"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490EDA3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614D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EA8A66" w14:textId="77777777" w:rsidR="00000000" w:rsidRDefault="00C01C43">
            <w:pPr>
              <w:jc w:val="right"/>
              <w:rPr>
                <w:rFonts w:eastAsia="Times New Roman"/>
              </w:rPr>
            </w:pPr>
            <w:r>
              <w:rPr>
                <w:rFonts w:ascii="Arial" w:eastAsia="Times New Roman" w:hAnsi="Arial" w:cs="Arial"/>
                <w:color w:val="000000"/>
                <w:sz w:val="15"/>
                <w:szCs w:val="15"/>
              </w:rPr>
              <w:t>(3.1)</w:t>
            </w:r>
          </w:p>
        </w:tc>
        <w:tc>
          <w:tcPr>
            <w:tcW w:w="0" w:type="auto"/>
            <w:shd w:val="clear" w:color="auto" w:fill="CCEEFF"/>
            <w:tcMar>
              <w:top w:w="30" w:type="dxa"/>
              <w:left w:w="0" w:type="dxa"/>
              <w:bottom w:w="30" w:type="dxa"/>
              <w:right w:w="20" w:type="dxa"/>
            </w:tcMar>
            <w:vAlign w:val="bottom"/>
            <w:hideMark/>
          </w:tcPr>
          <w:p w14:paraId="34CC1C0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5D3D5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074744"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7345BD9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6308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017927" w14:textId="77777777" w:rsidR="00000000" w:rsidRDefault="00C01C43">
            <w:pPr>
              <w:jc w:val="right"/>
              <w:rPr>
                <w:rFonts w:eastAsia="Times New Roman"/>
              </w:rPr>
            </w:pPr>
            <w:r>
              <w:rPr>
                <w:rFonts w:ascii="Arial" w:eastAsia="Times New Roman" w:hAnsi="Arial" w:cs="Arial"/>
                <w:color w:val="000000"/>
                <w:sz w:val="15"/>
                <w:szCs w:val="15"/>
              </w:rPr>
              <w:t>(3.1)</w:t>
            </w:r>
          </w:p>
        </w:tc>
        <w:tc>
          <w:tcPr>
            <w:tcW w:w="0" w:type="auto"/>
            <w:shd w:val="clear" w:color="auto" w:fill="CCEEFF"/>
            <w:tcMar>
              <w:top w:w="30" w:type="dxa"/>
              <w:left w:w="0" w:type="dxa"/>
              <w:bottom w:w="30" w:type="dxa"/>
              <w:right w:w="20" w:type="dxa"/>
            </w:tcMar>
            <w:vAlign w:val="bottom"/>
            <w:hideMark/>
          </w:tcPr>
          <w:p w14:paraId="0B917E2D" w14:textId="77777777" w:rsidR="00000000" w:rsidRDefault="00C01C43">
            <w:pPr>
              <w:jc w:val="right"/>
              <w:rPr>
                <w:rFonts w:eastAsia="Times New Roman"/>
              </w:rPr>
            </w:pPr>
          </w:p>
        </w:tc>
      </w:tr>
      <w:tr w:rsidR="00000000" w14:paraId="58447211" w14:textId="77777777">
        <w:trPr>
          <w:divId w:val="2080210473"/>
        </w:trPr>
        <w:tc>
          <w:tcPr>
            <w:tcW w:w="0" w:type="auto"/>
            <w:gridSpan w:val="3"/>
            <w:shd w:val="clear" w:color="auto" w:fill="FFFFFF"/>
            <w:tcMar>
              <w:top w:w="30" w:type="dxa"/>
              <w:left w:w="20" w:type="dxa"/>
              <w:bottom w:w="30" w:type="dxa"/>
              <w:right w:w="20" w:type="dxa"/>
            </w:tcMar>
            <w:vAlign w:val="bottom"/>
            <w:hideMark/>
          </w:tcPr>
          <w:p w14:paraId="5413B908" w14:textId="77777777" w:rsidR="00000000" w:rsidRDefault="00C01C43">
            <w:pPr>
              <w:rPr>
                <w:rFonts w:eastAsia="Times New Roman"/>
              </w:rPr>
            </w:pPr>
            <w:r>
              <w:rPr>
                <w:rFonts w:ascii="Arial" w:eastAsia="Times New Roman" w:hAnsi="Arial" w:cs="Arial"/>
                <w:color w:val="000000"/>
                <w:sz w:val="15"/>
                <w:szCs w:val="15"/>
              </w:rPr>
              <w:t>Purchases of common stock</w:t>
            </w:r>
          </w:p>
        </w:tc>
        <w:tc>
          <w:tcPr>
            <w:tcW w:w="0" w:type="auto"/>
            <w:gridSpan w:val="2"/>
            <w:shd w:val="clear" w:color="auto" w:fill="FFFFFF"/>
            <w:tcMar>
              <w:top w:w="30" w:type="dxa"/>
              <w:left w:w="20" w:type="dxa"/>
              <w:bottom w:w="30" w:type="dxa"/>
              <w:right w:w="0" w:type="dxa"/>
            </w:tcMar>
            <w:vAlign w:val="bottom"/>
            <w:hideMark/>
          </w:tcPr>
          <w:p w14:paraId="13AE5022" w14:textId="77777777" w:rsidR="00000000" w:rsidRDefault="00C01C43">
            <w:pPr>
              <w:jc w:val="right"/>
              <w:rPr>
                <w:rFonts w:eastAsia="Times New Roman"/>
              </w:rPr>
            </w:pPr>
            <w:r>
              <w:rPr>
                <w:rFonts w:ascii="Arial" w:eastAsia="Times New Roman" w:hAnsi="Arial" w:cs="Arial"/>
                <w:color w:val="000000"/>
                <w:sz w:val="15"/>
                <w:szCs w:val="15"/>
              </w:rPr>
              <w:t>(2.6)</w:t>
            </w:r>
          </w:p>
        </w:tc>
        <w:tc>
          <w:tcPr>
            <w:tcW w:w="0" w:type="auto"/>
            <w:shd w:val="clear" w:color="auto" w:fill="FFFFFF"/>
            <w:tcMar>
              <w:top w:w="30" w:type="dxa"/>
              <w:left w:w="0" w:type="dxa"/>
              <w:bottom w:w="30" w:type="dxa"/>
              <w:right w:w="20" w:type="dxa"/>
            </w:tcMar>
            <w:vAlign w:val="bottom"/>
            <w:hideMark/>
          </w:tcPr>
          <w:p w14:paraId="2144F53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8099D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9AE342"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60D5B7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B44F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10A16C" w14:textId="77777777" w:rsidR="00000000" w:rsidRDefault="00C01C43">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68.3)</w:t>
            </w:r>
          </w:p>
        </w:tc>
        <w:tc>
          <w:tcPr>
            <w:tcW w:w="0" w:type="auto"/>
            <w:shd w:val="clear" w:color="auto" w:fill="FFFFFF"/>
            <w:tcMar>
              <w:top w:w="30" w:type="dxa"/>
              <w:left w:w="0" w:type="dxa"/>
              <w:bottom w:w="30" w:type="dxa"/>
              <w:right w:w="20" w:type="dxa"/>
            </w:tcMar>
            <w:vAlign w:val="bottom"/>
            <w:hideMark/>
          </w:tcPr>
          <w:p w14:paraId="6E0D9E3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AEEE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2D0996"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18D5934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7F4E0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E13078"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40D41D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38B3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202947" w14:textId="77777777" w:rsidR="00000000" w:rsidRDefault="00C01C43">
            <w:pPr>
              <w:jc w:val="right"/>
              <w:rPr>
                <w:rFonts w:eastAsia="Times New Roman"/>
              </w:rPr>
            </w:pPr>
            <w:r>
              <w:rPr>
                <w:rFonts w:ascii="Arial" w:eastAsia="Times New Roman" w:hAnsi="Arial" w:cs="Arial"/>
                <w:color w:val="000000"/>
                <w:sz w:val="15"/>
                <w:szCs w:val="15"/>
              </w:rPr>
              <w:t>(68.3)</w:t>
            </w:r>
          </w:p>
        </w:tc>
        <w:tc>
          <w:tcPr>
            <w:tcW w:w="0" w:type="auto"/>
            <w:shd w:val="clear" w:color="auto" w:fill="FFFFFF"/>
            <w:tcMar>
              <w:top w:w="30" w:type="dxa"/>
              <w:left w:w="0" w:type="dxa"/>
              <w:bottom w:w="30" w:type="dxa"/>
              <w:right w:w="20" w:type="dxa"/>
            </w:tcMar>
            <w:vAlign w:val="bottom"/>
            <w:hideMark/>
          </w:tcPr>
          <w:p w14:paraId="18DC450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51459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E83542"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C4FF8A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03B43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2500F0" w14:textId="77777777" w:rsidR="00000000" w:rsidRDefault="00C01C43">
            <w:pPr>
              <w:jc w:val="right"/>
              <w:rPr>
                <w:rFonts w:eastAsia="Times New Roman"/>
              </w:rPr>
            </w:pPr>
            <w:r>
              <w:rPr>
                <w:rFonts w:ascii="Arial" w:eastAsia="Times New Roman" w:hAnsi="Arial" w:cs="Arial"/>
                <w:color w:val="000000"/>
                <w:sz w:val="15"/>
                <w:szCs w:val="15"/>
              </w:rPr>
              <w:t>(68.3)</w:t>
            </w:r>
          </w:p>
        </w:tc>
        <w:tc>
          <w:tcPr>
            <w:tcW w:w="0" w:type="auto"/>
            <w:shd w:val="clear" w:color="auto" w:fill="FFFFFF"/>
            <w:tcMar>
              <w:top w:w="30" w:type="dxa"/>
              <w:left w:w="0" w:type="dxa"/>
              <w:bottom w:w="30" w:type="dxa"/>
              <w:right w:w="20" w:type="dxa"/>
            </w:tcMar>
            <w:vAlign w:val="bottom"/>
            <w:hideMark/>
          </w:tcPr>
          <w:p w14:paraId="16A1CD0F" w14:textId="77777777" w:rsidR="00000000" w:rsidRDefault="00C01C43">
            <w:pPr>
              <w:jc w:val="right"/>
              <w:rPr>
                <w:rFonts w:eastAsia="Times New Roman"/>
              </w:rPr>
            </w:pPr>
          </w:p>
        </w:tc>
      </w:tr>
      <w:tr w:rsidR="00000000" w14:paraId="1E00264D" w14:textId="77777777">
        <w:trPr>
          <w:divId w:val="2080210473"/>
        </w:trPr>
        <w:tc>
          <w:tcPr>
            <w:tcW w:w="0" w:type="auto"/>
            <w:gridSpan w:val="3"/>
            <w:shd w:val="clear" w:color="auto" w:fill="CCEEFF"/>
            <w:tcMar>
              <w:top w:w="30" w:type="dxa"/>
              <w:left w:w="20" w:type="dxa"/>
              <w:bottom w:w="30" w:type="dxa"/>
              <w:right w:w="20" w:type="dxa"/>
            </w:tcMar>
            <w:vAlign w:val="bottom"/>
            <w:hideMark/>
          </w:tcPr>
          <w:p w14:paraId="54D8EA2A" w14:textId="77777777" w:rsidR="00000000" w:rsidRDefault="00C01C43">
            <w:pPr>
              <w:rPr>
                <w:rFonts w:eastAsia="Times New Roman"/>
              </w:rPr>
            </w:pPr>
            <w:r>
              <w:rPr>
                <w:rFonts w:ascii="Arial" w:eastAsia="Times New Roman" w:hAnsi="Arial" w:cs="Arial"/>
                <w:color w:val="000000"/>
                <w:sz w:val="15"/>
                <w:szCs w:val="15"/>
              </w:rPr>
              <w:t>Other comprehensive income (loss)</w:t>
            </w:r>
          </w:p>
        </w:tc>
        <w:tc>
          <w:tcPr>
            <w:tcW w:w="0" w:type="auto"/>
            <w:gridSpan w:val="2"/>
            <w:shd w:val="clear" w:color="auto" w:fill="CCEEFF"/>
            <w:tcMar>
              <w:top w:w="30" w:type="dxa"/>
              <w:left w:w="20" w:type="dxa"/>
              <w:bottom w:w="30" w:type="dxa"/>
              <w:right w:w="0" w:type="dxa"/>
            </w:tcMar>
            <w:vAlign w:val="bottom"/>
            <w:hideMark/>
          </w:tcPr>
          <w:p w14:paraId="209C2DFE"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229D2FD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41C27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CD59BF"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3CF8AF0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0A58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BB542F"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6E9959A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10451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364D0E"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2936EE8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A503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953D20" w14:textId="77777777" w:rsidR="00000000" w:rsidRDefault="00C01C43">
            <w:pPr>
              <w:jc w:val="right"/>
              <w:rPr>
                <w:rFonts w:eastAsia="Times New Roman"/>
              </w:rPr>
            </w:pPr>
            <w:r>
              <w:rPr>
                <w:rFonts w:ascii="Arial" w:eastAsia="Times New Roman" w:hAnsi="Arial" w:cs="Arial"/>
                <w:color w:val="000000"/>
                <w:sz w:val="15"/>
                <w:szCs w:val="15"/>
              </w:rPr>
              <w:t>13.7 </w:t>
            </w:r>
          </w:p>
        </w:tc>
        <w:tc>
          <w:tcPr>
            <w:tcW w:w="0" w:type="auto"/>
            <w:shd w:val="clear" w:color="auto" w:fill="CCEEFF"/>
            <w:tcMar>
              <w:top w:w="30" w:type="dxa"/>
              <w:left w:w="0" w:type="dxa"/>
              <w:bottom w:w="30" w:type="dxa"/>
              <w:right w:w="20" w:type="dxa"/>
            </w:tcMar>
            <w:vAlign w:val="bottom"/>
            <w:hideMark/>
          </w:tcPr>
          <w:p w14:paraId="1056F65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34B82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8A7103" w14:textId="77777777" w:rsidR="00000000" w:rsidRDefault="00C01C43">
            <w:pPr>
              <w:jc w:val="right"/>
              <w:rPr>
                <w:rFonts w:eastAsia="Times New Roman"/>
              </w:rPr>
            </w:pPr>
            <w:r>
              <w:rPr>
                <w:rFonts w:ascii="Arial" w:eastAsia="Times New Roman" w:hAnsi="Arial" w:cs="Arial"/>
                <w:color w:val="000000"/>
                <w:sz w:val="15"/>
                <w:szCs w:val="15"/>
              </w:rPr>
              <w:t>13.7 </w:t>
            </w:r>
          </w:p>
        </w:tc>
        <w:tc>
          <w:tcPr>
            <w:tcW w:w="0" w:type="auto"/>
            <w:shd w:val="clear" w:color="auto" w:fill="CCEEFF"/>
            <w:tcMar>
              <w:top w:w="30" w:type="dxa"/>
              <w:left w:w="0" w:type="dxa"/>
              <w:bottom w:w="30" w:type="dxa"/>
              <w:right w:w="20" w:type="dxa"/>
            </w:tcMar>
            <w:vAlign w:val="bottom"/>
            <w:hideMark/>
          </w:tcPr>
          <w:p w14:paraId="021E51D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365F1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EB328E"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79FF2E5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2187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90C107" w14:textId="77777777" w:rsidR="00000000" w:rsidRDefault="00C01C43">
            <w:pPr>
              <w:jc w:val="right"/>
              <w:rPr>
                <w:rFonts w:eastAsia="Times New Roman"/>
              </w:rPr>
            </w:pPr>
            <w:r>
              <w:rPr>
                <w:rFonts w:ascii="Arial" w:eastAsia="Times New Roman" w:hAnsi="Arial" w:cs="Arial"/>
                <w:color w:val="000000"/>
                <w:sz w:val="15"/>
                <w:szCs w:val="15"/>
              </w:rPr>
              <w:t>13.7 </w:t>
            </w:r>
          </w:p>
        </w:tc>
        <w:tc>
          <w:tcPr>
            <w:tcW w:w="0" w:type="auto"/>
            <w:shd w:val="clear" w:color="auto" w:fill="CCEEFF"/>
            <w:tcMar>
              <w:top w:w="30" w:type="dxa"/>
              <w:left w:w="0" w:type="dxa"/>
              <w:bottom w:w="30" w:type="dxa"/>
              <w:right w:w="20" w:type="dxa"/>
            </w:tcMar>
            <w:vAlign w:val="bottom"/>
            <w:hideMark/>
          </w:tcPr>
          <w:p w14:paraId="724A0DCB" w14:textId="77777777" w:rsidR="00000000" w:rsidRDefault="00C01C43">
            <w:pPr>
              <w:jc w:val="right"/>
              <w:rPr>
                <w:rFonts w:eastAsia="Times New Roman"/>
              </w:rPr>
            </w:pPr>
          </w:p>
        </w:tc>
      </w:tr>
      <w:tr w:rsidR="00000000" w14:paraId="6D9342A5" w14:textId="77777777">
        <w:trPr>
          <w:divId w:val="2080210473"/>
        </w:trPr>
        <w:tc>
          <w:tcPr>
            <w:tcW w:w="0" w:type="auto"/>
            <w:gridSpan w:val="3"/>
            <w:shd w:val="clear" w:color="auto" w:fill="FFFFFF"/>
            <w:tcMar>
              <w:top w:w="30" w:type="dxa"/>
              <w:left w:w="20" w:type="dxa"/>
              <w:bottom w:w="30" w:type="dxa"/>
              <w:right w:w="20" w:type="dxa"/>
            </w:tcMar>
            <w:vAlign w:val="bottom"/>
            <w:hideMark/>
          </w:tcPr>
          <w:p w14:paraId="06CA0DB3" w14:textId="77777777" w:rsidR="00000000" w:rsidRDefault="00C01C43">
            <w:pPr>
              <w:rPr>
                <w:rFonts w:eastAsia="Times New Roman"/>
              </w:rPr>
            </w:pPr>
            <w:r>
              <w:rPr>
                <w:rFonts w:ascii="Arial" w:eastAsia="Times New Roman" w:hAnsi="Arial" w:cs="Arial"/>
                <w:color w:val="000000"/>
                <w:sz w:val="15"/>
                <w:szCs w:val="15"/>
              </w:rPr>
              <w:t>Other</w:t>
            </w:r>
          </w:p>
        </w:tc>
        <w:tc>
          <w:tcPr>
            <w:tcW w:w="0" w:type="auto"/>
            <w:gridSpan w:val="2"/>
            <w:shd w:val="clear" w:color="auto" w:fill="FFFFFF"/>
            <w:tcMar>
              <w:top w:w="30" w:type="dxa"/>
              <w:left w:w="20" w:type="dxa"/>
              <w:bottom w:w="30" w:type="dxa"/>
              <w:right w:w="0" w:type="dxa"/>
            </w:tcMar>
            <w:vAlign w:val="bottom"/>
            <w:hideMark/>
          </w:tcPr>
          <w:p w14:paraId="107C4893"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AF8D9E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BB2E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9C29A8"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7DF6D9A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091B1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61DE9C" w14:textId="77777777" w:rsidR="00000000" w:rsidRDefault="00C01C43">
            <w:pPr>
              <w:jc w:val="right"/>
              <w:rPr>
                <w:rFonts w:eastAsia="Times New Roman"/>
              </w:rPr>
            </w:pPr>
            <w:r>
              <w:rPr>
                <w:rFonts w:ascii="Arial" w:eastAsia="Times New Roman" w:hAnsi="Arial" w:cs="Arial"/>
                <w:color w:val="000000"/>
                <w:sz w:val="15"/>
                <w:szCs w:val="15"/>
              </w:rPr>
              <w:t>1.2 </w:t>
            </w:r>
          </w:p>
        </w:tc>
        <w:tc>
          <w:tcPr>
            <w:tcW w:w="0" w:type="auto"/>
            <w:shd w:val="clear" w:color="auto" w:fill="FFFFFF"/>
            <w:tcMar>
              <w:top w:w="30" w:type="dxa"/>
              <w:left w:w="0" w:type="dxa"/>
              <w:bottom w:w="30" w:type="dxa"/>
              <w:right w:w="20" w:type="dxa"/>
            </w:tcMar>
            <w:vAlign w:val="bottom"/>
            <w:hideMark/>
          </w:tcPr>
          <w:p w14:paraId="6FA5CD8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BAAF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6B5CB1" w14:textId="77777777" w:rsidR="00000000" w:rsidRDefault="00C01C43">
            <w:pPr>
              <w:jc w:val="right"/>
              <w:rPr>
                <w:rFonts w:eastAsia="Times New Roman"/>
              </w:rPr>
            </w:pPr>
            <w:r>
              <w:rPr>
                <w:rFonts w:ascii="Arial" w:eastAsia="Times New Roman" w:hAnsi="Arial" w:cs="Arial"/>
                <w:color w:val="000000"/>
                <w:sz w:val="15"/>
                <w:szCs w:val="15"/>
              </w:rPr>
              <w:t>2.4 </w:t>
            </w:r>
          </w:p>
        </w:tc>
        <w:tc>
          <w:tcPr>
            <w:tcW w:w="0" w:type="auto"/>
            <w:shd w:val="clear" w:color="auto" w:fill="FFFFFF"/>
            <w:tcMar>
              <w:top w:w="30" w:type="dxa"/>
              <w:left w:w="0" w:type="dxa"/>
              <w:bottom w:w="30" w:type="dxa"/>
              <w:right w:w="20" w:type="dxa"/>
            </w:tcMar>
            <w:vAlign w:val="bottom"/>
            <w:hideMark/>
          </w:tcPr>
          <w:p w14:paraId="47CFAF4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84A48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A9293C"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109FBA3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88F0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3C35A" w14:textId="77777777" w:rsidR="00000000" w:rsidRDefault="00C01C43">
            <w:pPr>
              <w:jc w:val="right"/>
              <w:rPr>
                <w:rFonts w:eastAsia="Times New Roman"/>
              </w:rPr>
            </w:pPr>
            <w:r>
              <w:rPr>
                <w:rFonts w:ascii="Arial" w:eastAsia="Times New Roman" w:hAnsi="Arial" w:cs="Arial"/>
                <w:color w:val="000000"/>
                <w:sz w:val="15"/>
                <w:szCs w:val="15"/>
              </w:rPr>
              <w:t>3.7 </w:t>
            </w:r>
          </w:p>
        </w:tc>
        <w:tc>
          <w:tcPr>
            <w:tcW w:w="0" w:type="auto"/>
            <w:shd w:val="clear" w:color="auto" w:fill="FFFFFF"/>
            <w:tcMar>
              <w:top w:w="30" w:type="dxa"/>
              <w:left w:w="0" w:type="dxa"/>
              <w:bottom w:w="30" w:type="dxa"/>
              <w:right w:w="20" w:type="dxa"/>
            </w:tcMar>
            <w:vAlign w:val="bottom"/>
            <w:hideMark/>
          </w:tcPr>
          <w:p w14:paraId="297A3C4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7F8F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C6EEE7"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16C7DF3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CB563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B83567" w14:textId="77777777" w:rsidR="00000000" w:rsidRDefault="00C01C43">
            <w:pPr>
              <w:jc w:val="right"/>
              <w:rPr>
                <w:rFonts w:eastAsia="Times New Roman"/>
              </w:rPr>
            </w:pPr>
            <w:r>
              <w:rPr>
                <w:rFonts w:ascii="Arial" w:eastAsia="Times New Roman" w:hAnsi="Arial" w:cs="Arial"/>
                <w:color w:val="000000"/>
                <w:sz w:val="15"/>
                <w:szCs w:val="15"/>
              </w:rPr>
              <w:t>3.7 </w:t>
            </w:r>
          </w:p>
        </w:tc>
        <w:tc>
          <w:tcPr>
            <w:tcW w:w="0" w:type="auto"/>
            <w:shd w:val="clear" w:color="auto" w:fill="FFFFFF"/>
            <w:tcMar>
              <w:top w:w="30" w:type="dxa"/>
              <w:left w:w="0" w:type="dxa"/>
              <w:bottom w:w="30" w:type="dxa"/>
              <w:right w:w="20" w:type="dxa"/>
            </w:tcMar>
            <w:vAlign w:val="bottom"/>
            <w:hideMark/>
          </w:tcPr>
          <w:p w14:paraId="08E5A90E" w14:textId="77777777" w:rsidR="00000000" w:rsidRDefault="00C01C43">
            <w:pPr>
              <w:jc w:val="right"/>
              <w:rPr>
                <w:rFonts w:eastAsia="Times New Roman"/>
              </w:rPr>
            </w:pPr>
          </w:p>
        </w:tc>
      </w:tr>
      <w:tr w:rsidR="00C01C43" w14:paraId="34C42CB6" w14:textId="77777777">
        <w:trPr>
          <w:divId w:val="2080210473"/>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45709580" w14:textId="77777777" w:rsidR="00000000" w:rsidRDefault="00C01C43">
            <w:pPr>
              <w:rPr>
                <w:rFonts w:eastAsia="Times New Roman"/>
              </w:rPr>
            </w:pPr>
            <w:r>
              <w:rPr>
                <w:rFonts w:ascii="Arial" w:eastAsia="Times New Roman" w:hAnsi="Arial" w:cs="Arial"/>
                <w:color w:val="000000"/>
                <w:sz w:val="15"/>
                <w:szCs w:val="15"/>
              </w:rPr>
              <w:t>Balance as of December 31,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241629" w14:textId="77777777" w:rsidR="00000000" w:rsidRDefault="00C01C43">
            <w:pPr>
              <w:jc w:val="right"/>
              <w:rPr>
                <w:rFonts w:eastAsia="Times New Roman"/>
              </w:rPr>
            </w:pPr>
            <w:r>
              <w:rPr>
                <w:rFonts w:ascii="Arial" w:eastAsia="Times New Roman" w:hAnsi="Arial" w:cs="Arial"/>
                <w:color w:val="000000"/>
                <w:sz w:val="15"/>
                <w:szCs w:val="15"/>
              </w:rPr>
              <w:t>62.9 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72E164"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C3D592D"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92CE65"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04C842" w14:textId="77777777" w:rsidR="00000000" w:rsidRDefault="00C01C43">
            <w:pPr>
              <w:jc w:val="right"/>
              <w:rPr>
                <w:rFonts w:eastAsia="Times New Roman"/>
              </w:rPr>
            </w:pPr>
            <w:r>
              <w:rPr>
                <w:rFonts w:ascii="Arial" w:eastAsia="Times New Roman" w:hAnsi="Arial" w:cs="Arial"/>
                <w:color w:val="000000"/>
                <w:sz w:val="15"/>
                <w:szCs w:val="15"/>
              </w:rPr>
              <w:t>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8352D3"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E0D2563"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5FEFB1"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7B1547" w14:textId="77777777" w:rsidR="00000000" w:rsidRDefault="00C01C43">
            <w:pPr>
              <w:jc w:val="right"/>
              <w:rPr>
                <w:rFonts w:eastAsia="Times New Roman"/>
              </w:rPr>
            </w:pPr>
            <w:r>
              <w:rPr>
                <w:rFonts w:ascii="Arial" w:eastAsia="Times New Roman" w:hAnsi="Arial" w:cs="Arial"/>
                <w:color w:val="000000"/>
                <w:sz w:val="15"/>
                <w:szCs w:val="15"/>
              </w:rPr>
              <w:t>204.6 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EC4149"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E9172AC"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E912B7"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7FD557" w14:textId="77777777" w:rsidR="00000000" w:rsidRDefault="00C01C43">
            <w:pPr>
              <w:jc w:val="right"/>
              <w:rPr>
                <w:rFonts w:eastAsia="Times New Roman"/>
              </w:rPr>
            </w:pPr>
            <w:r>
              <w:rPr>
                <w:rFonts w:ascii="Arial" w:eastAsia="Times New Roman" w:hAnsi="Arial" w:cs="Arial"/>
                <w:color w:val="000000"/>
                <w:sz w:val="15"/>
                <w:szCs w:val="15"/>
              </w:rPr>
              <w:t>1,836.7 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2842F1"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E9D1DAC"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882EB8"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751D84" w14:textId="77777777" w:rsidR="00000000" w:rsidRDefault="00C01C43">
            <w:pPr>
              <w:jc w:val="right"/>
              <w:rPr>
                <w:rFonts w:eastAsia="Times New Roman"/>
              </w:rPr>
            </w:pPr>
            <w:r>
              <w:rPr>
                <w:rFonts w:ascii="Arial" w:eastAsia="Times New Roman" w:hAnsi="Arial" w:cs="Arial"/>
                <w:color w:val="000000"/>
                <w:sz w:val="15"/>
                <w:szCs w:val="15"/>
              </w:rPr>
              <w:t>(132.6)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FA0E2B"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5FE70D3"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3B0307"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EFFC1C" w14:textId="77777777" w:rsidR="00000000" w:rsidRDefault="00C01C43">
            <w:pPr>
              <w:jc w:val="right"/>
              <w:rPr>
                <w:rFonts w:eastAsia="Times New Roman"/>
              </w:rPr>
            </w:pPr>
            <w:r>
              <w:rPr>
                <w:rFonts w:ascii="Arial" w:eastAsia="Times New Roman" w:hAnsi="Arial" w:cs="Arial"/>
                <w:color w:val="000000"/>
                <w:sz w:val="15"/>
                <w:szCs w:val="15"/>
              </w:rPr>
              <w:t>1,909.3 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0A78C7A"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6C4D0AE"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866B12"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C657E6" w14:textId="77777777" w:rsidR="00000000" w:rsidRDefault="00C01C43">
            <w:pPr>
              <w:jc w:val="right"/>
              <w:rPr>
                <w:rFonts w:eastAsia="Times New Roman"/>
              </w:rPr>
            </w:pPr>
            <w:r>
              <w:rPr>
                <w:rFonts w:ascii="Arial" w:eastAsia="Times New Roman" w:hAnsi="Arial" w:cs="Arial"/>
                <w:color w:val="000000"/>
                <w:sz w:val="15"/>
                <w:szCs w:val="15"/>
              </w:rPr>
              <w:t>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26DB88"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BC0ED75"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62A7C7"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CB43F3" w14:textId="77777777" w:rsidR="00000000" w:rsidRDefault="00C01C43">
            <w:pPr>
              <w:jc w:val="right"/>
              <w:rPr>
                <w:rFonts w:eastAsia="Times New Roman"/>
              </w:rPr>
            </w:pPr>
            <w:r>
              <w:rPr>
                <w:rFonts w:ascii="Arial" w:eastAsia="Times New Roman" w:hAnsi="Arial" w:cs="Arial"/>
                <w:color w:val="000000"/>
                <w:sz w:val="15"/>
                <w:szCs w:val="15"/>
              </w:rPr>
              <w:t>1,912.9 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FAA622" w14:textId="77777777" w:rsidR="00000000" w:rsidRDefault="00C01C43">
            <w:pPr>
              <w:jc w:val="right"/>
              <w:rPr>
                <w:rFonts w:eastAsia="Times New Roman"/>
              </w:rPr>
            </w:pPr>
          </w:p>
        </w:tc>
      </w:tr>
    </w:tbl>
    <w:p w14:paraId="64F40B18" w14:textId="77777777" w:rsidR="00000000" w:rsidRDefault="00C01C43">
      <w:pPr>
        <w:jc w:val="both"/>
        <w:divId w:val="362361689"/>
        <w:rPr>
          <w:rFonts w:eastAsia="Times New Roman"/>
        </w:rPr>
      </w:pPr>
      <w:r>
        <w:rPr>
          <w:rFonts w:ascii="Arial" w:eastAsia="Times New Roman" w:hAnsi="Arial" w:cs="Arial"/>
          <w:color w:val="000000"/>
          <w:sz w:val="20"/>
          <w:szCs w:val="20"/>
        </w:rPr>
        <w:t>The accompanying Notes are an integ</w:t>
      </w:r>
      <w:r>
        <w:rPr>
          <w:rFonts w:ascii="Arial" w:eastAsia="Times New Roman" w:hAnsi="Arial" w:cs="Arial"/>
          <w:color w:val="000000"/>
          <w:sz w:val="20"/>
          <w:szCs w:val="20"/>
        </w:rPr>
        <w:t>ral part of these Consolidated Financial Statements.</w:t>
      </w:r>
    </w:p>
    <w:p w14:paraId="015A94C7" w14:textId="77777777" w:rsidR="00000000" w:rsidRDefault="00C01C43">
      <w:pPr>
        <w:jc w:val="center"/>
        <w:divId w:val="1770470780"/>
        <w:rPr>
          <w:rFonts w:eastAsia="Times New Roman"/>
        </w:rPr>
      </w:pPr>
      <w:r>
        <w:rPr>
          <w:rFonts w:ascii="Arial" w:eastAsia="Times New Roman" w:hAnsi="Arial" w:cs="Arial"/>
          <w:color w:val="000000"/>
          <w:sz w:val="16"/>
          <w:szCs w:val="16"/>
        </w:rPr>
        <w:t>50</w:t>
      </w:r>
    </w:p>
    <w:p w14:paraId="0B0A4FD7" w14:textId="77777777" w:rsidR="00000000" w:rsidRDefault="00C01C43">
      <w:pPr>
        <w:rPr>
          <w:rFonts w:eastAsia="Times New Roman"/>
        </w:rPr>
      </w:pPr>
      <w:r>
        <w:rPr>
          <w:rFonts w:eastAsia="Times New Roman"/>
        </w:rPr>
        <w:pict w14:anchorId="29F62986">
          <v:rect id="_x0000_i1079" style="width:0;height:1.5pt" o:hralign="center" o:hrstd="t" o:hr="t" fillcolor="#a0a0a0" stroked="f"/>
        </w:pict>
      </w:r>
    </w:p>
    <w:p w14:paraId="25A5B1C4" w14:textId="77777777" w:rsidR="00000000" w:rsidRDefault="00C01C43">
      <w:pPr>
        <w:divId w:val="1587419398"/>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60A17631" w14:textId="77777777" w:rsidR="00000000" w:rsidRDefault="00C01C43">
      <w:pPr>
        <w:divId w:val="1005479465"/>
        <w:rPr>
          <w:rFonts w:eastAsia="Times New Roman"/>
        </w:rPr>
      </w:pPr>
      <w:r>
        <w:rPr>
          <w:rFonts w:ascii="Arial" w:eastAsia="Times New Roman" w:hAnsi="Arial" w:cs="Arial"/>
          <w:b/>
          <w:bCs/>
          <w:color w:val="000000"/>
        </w:rPr>
        <w:t>WORLD FUEL SERVICES CORPORATION</w:t>
      </w:r>
    </w:p>
    <w:p w14:paraId="2D403106" w14:textId="77777777" w:rsidR="00000000" w:rsidRDefault="00C01C43">
      <w:pPr>
        <w:divId w:val="1624922747"/>
        <w:rPr>
          <w:rFonts w:eastAsia="Times New Roman"/>
        </w:rPr>
      </w:pPr>
      <w:r>
        <w:rPr>
          <w:rFonts w:ascii="Arial" w:eastAsia="Times New Roman" w:hAnsi="Arial" w:cs="Arial"/>
          <w:b/>
          <w:bCs/>
          <w:color w:val="000000"/>
        </w:rPr>
        <w:t>CONSOLIDATED STATEMENTS OF CASH FLOWS </w:t>
      </w:r>
    </w:p>
    <w:p w14:paraId="12A56EAD" w14:textId="77777777" w:rsidR="00000000" w:rsidRDefault="00C01C43">
      <w:pPr>
        <w:divId w:val="1047491234"/>
        <w:rPr>
          <w:rFonts w:eastAsia="Times New Roman"/>
        </w:rPr>
      </w:pPr>
      <w:r>
        <w:rPr>
          <w:rFonts w:ascii="Arial" w:eastAsia="Times New Roman" w:hAnsi="Arial" w:cs="Arial"/>
          <w:color w:val="000000"/>
          <w:sz w:val="20"/>
          <w:szCs w:val="20"/>
        </w:rPr>
        <w:t>(In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5489"/>
        <w:gridCol w:w="37"/>
        <w:gridCol w:w="105"/>
        <w:gridCol w:w="723"/>
        <w:gridCol w:w="37"/>
        <w:gridCol w:w="37"/>
        <w:gridCol w:w="41"/>
        <w:gridCol w:w="37"/>
        <w:gridCol w:w="105"/>
        <w:gridCol w:w="655"/>
        <w:gridCol w:w="37"/>
        <w:gridCol w:w="36"/>
        <w:gridCol w:w="40"/>
        <w:gridCol w:w="36"/>
        <w:gridCol w:w="104"/>
        <w:gridCol w:w="688"/>
        <w:gridCol w:w="36"/>
      </w:tblGrid>
      <w:tr w:rsidR="00000000" w14:paraId="5286B809" w14:textId="77777777">
        <w:trPr>
          <w:divId w:val="687020625"/>
        </w:trPr>
        <w:tc>
          <w:tcPr>
            <w:tcW w:w="50" w:type="pct"/>
            <w:vAlign w:val="center"/>
            <w:hideMark/>
          </w:tcPr>
          <w:p w14:paraId="6F939EDD" w14:textId="77777777" w:rsidR="00000000" w:rsidRDefault="00C01C43">
            <w:pPr>
              <w:rPr>
                <w:rFonts w:eastAsia="Times New Roman"/>
              </w:rPr>
            </w:pPr>
          </w:p>
        </w:tc>
        <w:tc>
          <w:tcPr>
            <w:tcW w:w="3376" w:type="pct"/>
            <w:vAlign w:val="center"/>
            <w:hideMark/>
          </w:tcPr>
          <w:p w14:paraId="0D427116" w14:textId="77777777" w:rsidR="00000000" w:rsidRDefault="00C01C43">
            <w:pPr>
              <w:rPr>
                <w:rFonts w:eastAsia="Times New Roman"/>
                <w:sz w:val="20"/>
                <w:szCs w:val="20"/>
              </w:rPr>
            </w:pPr>
          </w:p>
        </w:tc>
        <w:tc>
          <w:tcPr>
            <w:tcW w:w="5" w:type="pct"/>
            <w:vAlign w:val="center"/>
            <w:hideMark/>
          </w:tcPr>
          <w:p w14:paraId="48F90294" w14:textId="77777777" w:rsidR="00000000" w:rsidRDefault="00C01C43">
            <w:pPr>
              <w:rPr>
                <w:rFonts w:eastAsia="Times New Roman"/>
                <w:sz w:val="20"/>
                <w:szCs w:val="20"/>
              </w:rPr>
            </w:pPr>
          </w:p>
        </w:tc>
        <w:tc>
          <w:tcPr>
            <w:tcW w:w="50" w:type="pct"/>
            <w:vAlign w:val="center"/>
            <w:hideMark/>
          </w:tcPr>
          <w:p w14:paraId="13E4BA57" w14:textId="77777777" w:rsidR="00000000" w:rsidRDefault="00C01C43">
            <w:pPr>
              <w:rPr>
                <w:rFonts w:eastAsia="Times New Roman"/>
                <w:sz w:val="20"/>
                <w:szCs w:val="20"/>
              </w:rPr>
            </w:pPr>
          </w:p>
        </w:tc>
        <w:tc>
          <w:tcPr>
            <w:tcW w:w="465" w:type="pct"/>
            <w:vAlign w:val="center"/>
            <w:hideMark/>
          </w:tcPr>
          <w:p w14:paraId="48CD5586" w14:textId="77777777" w:rsidR="00000000" w:rsidRDefault="00C01C43">
            <w:pPr>
              <w:rPr>
                <w:rFonts w:eastAsia="Times New Roman"/>
                <w:sz w:val="20"/>
                <w:szCs w:val="20"/>
              </w:rPr>
            </w:pPr>
          </w:p>
        </w:tc>
        <w:tc>
          <w:tcPr>
            <w:tcW w:w="5" w:type="pct"/>
            <w:vAlign w:val="center"/>
            <w:hideMark/>
          </w:tcPr>
          <w:p w14:paraId="0856DF2F" w14:textId="77777777" w:rsidR="00000000" w:rsidRDefault="00C01C43">
            <w:pPr>
              <w:rPr>
                <w:rFonts w:eastAsia="Times New Roman"/>
                <w:sz w:val="20"/>
                <w:szCs w:val="20"/>
              </w:rPr>
            </w:pPr>
          </w:p>
        </w:tc>
        <w:tc>
          <w:tcPr>
            <w:tcW w:w="5" w:type="pct"/>
            <w:vAlign w:val="center"/>
            <w:hideMark/>
          </w:tcPr>
          <w:p w14:paraId="07BCB7F7" w14:textId="77777777" w:rsidR="00000000" w:rsidRDefault="00C01C43">
            <w:pPr>
              <w:rPr>
                <w:rFonts w:eastAsia="Times New Roman"/>
                <w:sz w:val="20"/>
                <w:szCs w:val="20"/>
              </w:rPr>
            </w:pPr>
          </w:p>
        </w:tc>
        <w:tc>
          <w:tcPr>
            <w:tcW w:w="26" w:type="pct"/>
            <w:vAlign w:val="center"/>
            <w:hideMark/>
          </w:tcPr>
          <w:p w14:paraId="6DEA2072" w14:textId="77777777" w:rsidR="00000000" w:rsidRDefault="00C01C43">
            <w:pPr>
              <w:rPr>
                <w:rFonts w:eastAsia="Times New Roman"/>
                <w:sz w:val="20"/>
                <w:szCs w:val="20"/>
              </w:rPr>
            </w:pPr>
          </w:p>
        </w:tc>
        <w:tc>
          <w:tcPr>
            <w:tcW w:w="5" w:type="pct"/>
            <w:vAlign w:val="center"/>
            <w:hideMark/>
          </w:tcPr>
          <w:p w14:paraId="49EBAB93" w14:textId="77777777" w:rsidR="00000000" w:rsidRDefault="00C01C43">
            <w:pPr>
              <w:rPr>
                <w:rFonts w:eastAsia="Times New Roman"/>
                <w:sz w:val="20"/>
                <w:szCs w:val="20"/>
              </w:rPr>
            </w:pPr>
          </w:p>
        </w:tc>
        <w:tc>
          <w:tcPr>
            <w:tcW w:w="50" w:type="pct"/>
            <w:vAlign w:val="center"/>
            <w:hideMark/>
          </w:tcPr>
          <w:p w14:paraId="71221179" w14:textId="77777777" w:rsidR="00000000" w:rsidRDefault="00C01C43">
            <w:pPr>
              <w:rPr>
                <w:rFonts w:eastAsia="Times New Roman"/>
                <w:sz w:val="20"/>
                <w:szCs w:val="20"/>
              </w:rPr>
            </w:pPr>
          </w:p>
        </w:tc>
        <w:tc>
          <w:tcPr>
            <w:tcW w:w="421" w:type="pct"/>
            <w:vAlign w:val="center"/>
            <w:hideMark/>
          </w:tcPr>
          <w:p w14:paraId="43053E73" w14:textId="77777777" w:rsidR="00000000" w:rsidRDefault="00C01C43">
            <w:pPr>
              <w:rPr>
                <w:rFonts w:eastAsia="Times New Roman"/>
                <w:sz w:val="20"/>
                <w:szCs w:val="20"/>
              </w:rPr>
            </w:pPr>
          </w:p>
        </w:tc>
        <w:tc>
          <w:tcPr>
            <w:tcW w:w="5" w:type="pct"/>
            <w:vAlign w:val="center"/>
            <w:hideMark/>
          </w:tcPr>
          <w:p w14:paraId="3B39A668" w14:textId="77777777" w:rsidR="00000000" w:rsidRDefault="00C01C43">
            <w:pPr>
              <w:rPr>
                <w:rFonts w:eastAsia="Times New Roman"/>
                <w:sz w:val="20"/>
                <w:szCs w:val="20"/>
              </w:rPr>
            </w:pPr>
          </w:p>
        </w:tc>
        <w:tc>
          <w:tcPr>
            <w:tcW w:w="5" w:type="pct"/>
            <w:vAlign w:val="center"/>
            <w:hideMark/>
          </w:tcPr>
          <w:p w14:paraId="2DB1BB73" w14:textId="77777777" w:rsidR="00000000" w:rsidRDefault="00C01C43">
            <w:pPr>
              <w:rPr>
                <w:rFonts w:eastAsia="Times New Roman"/>
                <w:sz w:val="20"/>
                <w:szCs w:val="20"/>
              </w:rPr>
            </w:pPr>
          </w:p>
        </w:tc>
        <w:tc>
          <w:tcPr>
            <w:tcW w:w="26" w:type="pct"/>
            <w:vAlign w:val="center"/>
            <w:hideMark/>
          </w:tcPr>
          <w:p w14:paraId="1670F230" w14:textId="77777777" w:rsidR="00000000" w:rsidRDefault="00C01C43">
            <w:pPr>
              <w:rPr>
                <w:rFonts w:eastAsia="Times New Roman"/>
                <w:sz w:val="20"/>
                <w:szCs w:val="20"/>
              </w:rPr>
            </w:pPr>
          </w:p>
        </w:tc>
        <w:tc>
          <w:tcPr>
            <w:tcW w:w="5" w:type="pct"/>
            <w:vAlign w:val="center"/>
            <w:hideMark/>
          </w:tcPr>
          <w:p w14:paraId="0607D2E3" w14:textId="77777777" w:rsidR="00000000" w:rsidRDefault="00C01C43">
            <w:pPr>
              <w:rPr>
                <w:rFonts w:eastAsia="Times New Roman"/>
                <w:sz w:val="20"/>
                <w:szCs w:val="20"/>
              </w:rPr>
            </w:pPr>
          </w:p>
        </w:tc>
        <w:tc>
          <w:tcPr>
            <w:tcW w:w="50" w:type="pct"/>
            <w:vAlign w:val="center"/>
            <w:hideMark/>
          </w:tcPr>
          <w:p w14:paraId="753211D3" w14:textId="77777777" w:rsidR="00000000" w:rsidRDefault="00C01C43">
            <w:pPr>
              <w:rPr>
                <w:rFonts w:eastAsia="Times New Roman"/>
                <w:sz w:val="20"/>
                <w:szCs w:val="20"/>
              </w:rPr>
            </w:pPr>
          </w:p>
        </w:tc>
        <w:tc>
          <w:tcPr>
            <w:tcW w:w="443" w:type="pct"/>
            <w:vAlign w:val="center"/>
            <w:hideMark/>
          </w:tcPr>
          <w:p w14:paraId="1CE2B0CF" w14:textId="77777777" w:rsidR="00000000" w:rsidRDefault="00C01C43">
            <w:pPr>
              <w:rPr>
                <w:rFonts w:eastAsia="Times New Roman"/>
                <w:sz w:val="20"/>
                <w:szCs w:val="20"/>
              </w:rPr>
            </w:pPr>
          </w:p>
        </w:tc>
        <w:tc>
          <w:tcPr>
            <w:tcW w:w="5" w:type="pct"/>
            <w:vAlign w:val="center"/>
            <w:hideMark/>
          </w:tcPr>
          <w:p w14:paraId="3FA5B111" w14:textId="77777777" w:rsidR="00000000" w:rsidRDefault="00C01C43">
            <w:pPr>
              <w:rPr>
                <w:rFonts w:eastAsia="Times New Roman"/>
                <w:sz w:val="20"/>
                <w:szCs w:val="20"/>
              </w:rPr>
            </w:pPr>
          </w:p>
        </w:tc>
      </w:tr>
      <w:tr w:rsidR="00000000" w14:paraId="47EED843" w14:textId="77777777">
        <w:trPr>
          <w:divId w:val="687020625"/>
        </w:trPr>
        <w:tc>
          <w:tcPr>
            <w:tcW w:w="0" w:type="auto"/>
            <w:gridSpan w:val="3"/>
            <w:tcMar>
              <w:top w:w="0" w:type="dxa"/>
              <w:left w:w="20" w:type="dxa"/>
              <w:bottom w:w="0" w:type="dxa"/>
              <w:right w:w="20" w:type="dxa"/>
            </w:tcMar>
            <w:vAlign w:val="center"/>
            <w:hideMark/>
          </w:tcPr>
          <w:p w14:paraId="154F0977" w14:textId="77777777" w:rsidR="00000000" w:rsidRDefault="00C01C43">
            <w:pPr>
              <w:rPr>
                <w:rFonts w:eastAsia="Times New Roman"/>
                <w:sz w:val="20"/>
                <w:szCs w:val="20"/>
              </w:rPr>
            </w:pPr>
          </w:p>
        </w:tc>
        <w:tc>
          <w:tcPr>
            <w:tcW w:w="0" w:type="auto"/>
            <w:gridSpan w:val="15"/>
            <w:tcMar>
              <w:top w:w="30" w:type="dxa"/>
              <w:left w:w="20" w:type="dxa"/>
              <w:bottom w:w="30" w:type="dxa"/>
              <w:right w:w="20" w:type="dxa"/>
            </w:tcMar>
            <w:vAlign w:val="bottom"/>
            <w:hideMark/>
          </w:tcPr>
          <w:p w14:paraId="142AC5B1" w14:textId="77777777" w:rsidR="00000000" w:rsidRDefault="00C01C43">
            <w:pPr>
              <w:jc w:val="center"/>
              <w:rPr>
                <w:rFonts w:eastAsia="Times New Roman"/>
              </w:rPr>
            </w:pPr>
            <w:r>
              <w:rPr>
                <w:rFonts w:ascii="Arial" w:eastAsia="Times New Roman" w:hAnsi="Arial" w:cs="Arial"/>
                <w:b/>
                <w:bCs/>
                <w:color w:val="000000"/>
                <w:sz w:val="15"/>
                <w:szCs w:val="15"/>
              </w:rPr>
              <w:t>For the Year Ended December 31,</w:t>
            </w:r>
          </w:p>
        </w:tc>
      </w:tr>
      <w:tr w:rsidR="00000000" w14:paraId="7AA58EA0" w14:textId="77777777">
        <w:trPr>
          <w:divId w:val="687020625"/>
        </w:trPr>
        <w:tc>
          <w:tcPr>
            <w:tcW w:w="0" w:type="auto"/>
            <w:gridSpan w:val="3"/>
            <w:tcMar>
              <w:top w:w="0" w:type="dxa"/>
              <w:left w:w="20" w:type="dxa"/>
              <w:bottom w:w="0" w:type="dxa"/>
              <w:right w:w="20" w:type="dxa"/>
            </w:tcMar>
            <w:vAlign w:val="center"/>
            <w:hideMark/>
          </w:tcPr>
          <w:p w14:paraId="30EB6EB0"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022270" w14:textId="77777777" w:rsidR="00000000" w:rsidRDefault="00C01C43">
            <w:pPr>
              <w:jc w:val="center"/>
              <w:rPr>
                <w:rFonts w:eastAsia="Times New Roman"/>
              </w:rPr>
            </w:pPr>
            <w:r>
              <w:rPr>
                <w:rFonts w:ascii="Arial" w:eastAsia="Times New Roman" w:hAnsi="Arial" w:cs="Arial"/>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14:paraId="13F00DFD"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555A94" w14:textId="77777777" w:rsidR="00000000" w:rsidRDefault="00C01C43">
            <w:pPr>
              <w:jc w:val="center"/>
              <w:rPr>
                <w:rFonts w:eastAsia="Times New Roman"/>
              </w:rPr>
            </w:pPr>
            <w:r>
              <w:rPr>
                <w:rFonts w:ascii="Arial" w:eastAsia="Times New Roman" w:hAnsi="Arial" w:cs="Arial"/>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14:paraId="1480DE66"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E0A1A2" w14:textId="77777777" w:rsidR="00000000" w:rsidRDefault="00C01C43">
            <w:pPr>
              <w:jc w:val="center"/>
              <w:rPr>
                <w:rFonts w:eastAsia="Times New Roman"/>
              </w:rPr>
            </w:pPr>
            <w:r>
              <w:rPr>
                <w:rFonts w:ascii="Arial" w:eastAsia="Times New Roman" w:hAnsi="Arial" w:cs="Arial"/>
                <w:b/>
                <w:bCs/>
                <w:color w:val="000000"/>
                <w:sz w:val="15"/>
                <w:szCs w:val="15"/>
              </w:rPr>
              <w:t>2018</w:t>
            </w:r>
          </w:p>
        </w:tc>
      </w:tr>
      <w:tr w:rsidR="00000000" w14:paraId="0FC7394B" w14:textId="77777777">
        <w:trPr>
          <w:divId w:val="6870206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C5D9AF8" w14:textId="77777777" w:rsidR="00000000" w:rsidRDefault="00C01C43">
            <w:pPr>
              <w:rPr>
                <w:rFonts w:eastAsia="Times New Roman"/>
              </w:rPr>
            </w:pPr>
            <w:r>
              <w:rPr>
                <w:rFonts w:ascii="Arial" w:eastAsia="Times New Roman" w:hAnsi="Arial" w:cs="Arial"/>
                <w:color w:val="000000"/>
                <w:sz w:val="15"/>
                <w:szCs w:val="15"/>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0EE5E5"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967F2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9993ED"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CCB5E0"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6A36DB" w14:textId="77777777" w:rsidR="00000000" w:rsidRDefault="00C01C43">
            <w:pPr>
              <w:rPr>
                <w:rFonts w:eastAsia="Times New Roman"/>
                <w:sz w:val="20"/>
                <w:szCs w:val="20"/>
              </w:rPr>
            </w:pPr>
          </w:p>
        </w:tc>
      </w:tr>
      <w:tr w:rsidR="00000000" w14:paraId="1AD2C094" w14:textId="77777777">
        <w:trPr>
          <w:divId w:val="687020625"/>
        </w:trPr>
        <w:tc>
          <w:tcPr>
            <w:tcW w:w="0" w:type="auto"/>
            <w:gridSpan w:val="3"/>
            <w:shd w:val="clear" w:color="auto" w:fill="FFFFFF"/>
            <w:tcMar>
              <w:top w:w="30" w:type="dxa"/>
              <w:left w:w="20" w:type="dxa"/>
              <w:bottom w:w="30" w:type="dxa"/>
              <w:right w:w="20" w:type="dxa"/>
            </w:tcMar>
            <w:vAlign w:val="bottom"/>
            <w:hideMark/>
          </w:tcPr>
          <w:p w14:paraId="68ED9B88" w14:textId="77777777" w:rsidR="00000000" w:rsidRDefault="00C01C43">
            <w:pPr>
              <w:rPr>
                <w:rFonts w:eastAsia="Times New Roman"/>
              </w:rPr>
            </w:pPr>
            <w:r>
              <w:rPr>
                <w:rFonts w:ascii="Arial" w:eastAsia="Times New Roman" w:hAnsi="Arial" w:cs="Arial"/>
                <w:color w:val="000000"/>
                <w:sz w:val="15"/>
                <w:szCs w:val="15"/>
              </w:rPr>
              <w:t>Net income (loss) including noncontrolling interest</w:t>
            </w:r>
          </w:p>
        </w:tc>
        <w:tc>
          <w:tcPr>
            <w:tcW w:w="0" w:type="auto"/>
            <w:shd w:val="clear" w:color="auto" w:fill="FFFFFF"/>
            <w:tcMar>
              <w:top w:w="30" w:type="dxa"/>
              <w:left w:w="20" w:type="dxa"/>
              <w:bottom w:w="30" w:type="dxa"/>
              <w:right w:w="0" w:type="dxa"/>
            </w:tcMar>
            <w:vAlign w:val="bottom"/>
            <w:hideMark/>
          </w:tcPr>
          <w:p w14:paraId="7E748D77" w14:textId="77777777" w:rsidR="00000000" w:rsidRDefault="00C01C43">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5863FEFF" w14:textId="77777777" w:rsidR="00000000" w:rsidRDefault="00C01C43">
            <w:pPr>
              <w:jc w:val="right"/>
              <w:rPr>
                <w:rFonts w:eastAsia="Times New Roman"/>
              </w:rPr>
            </w:pPr>
            <w:r>
              <w:rPr>
                <w:rFonts w:ascii="Arial" w:eastAsia="Times New Roman" w:hAnsi="Arial" w:cs="Arial"/>
                <w:color w:val="000000"/>
                <w:sz w:val="15"/>
                <w:szCs w:val="15"/>
              </w:rPr>
              <w:t>109.6 </w:t>
            </w:r>
          </w:p>
        </w:tc>
        <w:tc>
          <w:tcPr>
            <w:tcW w:w="0" w:type="auto"/>
            <w:shd w:val="clear" w:color="auto" w:fill="FFFFFF"/>
            <w:tcMar>
              <w:top w:w="30" w:type="dxa"/>
              <w:left w:w="0" w:type="dxa"/>
              <w:bottom w:w="30" w:type="dxa"/>
              <w:right w:w="20" w:type="dxa"/>
            </w:tcMar>
            <w:vAlign w:val="bottom"/>
            <w:hideMark/>
          </w:tcPr>
          <w:p w14:paraId="0F3A64B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367F6B"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C31BE4" w14:textId="77777777" w:rsidR="00000000" w:rsidRDefault="00C01C43">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2711C283" w14:textId="77777777" w:rsidR="00000000" w:rsidRDefault="00C01C43">
            <w:pPr>
              <w:jc w:val="right"/>
              <w:rPr>
                <w:rFonts w:eastAsia="Times New Roman"/>
              </w:rPr>
            </w:pPr>
            <w:r>
              <w:rPr>
                <w:rFonts w:ascii="Arial" w:eastAsia="Times New Roman" w:hAnsi="Arial" w:cs="Arial"/>
                <w:color w:val="000000"/>
                <w:sz w:val="15"/>
                <w:szCs w:val="15"/>
              </w:rPr>
              <w:t>181.1 </w:t>
            </w:r>
          </w:p>
        </w:tc>
        <w:tc>
          <w:tcPr>
            <w:tcW w:w="0" w:type="auto"/>
            <w:shd w:val="clear" w:color="auto" w:fill="FFFFFF"/>
            <w:tcMar>
              <w:top w:w="30" w:type="dxa"/>
              <w:left w:w="0" w:type="dxa"/>
              <w:bottom w:w="30" w:type="dxa"/>
              <w:right w:w="20" w:type="dxa"/>
            </w:tcMar>
            <w:vAlign w:val="bottom"/>
            <w:hideMark/>
          </w:tcPr>
          <w:p w14:paraId="6F5FD66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1442C"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913783" w14:textId="77777777" w:rsidR="00000000" w:rsidRDefault="00C01C43">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170B42CE" w14:textId="77777777" w:rsidR="00000000" w:rsidRDefault="00C01C43">
            <w:pPr>
              <w:jc w:val="right"/>
              <w:rPr>
                <w:rFonts w:eastAsia="Times New Roman"/>
              </w:rPr>
            </w:pPr>
            <w:r>
              <w:rPr>
                <w:rFonts w:ascii="Arial" w:eastAsia="Times New Roman" w:hAnsi="Arial" w:cs="Arial"/>
                <w:color w:val="000000"/>
                <w:sz w:val="15"/>
                <w:szCs w:val="15"/>
              </w:rPr>
              <w:t>129.0 </w:t>
            </w:r>
          </w:p>
        </w:tc>
        <w:tc>
          <w:tcPr>
            <w:tcW w:w="0" w:type="auto"/>
            <w:shd w:val="clear" w:color="auto" w:fill="FFFFFF"/>
            <w:tcMar>
              <w:top w:w="30" w:type="dxa"/>
              <w:left w:w="0" w:type="dxa"/>
              <w:bottom w:w="30" w:type="dxa"/>
              <w:right w:w="20" w:type="dxa"/>
            </w:tcMar>
            <w:vAlign w:val="bottom"/>
            <w:hideMark/>
          </w:tcPr>
          <w:p w14:paraId="260EA4BD" w14:textId="77777777" w:rsidR="00000000" w:rsidRDefault="00C01C43">
            <w:pPr>
              <w:jc w:val="right"/>
              <w:rPr>
                <w:rFonts w:eastAsia="Times New Roman"/>
              </w:rPr>
            </w:pPr>
          </w:p>
        </w:tc>
      </w:tr>
      <w:tr w:rsidR="00000000" w14:paraId="21B124D5" w14:textId="77777777">
        <w:trPr>
          <w:divId w:val="6870206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232A00B" w14:textId="77777777" w:rsidR="00000000" w:rsidRDefault="00C01C43">
            <w:pPr>
              <w:rPr>
                <w:rFonts w:eastAsia="Times New Roman"/>
              </w:rPr>
            </w:pPr>
            <w:r>
              <w:rPr>
                <w:rFonts w:ascii="Arial" w:eastAsia="Times New Roman" w:hAnsi="Arial" w:cs="Arial"/>
                <w:color w:val="000000"/>
                <w:sz w:val="15"/>
                <w:szCs w:val="15"/>
              </w:rPr>
              <w:t>Adjustments to reconcile net income including noncontrolling interest to net cash provided by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329B45"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7B4E4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77CE9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3C6E6A"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6494E7" w14:textId="77777777" w:rsidR="00000000" w:rsidRDefault="00C01C43">
            <w:pPr>
              <w:rPr>
                <w:rFonts w:eastAsia="Times New Roman"/>
                <w:sz w:val="20"/>
                <w:szCs w:val="20"/>
              </w:rPr>
            </w:pPr>
          </w:p>
        </w:tc>
      </w:tr>
      <w:tr w:rsidR="00000000" w14:paraId="146A6350" w14:textId="77777777">
        <w:trPr>
          <w:divId w:val="687020625"/>
        </w:trPr>
        <w:tc>
          <w:tcPr>
            <w:tcW w:w="0" w:type="auto"/>
            <w:gridSpan w:val="3"/>
            <w:shd w:val="clear" w:color="auto" w:fill="FFFFFF"/>
            <w:tcMar>
              <w:top w:w="30" w:type="dxa"/>
              <w:left w:w="20" w:type="dxa"/>
              <w:bottom w:w="30" w:type="dxa"/>
              <w:right w:w="20" w:type="dxa"/>
            </w:tcMar>
            <w:vAlign w:val="bottom"/>
            <w:hideMark/>
          </w:tcPr>
          <w:p w14:paraId="23DEBAB9" w14:textId="77777777" w:rsidR="00000000" w:rsidRDefault="00C01C43">
            <w:pPr>
              <w:rPr>
                <w:rFonts w:eastAsia="Times New Roman"/>
              </w:rPr>
            </w:pPr>
            <w:r>
              <w:rPr>
                <w:rFonts w:ascii="Arial" w:eastAsia="Times New Roman" w:hAnsi="Arial" w:cs="Arial"/>
                <w:color w:val="000000"/>
                <w:sz w:val="15"/>
                <w:szCs w:val="15"/>
              </w:rPr>
              <w:t>Depreciation and amortization</w:t>
            </w:r>
          </w:p>
        </w:tc>
        <w:tc>
          <w:tcPr>
            <w:tcW w:w="0" w:type="auto"/>
            <w:gridSpan w:val="2"/>
            <w:shd w:val="clear" w:color="auto" w:fill="FFFFFF"/>
            <w:tcMar>
              <w:top w:w="30" w:type="dxa"/>
              <w:left w:w="20" w:type="dxa"/>
              <w:bottom w:w="30" w:type="dxa"/>
              <w:right w:w="0" w:type="dxa"/>
            </w:tcMar>
            <w:vAlign w:val="bottom"/>
            <w:hideMark/>
          </w:tcPr>
          <w:p w14:paraId="32AE1FA7" w14:textId="77777777" w:rsidR="00000000" w:rsidRDefault="00C01C43">
            <w:pPr>
              <w:jc w:val="right"/>
              <w:rPr>
                <w:rFonts w:eastAsia="Times New Roman"/>
              </w:rPr>
            </w:pPr>
            <w:r>
              <w:rPr>
                <w:rFonts w:ascii="Arial" w:eastAsia="Times New Roman" w:hAnsi="Arial" w:cs="Arial"/>
                <w:color w:val="000000"/>
                <w:sz w:val="15"/>
                <w:szCs w:val="15"/>
              </w:rPr>
              <w:t>85.8 </w:t>
            </w:r>
          </w:p>
        </w:tc>
        <w:tc>
          <w:tcPr>
            <w:tcW w:w="0" w:type="auto"/>
            <w:shd w:val="clear" w:color="auto" w:fill="FFFFFF"/>
            <w:tcMar>
              <w:top w:w="30" w:type="dxa"/>
              <w:left w:w="0" w:type="dxa"/>
              <w:bottom w:w="30" w:type="dxa"/>
              <w:right w:w="20" w:type="dxa"/>
            </w:tcMar>
            <w:vAlign w:val="bottom"/>
            <w:hideMark/>
          </w:tcPr>
          <w:p w14:paraId="5D01185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0FB72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F2C63D" w14:textId="77777777" w:rsidR="00000000" w:rsidRDefault="00C01C43">
            <w:pPr>
              <w:jc w:val="right"/>
              <w:rPr>
                <w:rFonts w:eastAsia="Times New Roman"/>
              </w:rPr>
            </w:pPr>
            <w:r>
              <w:rPr>
                <w:rFonts w:ascii="Arial" w:eastAsia="Times New Roman" w:hAnsi="Arial" w:cs="Arial"/>
                <w:color w:val="000000"/>
                <w:sz w:val="15"/>
                <w:szCs w:val="15"/>
              </w:rPr>
              <w:t>87.4 </w:t>
            </w:r>
          </w:p>
        </w:tc>
        <w:tc>
          <w:tcPr>
            <w:tcW w:w="0" w:type="auto"/>
            <w:shd w:val="clear" w:color="auto" w:fill="FFFFFF"/>
            <w:tcMar>
              <w:top w:w="30" w:type="dxa"/>
              <w:left w:w="0" w:type="dxa"/>
              <w:bottom w:w="30" w:type="dxa"/>
              <w:right w:w="20" w:type="dxa"/>
            </w:tcMar>
            <w:vAlign w:val="bottom"/>
            <w:hideMark/>
          </w:tcPr>
          <w:p w14:paraId="7BABCEE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2E3FD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545B72" w14:textId="77777777" w:rsidR="00000000" w:rsidRDefault="00C01C43">
            <w:pPr>
              <w:jc w:val="right"/>
              <w:rPr>
                <w:rFonts w:eastAsia="Times New Roman"/>
              </w:rPr>
            </w:pPr>
            <w:r>
              <w:rPr>
                <w:rFonts w:ascii="Arial" w:eastAsia="Times New Roman" w:hAnsi="Arial" w:cs="Arial"/>
                <w:color w:val="000000"/>
                <w:sz w:val="15"/>
                <w:szCs w:val="15"/>
              </w:rPr>
              <w:t>81.5 </w:t>
            </w:r>
          </w:p>
        </w:tc>
        <w:tc>
          <w:tcPr>
            <w:tcW w:w="0" w:type="auto"/>
            <w:shd w:val="clear" w:color="auto" w:fill="FFFFFF"/>
            <w:tcMar>
              <w:top w:w="30" w:type="dxa"/>
              <w:left w:w="0" w:type="dxa"/>
              <w:bottom w:w="30" w:type="dxa"/>
              <w:right w:w="20" w:type="dxa"/>
            </w:tcMar>
            <w:vAlign w:val="bottom"/>
            <w:hideMark/>
          </w:tcPr>
          <w:p w14:paraId="154508AC" w14:textId="77777777" w:rsidR="00000000" w:rsidRDefault="00C01C43">
            <w:pPr>
              <w:jc w:val="right"/>
              <w:rPr>
                <w:rFonts w:eastAsia="Times New Roman"/>
              </w:rPr>
            </w:pPr>
          </w:p>
        </w:tc>
      </w:tr>
      <w:tr w:rsidR="00000000" w14:paraId="7CEE53D8" w14:textId="77777777">
        <w:trPr>
          <w:divId w:val="687020625"/>
        </w:trPr>
        <w:tc>
          <w:tcPr>
            <w:tcW w:w="0" w:type="auto"/>
            <w:gridSpan w:val="3"/>
            <w:shd w:val="clear" w:color="auto" w:fill="CCEEFF"/>
            <w:tcMar>
              <w:top w:w="30" w:type="dxa"/>
              <w:left w:w="20" w:type="dxa"/>
              <w:bottom w:w="30" w:type="dxa"/>
              <w:right w:w="20" w:type="dxa"/>
            </w:tcMar>
            <w:vAlign w:val="bottom"/>
            <w:hideMark/>
          </w:tcPr>
          <w:p w14:paraId="5070A9B6" w14:textId="77777777" w:rsidR="00000000" w:rsidRDefault="00C01C43">
            <w:pPr>
              <w:rPr>
                <w:rFonts w:eastAsia="Times New Roman"/>
              </w:rPr>
            </w:pPr>
            <w:r>
              <w:rPr>
                <w:rFonts w:ascii="Arial" w:eastAsia="Times New Roman" w:hAnsi="Arial" w:cs="Arial"/>
                <w:color w:val="000000"/>
                <w:sz w:val="15"/>
                <w:szCs w:val="15"/>
              </w:rPr>
              <w:t>Provision for bad debt</w:t>
            </w:r>
          </w:p>
        </w:tc>
        <w:tc>
          <w:tcPr>
            <w:tcW w:w="0" w:type="auto"/>
            <w:gridSpan w:val="2"/>
            <w:shd w:val="clear" w:color="auto" w:fill="CCEEFF"/>
            <w:tcMar>
              <w:top w:w="30" w:type="dxa"/>
              <w:left w:w="20" w:type="dxa"/>
              <w:bottom w:w="30" w:type="dxa"/>
              <w:right w:w="0" w:type="dxa"/>
            </w:tcMar>
            <w:vAlign w:val="bottom"/>
            <w:hideMark/>
          </w:tcPr>
          <w:p w14:paraId="0D2B870F" w14:textId="77777777" w:rsidR="00000000" w:rsidRDefault="00C01C43">
            <w:pPr>
              <w:jc w:val="right"/>
              <w:rPr>
                <w:rFonts w:eastAsia="Times New Roman"/>
              </w:rPr>
            </w:pPr>
            <w:r>
              <w:rPr>
                <w:rFonts w:ascii="Arial" w:eastAsia="Times New Roman" w:hAnsi="Arial" w:cs="Arial"/>
                <w:color w:val="000000"/>
                <w:sz w:val="15"/>
                <w:szCs w:val="15"/>
              </w:rPr>
              <w:t>63.7 </w:t>
            </w:r>
          </w:p>
        </w:tc>
        <w:tc>
          <w:tcPr>
            <w:tcW w:w="0" w:type="auto"/>
            <w:shd w:val="clear" w:color="auto" w:fill="CCEEFF"/>
            <w:tcMar>
              <w:top w:w="30" w:type="dxa"/>
              <w:left w:w="0" w:type="dxa"/>
              <w:bottom w:w="30" w:type="dxa"/>
              <w:right w:w="20" w:type="dxa"/>
            </w:tcMar>
            <w:vAlign w:val="bottom"/>
            <w:hideMark/>
          </w:tcPr>
          <w:p w14:paraId="59E8F90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A7672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2E0211" w14:textId="77777777" w:rsidR="00000000" w:rsidRDefault="00C01C43">
            <w:pPr>
              <w:jc w:val="right"/>
              <w:rPr>
                <w:rFonts w:eastAsia="Times New Roman"/>
              </w:rPr>
            </w:pPr>
            <w:r>
              <w:rPr>
                <w:rFonts w:ascii="Arial" w:eastAsia="Times New Roman" w:hAnsi="Arial" w:cs="Arial"/>
                <w:color w:val="000000"/>
                <w:sz w:val="15"/>
                <w:szCs w:val="15"/>
              </w:rPr>
              <w:t>25.9 </w:t>
            </w:r>
          </w:p>
        </w:tc>
        <w:tc>
          <w:tcPr>
            <w:tcW w:w="0" w:type="auto"/>
            <w:shd w:val="clear" w:color="auto" w:fill="CCEEFF"/>
            <w:tcMar>
              <w:top w:w="30" w:type="dxa"/>
              <w:left w:w="0" w:type="dxa"/>
              <w:bottom w:w="30" w:type="dxa"/>
              <w:right w:w="20" w:type="dxa"/>
            </w:tcMar>
            <w:vAlign w:val="bottom"/>
            <w:hideMark/>
          </w:tcPr>
          <w:p w14:paraId="2E11FC0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F493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A81880" w14:textId="77777777" w:rsidR="00000000" w:rsidRDefault="00C01C43">
            <w:pPr>
              <w:jc w:val="right"/>
              <w:rPr>
                <w:rFonts w:eastAsia="Times New Roman"/>
              </w:rPr>
            </w:pPr>
            <w:r>
              <w:rPr>
                <w:rFonts w:ascii="Arial" w:eastAsia="Times New Roman" w:hAnsi="Arial" w:cs="Arial"/>
                <w:color w:val="000000"/>
                <w:sz w:val="15"/>
                <w:szCs w:val="15"/>
              </w:rPr>
              <w:t>25.1 </w:t>
            </w:r>
          </w:p>
        </w:tc>
        <w:tc>
          <w:tcPr>
            <w:tcW w:w="0" w:type="auto"/>
            <w:shd w:val="clear" w:color="auto" w:fill="CCEEFF"/>
            <w:tcMar>
              <w:top w:w="30" w:type="dxa"/>
              <w:left w:w="0" w:type="dxa"/>
              <w:bottom w:w="30" w:type="dxa"/>
              <w:right w:w="20" w:type="dxa"/>
            </w:tcMar>
            <w:vAlign w:val="bottom"/>
            <w:hideMark/>
          </w:tcPr>
          <w:p w14:paraId="49C09A5A" w14:textId="77777777" w:rsidR="00000000" w:rsidRDefault="00C01C43">
            <w:pPr>
              <w:jc w:val="right"/>
              <w:rPr>
                <w:rFonts w:eastAsia="Times New Roman"/>
              </w:rPr>
            </w:pPr>
          </w:p>
        </w:tc>
      </w:tr>
      <w:tr w:rsidR="00000000" w14:paraId="640213E4" w14:textId="77777777">
        <w:trPr>
          <w:divId w:val="687020625"/>
        </w:trPr>
        <w:tc>
          <w:tcPr>
            <w:tcW w:w="0" w:type="auto"/>
            <w:gridSpan w:val="3"/>
            <w:shd w:val="clear" w:color="auto" w:fill="FFFFFF"/>
            <w:tcMar>
              <w:top w:w="30" w:type="dxa"/>
              <w:left w:w="20" w:type="dxa"/>
              <w:bottom w:w="30" w:type="dxa"/>
              <w:right w:w="20" w:type="dxa"/>
            </w:tcMar>
            <w:vAlign w:val="bottom"/>
            <w:hideMark/>
          </w:tcPr>
          <w:p w14:paraId="5E138DE9" w14:textId="77777777" w:rsidR="00000000" w:rsidRDefault="00C01C43">
            <w:pPr>
              <w:rPr>
                <w:rFonts w:eastAsia="Times New Roman"/>
              </w:rPr>
            </w:pPr>
            <w:r>
              <w:rPr>
                <w:rFonts w:ascii="Arial" w:eastAsia="Times New Roman" w:hAnsi="Arial" w:cs="Arial"/>
                <w:color w:val="000000"/>
                <w:sz w:val="15"/>
                <w:szCs w:val="15"/>
              </w:rPr>
              <w:t>Share-based payment award compensation costs</w:t>
            </w:r>
          </w:p>
        </w:tc>
        <w:tc>
          <w:tcPr>
            <w:tcW w:w="0" w:type="auto"/>
            <w:gridSpan w:val="2"/>
            <w:shd w:val="clear" w:color="auto" w:fill="FFFFFF"/>
            <w:tcMar>
              <w:top w:w="30" w:type="dxa"/>
              <w:left w:w="20" w:type="dxa"/>
              <w:bottom w:w="30" w:type="dxa"/>
              <w:right w:w="0" w:type="dxa"/>
            </w:tcMar>
            <w:vAlign w:val="bottom"/>
            <w:hideMark/>
          </w:tcPr>
          <w:p w14:paraId="2F381B02" w14:textId="77777777" w:rsidR="00000000" w:rsidRDefault="00C01C43">
            <w:pPr>
              <w:jc w:val="right"/>
              <w:rPr>
                <w:rFonts w:eastAsia="Times New Roman"/>
              </w:rPr>
            </w:pPr>
            <w:r>
              <w:rPr>
                <w:rFonts w:ascii="Arial" w:eastAsia="Times New Roman" w:hAnsi="Arial" w:cs="Arial"/>
                <w:color w:val="000000"/>
                <w:sz w:val="15"/>
                <w:szCs w:val="15"/>
              </w:rPr>
              <w:t>(0.9)</w:t>
            </w:r>
          </w:p>
        </w:tc>
        <w:tc>
          <w:tcPr>
            <w:tcW w:w="0" w:type="auto"/>
            <w:shd w:val="clear" w:color="auto" w:fill="FFFFFF"/>
            <w:tcMar>
              <w:top w:w="30" w:type="dxa"/>
              <w:left w:w="0" w:type="dxa"/>
              <w:bottom w:w="30" w:type="dxa"/>
              <w:right w:w="20" w:type="dxa"/>
            </w:tcMar>
            <w:vAlign w:val="bottom"/>
            <w:hideMark/>
          </w:tcPr>
          <w:p w14:paraId="1670DCC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2182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F57EE9" w14:textId="77777777" w:rsidR="00000000" w:rsidRDefault="00C01C43">
            <w:pPr>
              <w:jc w:val="right"/>
              <w:rPr>
                <w:rFonts w:eastAsia="Times New Roman"/>
              </w:rPr>
            </w:pPr>
            <w:r>
              <w:rPr>
                <w:rFonts w:ascii="Arial" w:eastAsia="Times New Roman" w:hAnsi="Arial" w:cs="Arial"/>
                <w:color w:val="000000"/>
                <w:sz w:val="15"/>
                <w:szCs w:val="15"/>
              </w:rPr>
              <w:t>23.6 </w:t>
            </w:r>
          </w:p>
        </w:tc>
        <w:tc>
          <w:tcPr>
            <w:tcW w:w="0" w:type="auto"/>
            <w:shd w:val="clear" w:color="auto" w:fill="FFFFFF"/>
            <w:tcMar>
              <w:top w:w="30" w:type="dxa"/>
              <w:left w:w="0" w:type="dxa"/>
              <w:bottom w:w="30" w:type="dxa"/>
              <w:right w:w="20" w:type="dxa"/>
            </w:tcMar>
            <w:vAlign w:val="bottom"/>
            <w:hideMark/>
          </w:tcPr>
          <w:p w14:paraId="75129C5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3C0F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0DBE95" w14:textId="77777777" w:rsidR="00000000" w:rsidRDefault="00C01C43">
            <w:pPr>
              <w:jc w:val="right"/>
              <w:rPr>
                <w:rFonts w:eastAsia="Times New Roman"/>
              </w:rPr>
            </w:pPr>
            <w:r>
              <w:rPr>
                <w:rFonts w:ascii="Arial" w:eastAsia="Times New Roman" w:hAnsi="Arial" w:cs="Arial"/>
                <w:color w:val="000000"/>
                <w:sz w:val="15"/>
                <w:szCs w:val="15"/>
              </w:rPr>
              <w:t>8.3 </w:t>
            </w:r>
          </w:p>
        </w:tc>
        <w:tc>
          <w:tcPr>
            <w:tcW w:w="0" w:type="auto"/>
            <w:shd w:val="clear" w:color="auto" w:fill="FFFFFF"/>
            <w:tcMar>
              <w:top w:w="30" w:type="dxa"/>
              <w:left w:w="0" w:type="dxa"/>
              <w:bottom w:w="30" w:type="dxa"/>
              <w:right w:w="20" w:type="dxa"/>
            </w:tcMar>
            <w:vAlign w:val="bottom"/>
            <w:hideMark/>
          </w:tcPr>
          <w:p w14:paraId="5F553C95" w14:textId="77777777" w:rsidR="00000000" w:rsidRDefault="00C01C43">
            <w:pPr>
              <w:jc w:val="right"/>
              <w:rPr>
                <w:rFonts w:eastAsia="Times New Roman"/>
              </w:rPr>
            </w:pPr>
          </w:p>
        </w:tc>
      </w:tr>
      <w:tr w:rsidR="00000000" w14:paraId="2D49F6D6" w14:textId="77777777">
        <w:trPr>
          <w:divId w:val="687020625"/>
        </w:trPr>
        <w:tc>
          <w:tcPr>
            <w:tcW w:w="0" w:type="auto"/>
            <w:gridSpan w:val="3"/>
            <w:shd w:val="clear" w:color="auto" w:fill="CCEEFF"/>
            <w:tcMar>
              <w:top w:w="30" w:type="dxa"/>
              <w:left w:w="20" w:type="dxa"/>
              <w:bottom w:w="30" w:type="dxa"/>
              <w:right w:w="20" w:type="dxa"/>
            </w:tcMar>
            <w:vAlign w:val="bottom"/>
            <w:hideMark/>
          </w:tcPr>
          <w:p w14:paraId="3EC20405" w14:textId="77777777" w:rsidR="00000000" w:rsidRDefault="00C01C43">
            <w:pPr>
              <w:rPr>
                <w:rFonts w:eastAsia="Times New Roman"/>
              </w:rPr>
            </w:pPr>
            <w:r>
              <w:rPr>
                <w:rFonts w:ascii="Arial" w:eastAsia="Times New Roman" w:hAnsi="Arial" w:cs="Arial"/>
                <w:color w:val="000000"/>
                <w:sz w:val="15"/>
                <w:szCs w:val="15"/>
              </w:rPr>
              <w:t>Deferred income tax expense (benefit)</w:t>
            </w:r>
          </w:p>
        </w:tc>
        <w:tc>
          <w:tcPr>
            <w:tcW w:w="0" w:type="auto"/>
            <w:gridSpan w:val="2"/>
            <w:shd w:val="clear" w:color="auto" w:fill="CCEEFF"/>
            <w:tcMar>
              <w:top w:w="30" w:type="dxa"/>
              <w:left w:w="20" w:type="dxa"/>
              <w:bottom w:w="30" w:type="dxa"/>
              <w:right w:w="0" w:type="dxa"/>
            </w:tcMar>
            <w:vAlign w:val="bottom"/>
            <w:hideMark/>
          </w:tcPr>
          <w:p w14:paraId="342106C3" w14:textId="77777777" w:rsidR="00000000" w:rsidRDefault="00C01C43">
            <w:pPr>
              <w:jc w:val="right"/>
              <w:rPr>
                <w:rFonts w:eastAsia="Times New Roman"/>
              </w:rPr>
            </w:pPr>
            <w:r>
              <w:rPr>
                <w:rFonts w:ascii="Arial" w:eastAsia="Times New Roman" w:hAnsi="Arial" w:cs="Arial"/>
                <w:color w:val="000000"/>
                <w:sz w:val="15"/>
                <w:szCs w:val="15"/>
              </w:rPr>
              <w:t>(14.4)</w:t>
            </w:r>
          </w:p>
        </w:tc>
        <w:tc>
          <w:tcPr>
            <w:tcW w:w="0" w:type="auto"/>
            <w:shd w:val="clear" w:color="auto" w:fill="CCEEFF"/>
            <w:tcMar>
              <w:top w:w="30" w:type="dxa"/>
              <w:left w:w="0" w:type="dxa"/>
              <w:bottom w:w="30" w:type="dxa"/>
              <w:right w:w="20" w:type="dxa"/>
            </w:tcMar>
            <w:vAlign w:val="bottom"/>
            <w:hideMark/>
          </w:tcPr>
          <w:p w14:paraId="720D439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E73FD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88ED4E" w14:textId="77777777" w:rsidR="00000000" w:rsidRDefault="00C01C43">
            <w:pPr>
              <w:jc w:val="right"/>
              <w:rPr>
                <w:rFonts w:eastAsia="Times New Roman"/>
              </w:rPr>
            </w:pPr>
            <w:r>
              <w:rPr>
                <w:rFonts w:ascii="Arial" w:eastAsia="Times New Roman" w:hAnsi="Arial" w:cs="Arial"/>
                <w:color w:val="000000"/>
                <w:sz w:val="15"/>
                <w:szCs w:val="15"/>
              </w:rPr>
              <w:t>3.3 </w:t>
            </w:r>
          </w:p>
        </w:tc>
        <w:tc>
          <w:tcPr>
            <w:tcW w:w="0" w:type="auto"/>
            <w:shd w:val="clear" w:color="auto" w:fill="CCEEFF"/>
            <w:tcMar>
              <w:top w:w="30" w:type="dxa"/>
              <w:left w:w="0" w:type="dxa"/>
              <w:bottom w:w="30" w:type="dxa"/>
              <w:right w:w="20" w:type="dxa"/>
            </w:tcMar>
            <w:vAlign w:val="bottom"/>
            <w:hideMark/>
          </w:tcPr>
          <w:p w14:paraId="630486C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B36F0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B797F1" w14:textId="77777777" w:rsidR="00000000" w:rsidRDefault="00C01C43">
            <w:pPr>
              <w:jc w:val="right"/>
              <w:rPr>
                <w:rFonts w:eastAsia="Times New Roman"/>
              </w:rPr>
            </w:pPr>
            <w:r>
              <w:rPr>
                <w:rFonts w:ascii="Arial" w:eastAsia="Times New Roman" w:hAnsi="Arial" w:cs="Arial"/>
                <w:color w:val="000000"/>
                <w:sz w:val="15"/>
                <w:szCs w:val="15"/>
              </w:rPr>
              <w:t>(3.2)</w:t>
            </w:r>
          </w:p>
        </w:tc>
        <w:tc>
          <w:tcPr>
            <w:tcW w:w="0" w:type="auto"/>
            <w:shd w:val="clear" w:color="auto" w:fill="CCEEFF"/>
            <w:tcMar>
              <w:top w:w="30" w:type="dxa"/>
              <w:left w:w="0" w:type="dxa"/>
              <w:bottom w:w="30" w:type="dxa"/>
              <w:right w:w="20" w:type="dxa"/>
            </w:tcMar>
            <w:vAlign w:val="bottom"/>
            <w:hideMark/>
          </w:tcPr>
          <w:p w14:paraId="5B4CD310" w14:textId="77777777" w:rsidR="00000000" w:rsidRDefault="00C01C43">
            <w:pPr>
              <w:jc w:val="right"/>
              <w:rPr>
                <w:rFonts w:eastAsia="Times New Roman"/>
              </w:rPr>
            </w:pPr>
          </w:p>
        </w:tc>
      </w:tr>
      <w:tr w:rsidR="00000000" w14:paraId="7D5E83A8" w14:textId="77777777">
        <w:trPr>
          <w:divId w:val="687020625"/>
        </w:trPr>
        <w:tc>
          <w:tcPr>
            <w:tcW w:w="0" w:type="auto"/>
            <w:gridSpan w:val="3"/>
            <w:shd w:val="clear" w:color="auto" w:fill="FFFFFF"/>
            <w:tcMar>
              <w:top w:w="30" w:type="dxa"/>
              <w:left w:w="20" w:type="dxa"/>
              <w:bottom w:w="30" w:type="dxa"/>
              <w:right w:w="20" w:type="dxa"/>
            </w:tcMar>
            <w:vAlign w:val="bottom"/>
            <w:hideMark/>
          </w:tcPr>
          <w:p w14:paraId="098F4A69" w14:textId="77777777" w:rsidR="00000000" w:rsidRDefault="00C01C43">
            <w:pPr>
              <w:rPr>
                <w:rFonts w:eastAsia="Times New Roman"/>
              </w:rPr>
            </w:pPr>
            <w:r>
              <w:rPr>
                <w:rFonts w:ascii="Arial" w:eastAsia="Times New Roman" w:hAnsi="Arial" w:cs="Arial"/>
                <w:color w:val="000000"/>
                <w:sz w:val="15"/>
                <w:szCs w:val="15"/>
              </w:rPr>
              <w:t>Restructuring charges</w:t>
            </w:r>
          </w:p>
        </w:tc>
        <w:tc>
          <w:tcPr>
            <w:tcW w:w="0" w:type="auto"/>
            <w:gridSpan w:val="2"/>
            <w:shd w:val="clear" w:color="auto" w:fill="FFFFFF"/>
            <w:tcMar>
              <w:top w:w="30" w:type="dxa"/>
              <w:left w:w="20" w:type="dxa"/>
              <w:bottom w:w="30" w:type="dxa"/>
              <w:right w:w="0" w:type="dxa"/>
            </w:tcMar>
            <w:vAlign w:val="bottom"/>
            <w:hideMark/>
          </w:tcPr>
          <w:p w14:paraId="59264960" w14:textId="77777777" w:rsidR="00000000" w:rsidRDefault="00C01C43">
            <w:pPr>
              <w:jc w:val="right"/>
              <w:rPr>
                <w:rFonts w:eastAsia="Times New Roman"/>
              </w:rPr>
            </w:pPr>
            <w:r>
              <w:rPr>
                <w:rFonts w:ascii="Arial" w:eastAsia="Times New Roman" w:hAnsi="Arial" w:cs="Arial"/>
                <w:color w:val="000000"/>
                <w:sz w:val="15"/>
                <w:szCs w:val="15"/>
              </w:rPr>
              <w:t>0.3 </w:t>
            </w:r>
          </w:p>
        </w:tc>
        <w:tc>
          <w:tcPr>
            <w:tcW w:w="0" w:type="auto"/>
            <w:shd w:val="clear" w:color="auto" w:fill="FFFFFF"/>
            <w:tcMar>
              <w:top w:w="30" w:type="dxa"/>
              <w:left w:w="0" w:type="dxa"/>
              <w:bottom w:w="30" w:type="dxa"/>
              <w:right w:w="20" w:type="dxa"/>
            </w:tcMar>
            <w:vAlign w:val="bottom"/>
            <w:hideMark/>
          </w:tcPr>
          <w:p w14:paraId="2CD9E0A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8C85B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F39567" w14:textId="77777777" w:rsidR="00000000" w:rsidRDefault="00C01C43">
            <w:pPr>
              <w:jc w:val="right"/>
              <w:rPr>
                <w:rFonts w:eastAsia="Times New Roman"/>
              </w:rPr>
            </w:pPr>
            <w:r>
              <w:rPr>
                <w:rFonts w:ascii="Arial" w:eastAsia="Times New Roman" w:hAnsi="Arial" w:cs="Arial"/>
                <w:color w:val="000000"/>
                <w:sz w:val="15"/>
                <w:szCs w:val="15"/>
              </w:rPr>
              <w:t>12.6 </w:t>
            </w:r>
          </w:p>
        </w:tc>
        <w:tc>
          <w:tcPr>
            <w:tcW w:w="0" w:type="auto"/>
            <w:shd w:val="clear" w:color="auto" w:fill="FFFFFF"/>
            <w:tcMar>
              <w:top w:w="30" w:type="dxa"/>
              <w:left w:w="0" w:type="dxa"/>
              <w:bottom w:w="30" w:type="dxa"/>
              <w:right w:w="20" w:type="dxa"/>
            </w:tcMar>
            <w:vAlign w:val="bottom"/>
            <w:hideMark/>
          </w:tcPr>
          <w:p w14:paraId="65B75FE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E7897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929FC9"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308A2E9" w14:textId="77777777" w:rsidR="00000000" w:rsidRDefault="00C01C43">
            <w:pPr>
              <w:jc w:val="right"/>
              <w:rPr>
                <w:rFonts w:eastAsia="Times New Roman"/>
              </w:rPr>
            </w:pPr>
          </w:p>
        </w:tc>
      </w:tr>
      <w:tr w:rsidR="00000000" w14:paraId="5478013A" w14:textId="77777777">
        <w:trPr>
          <w:divId w:val="687020625"/>
        </w:trPr>
        <w:tc>
          <w:tcPr>
            <w:tcW w:w="0" w:type="auto"/>
            <w:gridSpan w:val="3"/>
            <w:shd w:val="clear" w:color="auto" w:fill="CCEEFF"/>
            <w:tcMar>
              <w:top w:w="30" w:type="dxa"/>
              <w:left w:w="20" w:type="dxa"/>
              <w:bottom w:w="30" w:type="dxa"/>
              <w:right w:w="20" w:type="dxa"/>
            </w:tcMar>
            <w:vAlign w:val="bottom"/>
            <w:hideMark/>
          </w:tcPr>
          <w:p w14:paraId="2DEDBB05" w14:textId="77777777" w:rsidR="00000000" w:rsidRDefault="00C01C43">
            <w:pPr>
              <w:rPr>
                <w:rFonts w:eastAsia="Times New Roman"/>
              </w:rPr>
            </w:pPr>
            <w:r>
              <w:rPr>
                <w:rFonts w:ascii="Arial" w:eastAsia="Times New Roman" w:hAnsi="Arial" w:cs="Arial"/>
                <w:color w:val="000000"/>
                <w:sz w:val="15"/>
                <w:szCs w:val="15"/>
              </w:rPr>
              <w:t xml:space="preserve">Foreign currency (gains) losses, net </w:t>
            </w:r>
          </w:p>
        </w:tc>
        <w:tc>
          <w:tcPr>
            <w:tcW w:w="0" w:type="auto"/>
            <w:gridSpan w:val="2"/>
            <w:shd w:val="clear" w:color="auto" w:fill="CCEEFF"/>
            <w:tcMar>
              <w:top w:w="30" w:type="dxa"/>
              <w:left w:w="20" w:type="dxa"/>
              <w:bottom w:w="30" w:type="dxa"/>
              <w:right w:w="0" w:type="dxa"/>
            </w:tcMar>
            <w:vAlign w:val="bottom"/>
            <w:hideMark/>
          </w:tcPr>
          <w:p w14:paraId="142C8A75" w14:textId="77777777" w:rsidR="00000000" w:rsidRDefault="00C01C43">
            <w:pPr>
              <w:jc w:val="right"/>
              <w:rPr>
                <w:rFonts w:eastAsia="Times New Roman"/>
              </w:rPr>
            </w:pPr>
            <w:r>
              <w:rPr>
                <w:rFonts w:ascii="Arial" w:eastAsia="Times New Roman" w:hAnsi="Arial" w:cs="Arial"/>
                <w:color w:val="000000"/>
                <w:sz w:val="15"/>
                <w:szCs w:val="15"/>
              </w:rPr>
              <w:t>0.6 </w:t>
            </w:r>
          </w:p>
        </w:tc>
        <w:tc>
          <w:tcPr>
            <w:tcW w:w="0" w:type="auto"/>
            <w:shd w:val="clear" w:color="auto" w:fill="CCEEFF"/>
            <w:tcMar>
              <w:top w:w="30" w:type="dxa"/>
              <w:left w:w="0" w:type="dxa"/>
              <w:bottom w:w="30" w:type="dxa"/>
              <w:right w:w="20" w:type="dxa"/>
            </w:tcMar>
            <w:vAlign w:val="bottom"/>
            <w:hideMark/>
          </w:tcPr>
          <w:p w14:paraId="0BC8639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A1CE2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6EABBF" w14:textId="77777777" w:rsidR="00000000" w:rsidRDefault="00C01C43">
            <w:pPr>
              <w:jc w:val="right"/>
              <w:rPr>
                <w:rFonts w:eastAsia="Times New Roman"/>
              </w:rPr>
            </w:pPr>
            <w:r>
              <w:rPr>
                <w:rFonts w:ascii="Arial" w:eastAsia="Times New Roman" w:hAnsi="Arial" w:cs="Arial"/>
                <w:color w:val="000000"/>
                <w:sz w:val="15"/>
                <w:szCs w:val="15"/>
              </w:rPr>
              <w:t>10.8 </w:t>
            </w:r>
          </w:p>
        </w:tc>
        <w:tc>
          <w:tcPr>
            <w:tcW w:w="0" w:type="auto"/>
            <w:shd w:val="clear" w:color="auto" w:fill="CCEEFF"/>
            <w:tcMar>
              <w:top w:w="30" w:type="dxa"/>
              <w:left w:w="0" w:type="dxa"/>
              <w:bottom w:w="30" w:type="dxa"/>
              <w:right w:w="20" w:type="dxa"/>
            </w:tcMar>
            <w:vAlign w:val="bottom"/>
            <w:hideMark/>
          </w:tcPr>
          <w:p w14:paraId="4BBFA8B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B81E4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6EE45C" w14:textId="77777777" w:rsidR="00000000" w:rsidRDefault="00C01C43">
            <w:pPr>
              <w:jc w:val="right"/>
              <w:rPr>
                <w:rFonts w:eastAsia="Times New Roman"/>
              </w:rPr>
            </w:pPr>
            <w:r>
              <w:rPr>
                <w:rFonts w:ascii="Arial" w:eastAsia="Times New Roman" w:hAnsi="Arial" w:cs="Arial"/>
                <w:color w:val="000000"/>
                <w:sz w:val="15"/>
                <w:szCs w:val="15"/>
              </w:rPr>
              <w:t>8.7 </w:t>
            </w:r>
          </w:p>
        </w:tc>
        <w:tc>
          <w:tcPr>
            <w:tcW w:w="0" w:type="auto"/>
            <w:shd w:val="clear" w:color="auto" w:fill="CCEEFF"/>
            <w:tcMar>
              <w:top w:w="30" w:type="dxa"/>
              <w:left w:w="0" w:type="dxa"/>
              <w:bottom w:w="30" w:type="dxa"/>
              <w:right w:w="20" w:type="dxa"/>
            </w:tcMar>
            <w:vAlign w:val="bottom"/>
            <w:hideMark/>
          </w:tcPr>
          <w:p w14:paraId="053B7158" w14:textId="77777777" w:rsidR="00000000" w:rsidRDefault="00C01C43">
            <w:pPr>
              <w:jc w:val="right"/>
              <w:rPr>
                <w:rFonts w:eastAsia="Times New Roman"/>
              </w:rPr>
            </w:pPr>
          </w:p>
        </w:tc>
      </w:tr>
      <w:tr w:rsidR="00000000" w14:paraId="69B1E0EA" w14:textId="77777777">
        <w:trPr>
          <w:divId w:val="687020625"/>
        </w:trPr>
        <w:tc>
          <w:tcPr>
            <w:tcW w:w="0" w:type="auto"/>
            <w:gridSpan w:val="3"/>
            <w:shd w:val="clear" w:color="auto" w:fill="FFFFFF"/>
            <w:tcMar>
              <w:top w:w="30" w:type="dxa"/>
              <w:left w:w="20" w:type="dxa"/>
              <w:bottom w:w="30" w:type="dxa"/>
              <w:right w:w="20" w:type="dxa"/>
            </w:tcMar>
            <w:vAlign w:val="bottom"/>
            <w:hideMark/>
          </w:tcPr>
          <w:p w14:paraId="1AD3FA1F" w14:textId="77777777" w:rsidR="00000000" w:rsidRDefault="00C01C43">
            <w:pPr>
              <w:rPr>
                <w:rFonts w:eastAsia="Times New Roman"/>
              </w:rPr>
            </w:pPr>
            <w:r>
              <w:rPr>
                <w:rFonts w:ascii="Arial" w:eastAsia="Times New Roman" w:hAnsi="Arial" w:cs="Arial"/>
                <w:color w:val="000000"/>
                <w:sz w:val="15"/>
                <w:szCs w:val="15"/>
              </w:rPr>
              <w:t>Gain on sale of business</w:t>
            </w:r>
          </w:p>
        </w:tc>
        <w:tc>
          <w:tcPr>
            <w:tcW w:w="0" w:type="auto"/>
            <w:gridSpan w:val="2"/>
            <w:shd w:val="clear" w:color="auto" w:fill="FFFFFF"/>
            <w:tcMar>
              <w:top w:w="30" w:type="dxa"/>
              <w:left w:w="20" w:type="dxa"/>
              <w:bottom w:w="30" w:type="dxa"/>
              <w:right w:w="0" w:type="dxa"/>
            </w:tcMar>
            <w:vAlign w:val="bottom"/>
            <w:hideMark/>
          </w:tcPr>
          <w:p w14:paraId="512F27E4" w14:textId="77777777" w:rsidR="00000000" w:rsidRDefault="00C01C43">
            <w:pPr>
              <w:jc w:val="right"/>
              <w:rPr>
                <w:rFonts w:eastAsia="Times New Roman"/>
              </w:rPr>
            </w:pPr>
            <w:r>
              <w:rPr>
                <w:rFonts w:ascii="Arial" w:eastAsia="Times New Roman" w:hAnsi="Arial" w:cs="Arial"/>
                <w:color w:val="000000"/>
                <w:sz w:val="15"/>
                <w:szCs w:val="15"/>
              </w:rPr>
              <w:t>(80.0)</w:t>
            </w:r>
          </w:p>
        </w:tc>
        <w:tc>
          <w:tcPr>
            <w:tcW w:w="0" w:type="auto"/>
            <w:shd w:val="clear" w:color="auto" w:fill="FFFFFF"/>
            <w:tcMar>
              <w:top w:w="30" w:type="dxa"/>
              <w:left w:w="0" w:type="dxa"/>
              <w:bottom w:w="30" w:type="dxa"/>
              <w:right w:w="20" w:type="dxa"/>
            </w:tcMar>
            <w:vAlign w:val="bottom"/>
            <w:hideMark/>
          </w:tcPr>
          <w:p w14:paraId="191A2B4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F9EC6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EFD196" w14:textId="77777777" w:rsidR="00000000" w:rsidRDefault="00C01C43">
            <w:pPr>
              <w:jc w:val="right"/>
              <w:rPr>
                <w:rFonts w:eastAsia="Times New Roman"/>
              </w:rPr>
            </w:pPr>
            <w:r>
              <w:rPr>
                <w:rFonts w:ascii="Arial" w:eastAsia="Times New Roman" w:hAnsi="Arial" w:cs="Arial"/>
                <w:color w:val="000000"/>
                <w:sz w:val="15"/>
                <w:szCs w:val="15"/>
              </w:rPr>
              <w:t>(13.9)</w:t>
            </w:r>
          </w:p>
        </w:tc>
        <w:tc>
          <w:tcPr>
            <w:tcW w:w="0" w:type="auto"/>
            <w:shd w:val="clear" w:color="auto" w:fill="FFFFFF"/>
            <w:tcMar>
              <w:top w:w="30" w:type="dxa"/>
              <w:left w:w="0" w:type="dxa"/>
              <w:bottom w:w="30" w:type="dxa"/>
              <w:right w:w="20" w:type="dxa"/>
            </w:tcMar>
            <w:vAlign w:val="bottom"/>
            <w:hideMark/>
          </w:tcPr>
          <w:p w14:paraId="544845F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B1638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443ED5"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102B56E9" w14:textId="77777777" w:rsidR="00000000" w:rsidRDefault="00C01C43">
            <w:pPr>
              <w:jc w:val="right"/>
              <w:rPr>
                <w:rFonts w:eastAsia="Times New Roman"/>
              </w:rPr>
            </w:pPr>
          </w:p>
        </w:tc>
      </w:tr>
      <w:tr w:rsidR="00000000" w14:paraId="32C640F2" w14:textId="77777777">
        <w:trPr>
          <w:divId w:val="687020625"/>
        </w:trPr>
        <w:tc>
          <w:tcPr>
            <w:tcW w:w="0" w:type="auto"/>
            <w:gridSpan w:val="3"/>
            <w:shd w:val="clear" w:color="auto" w:fill="CCEEFF"/>
            <w:tcMar>
              <w:top w:w="30" w:type="dxa"/>
              <w:left w:w="20" w:type="dxa"/>
              <w:bottom w:w="30" w:type="dxa"/>
              <w:right w:w="20" w:type="dxa"/>
            </w:tcMar>
            <w:vAlign w:val="bottom"/>
            <w:hideMark/>
          </w:tcPr>
          <w:p w14:paraId="680E5AA8" w14:textId="77777777" w:rsidR="00000000" w:rsidRDefault="00C01C43">
            <w:pPr>
              <w:rPr>
                <w:rFonts w:eastAsia="Times New Roman"/>
              </w:rPr>
            </w:pPr>
            <w:r>
              <w:rPr>
                <w:rFonts w:ascii="Arial" w:eastAsia="Times New Roman" w:hAnsi="Arial" w:cs="Arial"/>
                <w:color w:val="000000"/>
                <w:sz w:val="15"/>
                <w:szCs w:val="15"/>
              </w:rPr>
              <w:t>Other</w:t>
            </w:r>
          </w:p>
        </w:tc>
        <w:tc>
          <w:tcPr>
            <w:tcW w:w="0" w:type="auto"/>
            <w:gridSpan w:val="2"/>
            <w:shd w:val="clear" w:color="auto" w:fill="CCEEFF"/>
            <w:tcMar>
              <w:top w:w="30" w:type="dxa"/>
              <w:left w:w="20" w:type="dxa"/>
              <w:bottom w:w="30" w:type="dxa"/>
              <w:right w:w="0" w:type="dxa"/>
            </w:tcMar>
            <w:vAlign w:val="bottom"/>
            <w:hideMark/>
          </w:tcPr>
          <w:p w14:paraId="09B8BD38" w14:textId="77777777" w:rsidR="00000000" w:rsidRDefault="00C01C43">
            <w:pPr>
              <w:jc w:val="right"/>
              <w:rPr>
                <w:rFonts w:eastAsia="Times New Roman"/>
              </w:rPr>
            </w:pPr>
            <w:r>
              <w:rPr>
                <w:rFonts w:ascii="Arial" w:eastAsia="Times New Roman" w:hAnsi="Arial" w:cs="Arial"/>
                <w:color w:val="000000"/>
                <w:sz w:val="15"/>
                <w:szCs w:val="15"/>
              </w:rPr>
              <w:t>1.9 </w:t>
            </w:r>
          </w:p>
        </w:tc>
        <w:tc>
          <w:tcPr>
            <w:tcW w:w="0" w:type="auto"/>
            <w:shd w:val="clear" w:color="auto" w:fill="CCEEFF"/>
            <w:tcMar>
              <w:top w:w="30" w:type="dxa"/>
              <w:left w:w="0" w:type="dxa"/>
              <w:bottom w:w="30" w:type="dxa"/>
              <w:right w:w="20" w:type="dxa"/>
            </w:tcMar>
            <w:vAlign w:val="bottom"/>
            <w:hideMark/>
          </w:tcPr>
          <w:p w14:paraId="0F3FCD3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F54A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4E3BB7" w14:textId="77777777" w:rsidR="00000000" w:rsidRDefault="00C01C43">
            <w:pPr>
              <w:jc w:val="right"/>
              <w:rPr>
                <w:rFonts w:eastAsia="Times New Roman"/>
              </w:rPr>
            </w:pPr>
            <w:r>
              <w:rPr>
                <w:rFonts w:ascii="Arial" w:eastAsia="Times New Roman" w:hAnsi="Arial" w:cs="Arial"/>
                <w:color w:val="000000"/>
                <w:sz w:val="15"/>
                <w:szCs w:val="15"/>
              </w:rPr>
              <w:t>(1.8)</w:t>
            </w:r>
          </w:p>
        </w:tc>
        <w:tc>
          <w:tcPr>
            <w:tcW w:w="0" w:type="auto"/>
            <w:shd w:val="clear" w:color="auto" w:fill="CCEEFF"/>
            <w:tcMar>
              <w:top w:w="30" w:type="dxa"/>
              <w:left w:w="0" w:type="dxa"/>
              <w:bottom w:w="30" w:type="dxa"/>
              <w:right w:w="20" w:type="dxa"/>
            </w:tcMar>
            <w:vAlign w:val="bottom"/>
            <w:hideMark/>
          </w:tcPr>
          <w:p w14:paraId="5655C12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0080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A0CEFB" w14:textId="77777777" w:rsidR="00000000" w:rsidRDefault="00C01C43">
            <w:pPr>
              <w:jc w:val="right"/>
              <w:rPr>
                <w:rFonts w:eastAsia="Times New Roman"/>
              </w:rPr>
            </w:pPr>
            <w:r>
              <w:rPr>
                <w:rFonts w:ascii="Arial" w:eastAsia="Times New Roman" w:hAnsi="Arial" w:cs="Arial"/>
                <w:color w:val="000000"/>
                <w:sz w:val="15"/>
                <w:szCs w:val="15"/>
              </w:rPr>
              <w:t>(3.3)</w:t>
            </w:r>
          </w:p>
        </w:tc>
        <w:tc>
          <w:tcPr>
            <w:tcW w:w="0" w:type="auto"/>
            <w:shd w:val="clear" w:color="auto" w:fill="CCEEFF"/>
            <w:tcMar>
              <w:top w:w="30" w:type="dxa"/>
              <w:left w:w="0" w:type="dxa"/>
              <w:bottom w:w="30" w:type="dxa"/>
              <w:right w:w="20" w:type="dxa"/>
            </w:tcMar>
            <w:vAlign w:val="bottom"/>
            <w:hideMark/>
          </w:tcPr>
          <w:p w14:paraId="4F31563D" w14:textId="77777777" w:rsidR="00000000" w:rsidRDefault="00C01C43">
            <w:pPr>
              <w:jc w:val="right"/>
              <w:rPr>
                <w:rFonts w:eastAsia="Times New Roman"/>
              </w:rPr>
            </w:pPr>
          </w:p>
        </w:tc>
      </w:tr>
      <w:tr w:rsidR="00000000" w14:paraId="131BC1D0" w14:textId="77777777">
        <w:trPr>
          <w:divId w:val="687020625"/>
        </w:trPr>
        <w:tc>
          <w:tcPr>
            <w:tcW w:w="0" w:type="auto"/>
            <w:gridSpan w:val="3"/>
            <w:shd w:val="clear" w:color="auto" w:fill="FFFFFF"/>
            <w:tcMar>
              <w:top w:w="30" w:type="dxa"/>
              <w:left w:w="20" w:type="dxa"/>
              <w:bottom w:w="30" w:type="dxa"/>
              <w:right w:w="20" w:type="dxa"/>
            </w:tcMar>
            <w:vAlign w:val="bottom"/>
            <w:hideMark/>
          </w:tcPr>
          <w:p w14:paraId="7AB65522" w14:textId="77777777" w:rsidR="00000000" w:rsidRDefault="00C01C43">
            <w:pPr>
              <w:rPr>
                <w:rFonts w:eastAsia="Times New Roman"/>
              </w:rPr>
            </w:pPr>
            <w:r>
              <w:rPr>
                <w:rFonts w:ascii="Arial" w:eastAsia="Times New Roman" w:hAnsi="Arial" w:cs="Arial"/>
                <w:color w:val="000000"/>
                <w:sz w:val="15"/>
                <w:szCs w:val="15"/>
              </w:rPr>
              <w:t>Changes in assets and liabilities, net of acquisitions and divestitures:</w:t>
            </w:r>
          </w:p>
        </w:tc>
        <w:tc>
          <w:tcPr>
            <w:tcW w:w="0" w:type="auto"/>
            <w:gridSpan w:val="3"/>
            <w:shd w:val="clear" w:color="auto" w:fill="FFFFFF"/>
            <w:tcMar>
              <w:top w:w="30" w:type="dxa"/>
              <w:left w:w="20" w:type="dxa"/>
              <w:bottom w:w="30" w:type="dxa"/>
              <w:right w:w="20" w:type="dxa"/>
            </w:tcMar>
            <w:vAlign w:val="bottom"/>
            <w:hideMark/>
          </w:tcPr>
          <w:p w14:paraId="3FECF5A8"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gridSpan w:val="3"/>
            <w:shd w:val="clear" w:color="auto" w:fill="FFFFFF"/>
            <w:tcMar>
              <w:top w:w="0" w:type="dxa"/>
              <w:left w:w="20" w:type="dxa"/>
              <w:bottom w:w="0" w:type="dxa"/>
              <w:right w:w="20" w:type="dxa"/>
            </w:tcMar>
            <w:vAlign w:val="center"/>
            <w:hideMark/>
          </w:tcPr>
          <w:p w14:paraId="0099151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9B0ED"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952AB8" w14:textId="77777777" w:rsidR="00000000" w:rsidRDefault="00C01C4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C94CA25" w14:textId="77777777" w:rsidR="00000000" w:rsidRDefault="00C01C43">
            <w:pPr>
              <w:rPr>
                <w:rFonts w:eastAsia="Times New Roman"/>
              </w:rPr>
            </w:pPr>
            <w:r>
              <w:rPr>
                <w:rFonts w:ascii="Arial" w:eastAsia="Times New Roman" w:hAnsi="Arial" w:cs="Arial"/>
                <w:color w:val="000000"/>
                <w:sz w:val="15"/>
                <w:szCs w:val="15"/>
              </w:rPr>
              <w:t> </w:t>
            </w:r>
          </w:p>
        </w:tc>
      </w:tr>
      <w:tr w:rsidR="00000000" w14:paraId="2961BE3A" w14:textId="77777777">
        <w:trPr>
          <w:divId w:val="687020625"/>
        </w:trPr>
        <w:tc>
          <w:tcPr>
            <w:tcW w:w="0" w:type="auto"/>
            <w:gridSpan w:val="3"/>
            <w:shd w:val="clear" w:color="auto" w:fill="CCEEFF"/>
            <w:tcMar>
              <w:top w:w="30" w:type="dxa"/>
              <w:left w:w="20" w:type="dxa"/>
              <w:bottom w:w="30" w:type="dxa"/>
              <w:right w:w="20" w:type="dxa"/>
            </w:tcMar>
            <w:vAlign w:val="bottom"/>
            <w:hideMark/>
          </w:tcPr>
          <w:p w14:paraId="2AE71045" w14:textId="77777777" w:rsidR="00000000" w:rsidRDefault="00C01C43">
            <w:pPr>
              <w:divId w:val="1401437562"/>
              <w:rPr>
                <w:rFonts w:eastAsia="Times New Roman"/>
              </w:rPr>
            </w:pPr>
            <w:r>
              <w:rPr>
                <w:rFonts w:ascii="Arial" w:eastAsia="Times New Roman" w:hAnsi="Arial" w:cs="Arial"/>
                <w:color w:val="000000"/>
                <w:sz w:val="15"/>
                <w:szCs w:val="15"/>
              </w:rPr>
              <w:t>Accounts receivable, net (reduced by beneficial interests received in exchange for accounts receivables sold of $369.8 for the year ended December 31, 2018)</w:t>
            </w:r>
          </w:p>
        </w:tc>
        <w:tc>
          <w:tcPr>
            <w:tcW w:w="0" w:type="auto"/>
            <w:gridSpan w:val="2"/>
            <w:shd w:val="clear" w:color="auto" w:fill="CCEEFF"/>
            <w:tcMar>
              <w:top w:w="30" w:type="dxa"/>
              <w:left w:w="20" w:type="dxa"/>
              <w:bottom w:w="30" w:type="dxa"/>
              <w:right w:w="0" w:type="dxa"/>
            </w:tcMar>
            <w:vAlign w:val="bottom"/>
            <w:hideMark/>
          </w:tcPr>
          <w:p w14:paraId="7D67FA62" w14:textId="77777777" w:rsidR="00000000" w:rsidRDefault="00C01C43">
            <w:pPr>
              <w:jc w:val="right"/>
              <w:rPr>
                <w:rFonts w:eastAsia="Times New Roman"/>
              </w:rPr>
            </w:pPr>
            <w:r>
              <w:rPr>
                <w:rFonts w:ascii="Arial" w:eastAsia="Times New Roman" w:hAnsi="Arial" w:cs="Arial"/>
                <w:color w:val="000000"/>
                <w:sz w:val="15"/>
                <w:szCs w:val="15"/>
              </w:rPr>
              <w:t>1,30</w:t>
            </w:r>
            <w:r>
              <w:rPr>
                <w:rFonts w:ascii="Arial" w:eastAsia="Times New Roman" w:hAnsi="Arial" w:cs="Arial"/>
                <w:color w:val="000000"/>
                <w:sz w:val="15"/>
                <w:szCs w:val="15"/>
              </w:rPr>
              <w:t>0.3 </w:t>
            </w:r>
          </w:p>
        </w:tc>
        <w:tc>
          <w:tcPr>
            <w:tcW w:w="0" w:type="auto"/>
            <w:shd w:val="clear" w:color="auto" w:fill="CCEEFF"/>
            <w:tcMar>
              <w:top w:w="30" w:type="dxa"/>
              <w:left w:w="0" w:type="dxa"/>
              <w:bottom w:w="30" w:type="dxa"/>
              <w:right w:w="20" w:type="dxa"/>
            </w:tcMar>
            <w:vAlign w:val="bottom"/>
            <w:hideMark/>
          </w:tcPr>
          <w:p w14:paraId="18FD813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28E9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361E5D" w14:textId="77777777" w:rsidR="00000000" w:rsidRDefault="00C01C43">
            <w:pPr>
              <w:jc w:val="right"/>
              <w:rPr>
                <w:rFonts w:eastAsia="Times New Roman"/>
              </w:rPr>
            </w:pPr>
            <w:r>
              <w:rPr>
                <w:rFonts w:ascii="Arial" w:eastAsia="Times New Roman" w:hAnsi="Arial" w:cs="Arial"/>
                <w:color w:val="000000"/>
                <w:sz w:val="15"/>
                <w:szCs w:val="15"/>
              </w:rPr>
              <w:t>(164.1)</w:t>
            </w:r>
          </w:p>
        </w:tc>
        <w:tc>
          <w:tcPr>
            <w:tcW w:w="0" w:type="auto"/>
            <w:shd w:val="clear" w:color="auto" w:fill="CCEEFF"/>
            <w:tcMar>
              <w:top w:w="30" w:type="dxa"/>
              <w:left w:w="0" w:type="dxa"/>
              <w:bottom w:w="30" w:type="dxa"/>
              <w:right w:w="20" w:type="dxa"/>
            </w:tcMar>
            <w:vAlign w:val="bottom"/>
            <w:hideMark/>
          </w:tcPr>
          <w:p w14:paraId="59379CE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8ABF2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D328D4" w14:textId="77777777" w:rsidR="00000000" w:rsidRDefault="00C01C43">
            <w:pPr>
              <w:jc w:val="right"/>
              <w:rPr>
                <w:rFonts w:eastAsia="Times New Roman"/>
              </w:rPr>
            </w:pPr>
            <w:r>
              <w:rPr>
                <w:rFonts w:ascii="Arial" w:eastAsia="Times New Roman" w:hAnsi="Arial" w:cs="Arial"/>
                <w:color w:val="000000"/>
                <w:sz w:val="15"/>
                <w:szCs w:val="15"/>
              </w:rPr>
              <w:t>(445.2)</w:t>
            </w:r>
          </w:p>
        </w:tc>
        <w:tc>
          <w:tcPr>
            <w:tcW w:w="0" w:type="auto"/>
            <w:shd w:val="clear" w:color="auto" w:fill="CCEEFF"/>
            <w:tcMar>
              <w:top w:w="30" w:type="dxa"/>
              <w:left w:w="0" w:type="dxa"/>
              <w:bottom w:w="30" w:type="dxa"/>
              <w:right w:w="20" w:type="dxa"/>
            </w:tcMar>
            <w:vAlign w:val="bottom"/>
            <w:hideMark/>
          </w:tcPr>
          <w:p w14:paraId="1DD25709" w14:textId="77777777" w:rsidR="00000000" w:rsidRDefault="00C01C43">
            <w:pPr>
              <w:jc w:val="right"/>
              <w:rPr>
                <w:rFonts w:eastAsia="Times New Roman"/>
              </w:rPr>
            </w:pPr>
          </w:p>
        </w:tc>
      </w:tr>
      <w:tr w:rsidR="00000000" w14:paraId="1A7FB306" w14:textId="77777777">
        <w:trPr>
          <w:divId w:val="687020625"/>
        </w:trPr>
        <w:tc>
          <w:tcPr>
            <w:tcW w:w="0" w:type="auto"/>
            <w:gridSpan w:val="3"/>
            <w:shd w:val="clear" w:color="auto" w:fill="FFFFFF"/>
            <w:tcMar>
              <w:top w:w="30" w:type="dxa"/>
              <w:left w:w="20" w:type="dxa"/>
              <w:bottom w:w="30" w:type="dxa"/>
              <w:right w:w="20" w:type="dxa"/>
            </w:tcMar>
            <w:vAlign w:val="bottom"/>
            <w:hideMark/>
          </w:tcPr>
          <w:p w14:paraId="25CB7543" w14:textId="77777777" w:rsidR="00000000" w:rsidRDefault="00C01C43">
            <w:pPr>
              <w:rPr>
                <w:rFonts w:eastAsia="Times New Roman"/>
              </w:rPr>
            </w:pPr>
            <w:r>
              <w:rPr>
                <w:rFonts w:ascii="Arial" w:eastAsia="Times New Roman" w:hAnsi="Arial" w:cs="Arial"/>
                <w:color w:val="000000"/>
                <w:sz w:val="15"/>
                <w:szCs w:val="15"/>
              </w:rPr>
              <w:t>Inventories</w:t>
            </w:r>
          </w:p>
        </w:tc>
        <w:tc>
          <w:tcPr>
            <w:tcW w:w="0" w:type="auto"/>
            <w:gridSpan w:val="2"/>
            <w:shd w:val="clear" w:color="auto" w:fill="FFFFFF"/>
            <w:tcMar>
              <w:top w:w="30" w:type="dxa"/>
              <w:left w:w="20" w:type="dxa"/>
              <w:bottom w:w="30" w:type="dxa"/>
              <w:right w:w="0" w:type="dxa"/>
            </w:tcMar>
            <w:vAlign w:val="bottom"/>
            <w:hideMark/>
          </w:tcPr>
          <w:p w14:paraId="095E5C0B" w14:textId="77777777" w:rsidR="00000000" w:rsidRDefault="00C01C43">
            <w:pPr>
              <w:jc w:val="right"/>
              <w:rPr>
                <w:rFonts w:eastAsia="Times New Roman"/>
              </w:rPr>
            </w:pPr>
            <w:r>
              <w:rPr>
                <w:rFonts w:ascii="Arial" w:eastAsia="Times New Roman" w:hAnsi="Arial" w:cs="Arial"/>
                <w:color w:val="000000"/>
                <w:sz w:val="15"/>
                <w:szCs w:val="15"/>
              </w:rPr>
              <w:t>251.0 </w:t>
            </w:r>
          </w:p>
        </w:tc>
        <w:tc>
          <w:tcPr>
            <w:tcW w:w="0" w:type="auto"/>
            <w:shd w:val="clear" w:color="auto" w:fill="FFFFFF"/>
            <w:tcMar>
              <w:top w:w="30" w:type="dxa"/>
              <w:left w:w="0" w:type="dxa"/>
              <w:bottom w:w="30" w:type="dxa"/>
              <w:right w:w="20" w:type="dxa"/>
            </w:tcMar>
            <w:vAlign w:val="bottom"/>
            <w:hideMark/>
          </w:tcPr>
          <w:p w14:paraId="03FDB72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87D5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9CECC3" w14:textId="77777777" w:rsidR="00000000" w:rsidRDefault="00C01C43">
            <w:pPr>
              <w:jc w:val="right"/>
              <w:rPr>
                <w:rFonts w:eastAsia="Times New Roman"/>
              </w:rPr>
            </w:pPr>
            <w:r>
              <w:rPr>
                <w:rFonts w:ascii="Arial" w:eastAsia="Times New Roman" w:hAnsi="Arial" w:cs="Arial"/>
                <w:color w:val="000000"/>
                <w:sz w:val="15"/>
                <w:szCs w:val="15"/>
              </w:rPr>
              <w:t>(61.3)</w:t>
            </w:r>
          </w:p>
        </w:tc>
        <w:tc>
          <w:tcPr>
            <w:tcW w:w="0" w:type="auto"/>
            <w:shd w:val="clear" w:color="auto" w:fill="FFFFFF"/>
            <w:tcMar>
              <w:top w:w="30" w:type="dxa"/>
              <w:left w:w="0" w:type="dxa"/>
              <w:bottom w:w="30" w:type="dxa"/>
              <w:right w:w="20" w:type="dxa"/>
            </w:tcMar>
            <w:vAlign w:val="bottom"/>
            <w:hideMark/>
          </w:tcPr>
          <w:p w14:paraId="2533C83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5860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42B6E5" w14:textId="77777777" w:rsidR="00000000" w:rsidRDefault="00C01C43">
            <w:pPr>
              <w:jc w:val="right"/>
              <w:rPr>
                <w:rFonts w:eastAsia="Times New Roman"/>
              </w:rPr>
            </w:pPr>
            <w:r>
              <w:rPr>
                <w:rFonts w:ascii="Arial" w:eastAsia="Times New Roman" w:hAnsi="Arial" w:cs="Arial"/>
                <w:color w:val="000000"/>
                <w:sz w:val="15"/>
                <w:szCs w:val="15"/>
              </w:rPr>
              <w:t>(11.8)</w:t>
            </w:r>
          </w:p>
        </w:tc>
        <w:tc>
          <w:tcPr>
            <w:tcW w:w="0" w:type="auto"/>
            <w:shd w:val="clear" w:color="auto" w:fill="FFFFFF"/>
            <w:tcMar>
              <w:top w:w="30" w:type="dxa"/>
              <w:left w:w="0" w:type="dxa"/>
              <w:bottom w:w="30" w:type="dxa"/>
              <w:right w:w="20" w:type="dxa"/>
            </w:tcMar>
            <w:vAlign w:val="bottom"/>
            <w:hideMark/>
          </w:tcPr>
          <w:p w14:paraId="6F6F438F" w14:textId="77777777" w:rsidR="00000000" w:rsidRDefault="00C01C43">
            <w:pPr>
              <w:jc w:val="right"/>
              <w:rPr>
                <w:rFonts w:eastAsia="Times New Roman"/>
              </w:rPr>
            </w:pPr>
          </w:p>
        </w:tc>
      </w:tr>
      <w:tr w:rsidR="00000000" w14:paraId="0C1B4E1F" w14:textId="77777777">
        <w:trPr>
          <w:divId w:val="687020625"/>
        </w:trPr>
        <w:tc>
          <w:tcPr>
            <w:tcW w:w="0" w:type="auto"/>
            <w:gridSpan w:val="3"/>
            <w:shd w:val="clear" w:color="auto" w:fill="CCEEFF"/>
            <w:tcMar>
              <w:top w:w="30" w:type="dxa"/>
              <w:left w:w="20" w:type="dxa"/>
              <w:bottom w:w="30" w:type="dxa"/>
              <w:right w:w="20" w:type="dxa"/>
            </w:tcMar>
            <w:vAlign w:val="bottom"/>
            <w:hideMark/>
          </w:tcPr>
          <w:p w14:paraId="30039A37" w14:textId="77777777" w:rsidR="00000000" w:rsidRDefault="00C01C43">
            <w:pPr>
              <w:rPr>
                <w:rFonts w:eastAsia="Times New Roman"/>
              </w:rPr>
            </w:pPr>
            <w:r>
              <w:rPr>
                <w:rFonts w:ascii="Arial" w:eastAsia="Times New Roman" w:hAnsi="Arial" w:cs="Arial"/>
                <w:color w:val="000000"/>
                <w:sz w:val="15"/>
                <w:szCs w:val="15"/>
              </w:rPr>
              <w:t>Prepaid expenses</w:t>
            </w:r>
          </w:p>
        </w:tc>
        <w:tc>
          <w:tcPr>
            <w:tcW w:w="0" w:type="auto"/>
            <w:gridSpan w:val="2"/>
            <w:shd w:val="clear" w:color="auto" w:fill="CCEEFF"/>
            <w:tcMar>
              <w:top w:w="30" w:type="dxa"/>
              <w:left w:w="20" w:type="dxa"/>
              <w:bottom w:w="30" w:type="dxa"/>
              <w:right w:w="0" w:type="dxa"/>
            </w:tcMar>
            <w:vAlign w:val="bottom"/>
            <w:hideMark/>
          </w:tcPr>
          <w:p w14:paraId="153FE9D4" w14:textId="77777777" w:rsidR="00000000" w:rsidRDefault="00C01C43">
            <w:pPr>
              <w:jc w:val="right"/>
              <w:rPr>
                <w:rFonts w:eastAsia="Times New Roman"/>
              </w:rPr>
            </w:pPr>
            <w:r>
              <w:rPr>
                <w:rFonts w:ascii="Arial" w:eastAsia="Times New Roman" w:hAnsi="Arial" w:cs="Arial"/>
                <w:color w:val="000000"/>
                <w:sz w:val="15"/>
                <w:szCs w:val="15"/>
              </w:rPr>
              <w:t>28.1 </w:t>
            </w:r>
          </w:p>
        </w:tc>
        <w:tc>
          <w:tcPr>
            <w:tcW w:w="0" w:type="auto"/>
            <w:shd w:val="clear" w:color="auto" w:fill="CCEEFF"/>
            <w:tcMar>
              <w:top w:w="30" w:type="dxa"/>
              <w:left w:w="0" w:type="dxa"/>
              <w:bottom w:w="30" w:type="dxa"/>
              <w:right w:w="20" w:type="dxa"/>
            </w:tcMar>
            <w:vAlign w:val="bottom"/>
            <w:hideMark/>
          </w:tcPr>
          <w:p w14:paraId="4FFA262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97AD7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E5B61F" w14:textId="77777777" w:rsidR="00000000" w:rsidRDefault="00C01C43">
            <w:pPr>
              <w:jc w:val="right"/>
              <w:rPr>
                <w:rFonts w:eastAsia="Times New Roman"/>
              </w:rPr>
            </w:pPr>
            <w:r>
              <w:rPr>
                <w:rFonts w:ascii="Arial" w:eastAsia="Times New Roman" w:hAnsi="Arial" w:cs="Arial"/>
                <w:color w:val="000000"/>
                <w:sz w:val="15"/>
                <w:szCs w:val="15"/>
              </w:rPr>
              <w:t>(17.8)</w:t>
            </w:r>
          </w:p>
        </w:tc>
        <w:tc>
          <w:tcPr>
            <w:tcW w:w="0" w:type="auto"/>
            <w:shd w:val="clear" w:color="auto" w:fill="CCEEFF"/>
            <w:tcMar>
              <w:top w:w="30" w:type="dxa"/>
              <w:left w:w="0" w:type="dxa"/>
              <w:bottom w:w="30" w:type="dxa"/>
              <w:right w:w="20" w:type="dxa"/>
            </w:tcMar>
            <w:vAlign w:val="bottom"/>
            <w:hideMark/>
          </w:tcPr>
          <w:p w14:paraId="0288969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5AB5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8C1BCD" w14:textId="77777777" w:rsidR="00000000" w:rsidRDefault="00C01C43">
            <w:pPr>
              <w:jc w:val="right"/>
              <w:rPr>
                <w:rFonts w:eastAsia="Times New Roman"/>
              </w:rPr>
            </w:pPr>
            <w:r>
              <w:rPr>
                <w:rFonts w:ascii="Arial" w:eastAsia="Times New Roman" w:hAnsi="Arial" w:cs="Arial"/>
                <w:color w:val="000000"/>
                <w:sz w:val="15"/>
                <w:szCs w:val="15"/>
              </w:rPr>
              <w:t>(5.3)</w:t>
            </w:r>
          </w:p>
        </w:tc>
        <w:tc>
          <w:tcPr>
            <w:tcW w:w="0" w:type="auto"/>
            <w:shd w:val="clear" w:color="auto" w:fill="CCEEFF"/>
            <w:tcMar>
              <w:top w:w="30" w:type="dxa"/>
              <w:left w:w="0" w:type="dxa"/>
              <w:bottom w:w="30" w:type="dxa"/>
              <w:right w:w="20" w:type="dxa"/>
            </w:tcMar>
            <w:vAlign w:val="bottom"/>
            <w:hideMark/>
          </w:tcPr>
          <w:p w14:paraId="33137279" w14:textId="77777777" w:rsidR="00000000" w:rsidRDefault="00C01C43">
            <w:pPr>
              <w:jc w:val="right"/>
              <w:rPr>
                <w:rFonts w:eastAsia="Times New Roman"/>
              </w:rPr>
            </w:pPr>
          </w:p>
        </w:tc>
      </w:tr>
      <w:tr w:rsidR="00000000" w14:paraId="373ED192" w14:textId="77777777">
        <w:trPr>
          <w:divId w:val="687020625"/>
        </w:trPr>
        <w:tc>
          <w:tcPr>
            <w:tcW w:w="0" w:type="auto"/>
            <w:gridSpan w:val="3"/>
            <w:shd w:val="clear" w:color="auto" w:fill="FFFFFF"/>
            <w:tcMar>
              <w:top w:w="30" w:type="dxa"/>
              <w:left w:w="20" w:type="dxa"/>
              <w:bottom w:w="30" w:type="dxa"/>
              <w:right w:w="20" w:type="dxa"/>
            </w:tcMar>
            <w:vAlign w:val="bottom"/>
            <w:hideMark/>
          </w:tcPr>
          <w:p w14:paraId="0E90BDA7" w14:textId="77777777" w:rsidR="00000000" w:rsidRDefault="00C01C43">
            <w:pPr>
              <w:rPr>
                <w:rFonts w:eastAsia="Times New Roman"/>
              </w:rPr>
            </w:pPr>
            <w:r>
              <w:rPr>
                <w:rFonts w:ascii="Arial" w:eastAsia="Times New Roman" w:hAnsi="Arial" w:cs="Arial"/>
                <w:color w:val="000000"/>
                <w:sz w:val="15"/>
                <w:szCs w:val="15"/>
              </w:rPr>
              <w:t>Short-term derivative assets, net</w:t>
            </w:r>
          </w:p>
        </w:tc>
        <w:tc>
          <w:tcPr>
            <w:tcW w:w="0" w:type="auto"/>
            <w:gridSpan w:val="2"/>
            <w:shd w:val="clear" w:color="auto" w:fill="FFFFFF"/>
            <w:tcMar>
              <w:top w:w="30" w:type="dxa"/>
              <w:left w:w="20" w:type="dxa"/>
              <w:bottom w:w="30" w:type="dxa"/>
              <w:right w:w="0" w:type="dxa"/>
            </w:tcMar>
            <w:vAlign w:val="bottom"/>
            <w:hideMark/>
          </w:tcPr>
          <w:p w14:paraId="61C86098" w14:textId="77777777" w:rsidR="00000000" w:rsidRDefault="00C01C43">
            <w:pPr>
              <w:jc w:val="right"/>
              <w:rPr>
                <w:rFonts w:eastAsia="Times New Roman"/>
              </w:rPr>
            </w:pPr>
            <w:r>
              <w:rPr>
                <w:rFonts w:ascii="Arial" w:eastAsia="Times New Roman" w:hAnsi="Arial" w:cs="Arial"/>
                <w:color w:val="000000"/>
                <w:sz w:val="15"/>
                <w:szCs w:val="15"/>
              </w:rPr>
              <w:t>(6.9)</w:t>
            </w:r>
          </w:p>
        </w:tc>
        <w:tc>
          <w:tcPr>
            <w:tcW w:w="0" w:type="auto"/>
            <w:shd w:val="clear" w:color="auto" w:fill="FFFFFF"/>
            <w:tcMar>
              <w:top w:w="30" w:type="dxa"/>
              <w:left w:w="0" w:type="dxa"/>
              <w:bottom w:w="30" w:type="dxa"/>
              <w:right w:w="20" w:type="dxa"/>
            </w:tcMar>
            <w:vAlign w:val="bottom"/>
            <w:hideMark/>
          </w:tcPr>
          <w:p w14:paraId="5F2E988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DA5A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E86C6E" w14:textId="77777777" w:rsidR="00000000" w:rsidRDefault="00C01C43">
            <w:pPr>
              <w:jc w:val="right"/>
              <w:rPr>
                <w:rFonts w:eastAsia="Times New Roman"/>
              </w:rPr>
            </w:pPr>
            <w:r>
              <w:rPr>
                <w:rFonts w:ascii="Arial" w:eastAsia="Times New Roman" w:hAnsi="Arial" w:cs="Arial"/>
                <w:color w:val="000000"/>
                <w:sz w:val="15"/>
                <w:szCs w:val="15"/>
              </w:rPr>
              <w:t>132.0 </w:t>
            </w:r>
          </w:p>
        </w:tc>
        <w:tc>
          <w:tcPr>
            <w:tcW w:w="0" w:type="auto"/>
            <w:shd w:val="clear" w:color="auto" w:fill="FFFFFF"/>
            <w:tcMar>
              <w:top w:w="30" w:type="dxa"/>
              <w:left w:w="0" w:type="dxa"/>
              <w:bottom w:w="30" w:type="dxa"/>
              <w:right w:w="20" w:type="dxa"/>
            </w:tcMar>
            <w:vAlign w:val="bottom"/>
            <w:hideMark/>
          </w:tcPr>
          <w:p w14:paraId="2294885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40077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6A419C" w14:textId="77777777" w:rsidR="00000000" w:rsidRDefault="00C01C43">
            <w:pPr>
              <w:jc w:val="right"/>
              <w:rPr>
                <w:rFonts w:eastAsia="Times New Roman"/>
              </w:rPr>
            </w:pPr>
            <w:r>
              <w:rPr>
                <w:rFonts w:ascii="Arial" w:eastAsia="Times New Roman" w:hAnsi="Arial" w:cs="Arial"/>
                <w:color w:val="000000"/>
                <w:sz w:val="15"/>
                <w:szCs w:val="15"/>
              </w:rPr>
              <w:t>(151.3)</w:t>
            </w:r>
          </w:p>
        </w:tc>
        <w:tc>
          <w:tcPr>
            <w:tcW w:w="0" w:type="auto"/>
            <w:shd w:val="clear" w:color="auto" w:fill="FFFFFF"/>
            <w:tcMar>
              <w:top w:w="30" w:type="dxa"/>
              <w:left w:w="0" w:type="dxa"/>
              <w:bottom w:w="30" w:type="dxa"/>
              <w:right w:w="20" w:type="dxa"/>
            </w:tcMar>
            <w:vAlign w:val="bottom"/>
            <w:hideMark/>
          </w:tcPr>
          <w:p w14:paraId="3D63C30E" w14:textId="77777777" w:rsidR="00000000" w:rsidRDefault="00C01C43">
            <w:pPr>
              <w:jc w:val="right"/>
              <w:rPr>
                <w:rFonts w:eastAsia="Times New Roman"/>
              </w:rPr>
            </w:pPr>
          </w:p>
        </w:tc>
      </w:tr>
      <w:tr w:rsidR="00000000" w14:paraId="584D3798" w14:textId="77777777">
        <w:trPr>
          <w:divId w:val="687020625"/>
        </w:trPr>
        <w:tc>
          <w:tcPr>
            <w:tcW w:w="0" w:type="auto"/>
            <w:gridSpan w:val="3"/>
            <w:shd w:val="clear" w:color="auto" w:fill="CCEEFF"/>
            <w:tcMar>
              <w:top w:w="30" w:type="dxa"/>
              <w:left w:w="20" w:type="dxa"/>
              <w:bottom w:w="30" w:type="dxa"/>
              <w:right w:w="20" w:type="dxa"/>
            </w:tcMar>
            <w:vAlign w:val="bottom"/>
            <w:hideMark/>
          </w:tcPr>
          <w:p w14:paraId="7FFA8D93" w14:textId="77777777" w:rsidR="00000000" w:rsidRDefault="00C01C43">
            <w:pPr>
              <w:rPr>
                <w:rFonts w:eastAsia="Times New Roman"/>
              </w:rPr>
            </w:pPr>
            <w:r>
              <w:rPr>
                <w:rFonts w:ascii="Arial" w:eastAsia="Times New Roman" w:hAnsi="Arial" w:cs="Arial"/>
                <w:color w:val="000000"/>
                <w:sz w:val="15"/>
                <w:szCs w:val="15"/>
              </w:rPr>
              <w:t>Other current assets</w:t>
            </w:r>
          </w:p>
        </w:tc>
        <w:tc>
          <w:tcPr>
            <w:tcW w:w="0" w:type="auto"/>
            <w:gridSpan w:val="2"/>
            <w:shd w:val="clear" w:color="auto" w:fill="CCEEFF"/>
            <w:tcMar>
              <w:top w:w="30" w:type="dxa"/>
              <w:left w:w="20" w:type="dxa"/>
              <w:bottom w:w="30" w:type="dxa"/>
              <w:right w:w="0" w:type="dxa"/>
            </w:tcMar>
            <w:vAlign w:val="bottom"/>
            <w:hideMark/>
          </w:tcPr>
          <w:p w14:paraId="4A1641CE" w14:textId="77777777" w:rsidR="00000000" w:rsidRDefault="00C01C43">
            <w:pPr>
              <w:jc w:val="right"/>
              <w:rPr>
                <w:rFonts w:eastAsia="Times New Roman"/>
              </w:rPr>
            </w:pPr>
            <w:r>
              <w:rPr>
                <w:rFonts w:ascii="Arial" w:eastAsia="Times New Roman" w:hAnsi="Arial" w:cs="Arial"/>
                <w:color w:val="000000"/>
                <w:sz w:val="15"/>
                <w:szCs w:val="15"/>
              </w:rPr>
              <w:t>63.2 </w:t>
            </w:r>
          </w:p>
        </w:tc>
        <w:tc>
          <w:tcPr>
            <w:tcW w:w="0" w:type="auto"/>
            <w:shd w:val="clear" w:color="auto" w:fill="CCEEFF"/>
            <w:tcMar>
              <w:top w:w="30" w:type="dxa"/>
              <w:left w:w="0" w:type="dxa"/>
              <w:bottom w:w="30" w:type="dxa"/>
              <w:right w:w="20" w:type="dxa"/>
            </w:tcMar>
            <w:vAlign w:val="bottom"/>
            <w:hideMark/>
          </w:tcPr>
          <w:p w14:paraId="52E749F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0E33B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E203C3" w14:textId="77777777" w:rsidR="00000000" w:rsidRDefault="00C01C43">
            <w:pPr>
              <w:jc w:val="right"/>
              <w:rPr>
                <w:rFonts w:eastAsia="Times New Roman"/>
              </w:rPr>
            </w:pPr>
            <w:r>
              <w:rPr>
                <w:rFonts w:ascii="Arial" w:eastAsia="Times New Roman" w:hAnsi="Arial" w:cs="Arial"/>
                <w:color w:val="000000"/>
                <w:sz w:val="15"/>
                <w:szCs w:val="15"/>
              </w:rPr>
              <w:t>(52.8)</w:t>
            </w:r>
          </w:p>
        </w:tc>
        <w:tc>
          <w:tcPr>
            <w:tcW w:w="0" w:type="auto"/>
            <w:shd w:val="clear" w:color="auto" w:fill="CCEEFF"/>
            <w:tcMar>
              <w:top w:w="30" w:type="dxa"/>
              <w:left w:w="0" w:type="dxa"/>
              <w:bottom w:w="30" w:type="dxa"/>
              <w:right w:w="20" w:type="dxa"/>
            </w:tcMar>
            <w:vAlign w:val="bottom"/>
            <w:hideMark/>
          </w:tcPr>
          <w:p w14:paraId="66B7305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69E6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B68CC3" w14:textId="77777777" w:rsidR="00000000" w:rsidRDefault="00C01C43">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53.1)</w:t>
            </w:r>
          </w:p>
        </w:tc>
        <w:tc>
          <w:tcPr>
            <w:tcW w:w="0" w:type="auto"/>
            <w:shd w:val="clear" w:color="auto" w:fill="CCEEFF"/>
            <w:tcMar>
              <w:top w:w="30" w:type="dxa"/>
              <w:left w:w="0" w:type="dxa"/>
              <w:bottom w:w="30" w:type="dxa"/>
              <w:right w:w="20" w:type="dxa"/>
            </w:tcMar>
            <w:vAlign w:val="bottom"/>
            <w:hideMark/>
          </w:tcPr>
          <w:p w14:paraId="1842DE0C" w14:textId="77777777" w:rsidR="00000000" w:rsidRDefault="00C01C43">
            <w:pPr>
              <w:jc w:val="right"/>
              <w:rPr>
                <w:rFonts w:eastAsia="Times New Roman"/>
              </w:rPr>
            </w:pPr>
          </w:p>
        </w:tc>
      </w:tr>
      <w:tr w:rsidR="00000000" w14:paraId="0ACB5812" w14:textId="77777777">
        <w:trPr>
          <w:divId w:val="687020625"/>
        </w:trPr>
        <w:tc>
          <w:tcPr>
            <w:tcW w:w="0" w:type="auto"/>
            <w:gridSpan w:val="3"/>
            <w:shd w:val="clear" w:color="auto" w:fill="FFFFFF"/>
            <w:tcMar>
              <w:top w:w="30" w:type="dxa"/>
              <w:left w:w="20" w:type="dxa"/>
              <w:bottom w:w="30" w:type="dxa"/>
              <w:right w:w="20" w:type="dxa"/>
            </w:tcMar>
            <w:vAlign w:val="bottom"/>
            <w:hideMark/>
          </w:tcPr>
          <w:p w14:paraId="255A95C4" w14:textId="77777777" w:rsidR="00000000" w:rsidRDefault="00C01C43">
            <w:pPr>
              <w:rPr>
                <w:rFonts w:eastAsia="Times New Roman"/>
              </w:rPr>
            </w:pPr>
            <w:r>
              <w:rPr>
                <w:rFonts w:ascii="Arial" w:eastAsia="Times New Roman" w:hAnsi="Arial" w:cs="Arial"/>
                <w:color w:val="000000"/>
                <w:sz w:val="15"/>
                <w:szCs w:val="15"/>
              </w:rPr>
              <w:t>Cash collateral with counterparties</w:t>
            </w:r>
          </w:p>
        </w:tc>
        <w:tc>
          <w:tcPr>
            <w:tcW w:w="0" w:type="auto"/>
            <w:gridSpan w:val="2"/>
            <w:shd w:val="clear" w:color="auto" w:fill="FFFFFF"/>
            <w:tcMar>
              <w:top w:w="30" w:type="dxa"/>
              <w:left w:w="20" w:type="dxa"/>
              <w:bottom w:w="30" w:type="dxa"/>
              <w:right w:w="0" w:type="dxa"/>
            </w:tcMar>
            <w:vAlign w:val="bottom"/>
            <w:hideMark/>
          </w:tcPr>
          <w:p w14:paraId="1F3047FD" w14:textId="77777777" w:rsidR="00000000" w:rsidRDefault="00C01C43">
            <w:pPr>
              <w:jc w:val="right"/>
              <w:rPr>
                <w:rFonts w:eastAsia="Times New Roman"/>
              </w:rPr>
            </w:pPr>
            <w:r>
              <w:rPr>
                <w:rFonts w:ascii="Arial" w:eastAsia="Times New Roman" w:hAnsi="Arial" w:cs="Arial"/>
                <w:color w:val="000000"/>
                <w:sz w:val="15"/>
                <w:szCs w:val="15"/>
              </w:rPr>
              <w:t>44.2 </w:t>
            </w:r>
          </w:p>
        </w:tc>
        <w:tc>
          <w:tcPr>
            <w:tcW w:w="0" w:type="auto"/>
            <w:shd w:val="clear" w:color="auto" w:fill="FFFFFF"/>
            <w:tcMar>
              <w:top w:w="30" w:type="dxa"/>
              <w:left w:w="0" w:type="dxa"/>
              <w:bottom w:w="30" w:type="dxa"/>
              <w:right w:w="20" w:type="dxa"/>
            </w:tcMar>
            <w:vAlign w:val="bottom"/>
            <w:hideMark/>
          </w:tcPr>
          <w:p w14:paraId="1A4668D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30AED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B114F2" w14:textId="77777777" w:rsidR="00000000" w:rsidRDefault="00C01C43">
            <w:pPr>
              <w:jc w:val="right"/>
              <w:rPr>
                <w:rFonts w:eastAsia="Times New Roman"/>
              </w:rPr>
            </w:pPr>
            <w:r>
              <w:rPr>
                <w:rFonts w:ascii="Arial" w:eastAsia="Times New Roman" w:hAnsi="Arial" w:cs="Arial"/>
                <w:color w:val="000000"/>
                <w:sz w:val="15"/>
                <w:szCs w:val="15"/>
              </w:rPr>
              <w:t>(42.7)</w:t>
            </w:r>
          </w:p>
        </w:tc>
        <w:tc>
          <w:tcPr>
            <w:tcW w:w="0" w:type="auto"/>
            <w:shd w:val="clear" w:color="auto" w:fill="FFFFFF"/>
            <w:tcMar>
              <w:top w:w="30" w:type="dxa"/>
              <w:left w:w="0" w:type="dxa"/>
              <w:bottom w:w="30" w:type="dxa"/>
              <w:right w:w="20" w:type="dxa"/>
            </w:tcMar>
            <w:vAlign w:val="bottom"/>
            <w:hideMark/>
          </w:tcPr>
          <w:p w14:paraId="1C7D7EC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468B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E2DE19" w14:textId="77777777" w:rsidR="00000000" w:rsidRDefault="00C01C43">
            <w:pPr>
              <w:jc w:val="right"/>
              <w:rPr>
                <w:rFonts w:eastAsia="Times New Roman"/>
              </w:rPr>
            </w:pPr>
            <w:r>
              <w:rPr>
                <w:rFonts w:ascii="Arial" w:eastAsia="Times New Roman" w:hAnsi="Arial" w:cs="Arial"/>
                <w:color w:val="000000"/>
                <w:sz w:val="15"/>
                <w:szCs w:val="15"/>
              </w:rPr>
              <w:t>29.2 </w:t>
            </w:r>
          </w:p>
        </w:tc>
        <w:tc>
          <w:tcPr>
            <w:tcW w:w="0" w:type="auto"/>
            <w:shd w:val="clear" w:color="auto" w:fill="FFFFFF"/>
            <w:tcMar>
              <w:top w:w="30" w:type="dxa"/>
              <w:left w:w="0" w:type="dxa"/>
              <w:bottom w:w="30" w:type="dxa"/>
              <w:right w:w="20" w:type="dxa"/>
            </w:tcMar>
            <w:vAlign w:val="bottom"/>
            <w:hideMark/>
          </w:tcPr>
          <w:p w14:paraId="736F2AD6" w14:textId="77777777" w:rsidR="00000000" w:rsidRDefault="00C01C43">
            <w:pPr>
              <w:jc w:val="right"/>
              <w:rPr>
                <w:rFonts w:eastAsia="Times New Roman"/>
              </w:rPr>
            </w:pPr>
          </w:p>
        </w:tc>
      </w:tr>
      <w:tr w:rsidR="00000000" w14:paraId="47DD6E62" w14:textId="77777777">
        <w:trPr>
          <w:divId w:val="687020625"/>
        </w:trPr>
        <w:tc>
          <w:tcPr>
            <w:tcW w:w="0" w:type="auto"/>
            <w:gridSpan w:val="3"/>
            <w:shd w:val="clear" w:color="auto" w:fill="CCEEFF"/>
            <w:tcMar>
              <w:top w:w="30" w:type="dxa"/>
              <w:left w:w="20" w:type="dxa"/>
              <w:bottom w:w="30" w:type="dxa"/>
              <w:right w:w="20" w:type="dxa"/>
            </w:tcMar>
            <w:vAlign w:val="bottom"/>
            <w:hideMark/>
          </w:tcPr>
          <w:p w14:paraId="35FE55A0" w14:textId="77777777" w:rsidR="00000000" w:rsidRDefault="00C01C43">
            <w:pPr>
              <w:rPr>
                <w:rFonts w:eastAsia="Times New Roman"/>
              </w:rPr>
            </w:pPr>
            <w:r>
              <w:rPr>
                <w:rFonts w:ascii="Arial" w:eastAsia="Times New Roman" w:hAnsi="Arial" w:cs="Arial"/>
                <w:color w:val="000000"/>
                <w:sz w:val="15"/>
                <w:szCs w:val="15"/>
              </w:rPr>
              <w:t>Other non-current assets</w:t>
            </w:r>
          </w:p>
        </w:tc>
        <w:tc>
          <w:tcPr>
            <w:tcW w:w="0" w:type="auto"/>
            <w:gridSpan w:val="2"/>
            <w:shd w:val="clear" w:color="auto" w:fill="CCEEFF"/>
            <w:tcMar>
              <w:top w:w="30" w:type="dxa"/>
              <w:left w:w="20" w:type="dxa"/>
              <w:bottom w:w="30" w:type="dxa"/>
              <w:right w:w="0" w:type="dxa"/>
            </w:tcMar>
            <w:vAlign w:val="bottom"/>
            <w:hideMark/>
          </w:tcPr>
          <w:p w14:paraId="79279F9B" w14:textId="77777777" w:rsidR="00000000" w:rsidRDefault="00C01C43">
            <w:pPr>
              <w:jc w:val="right"/>
              <w:rPr>
                <w:rFonts w:eastAsia="Times New Roman"/>
              </w:rPr>
            </w:pPr>
            <w:r>
              <w:rPr>
                <w:rFonts w:ascii="Arial" w:eastAsia="Times New Roman" w:hAnsi="Arial" w:cs="Arial"/>
                <w:color w:val="000000"/>
                <w:sz w:val="15"/>
                <w:szCs w:val="15"/>
              </w:rPr>
              <w:t>(8.7)</w:t>
            </w:r>
          </w:p>
        </w:tc>
        <w:tc>
          <w:tcPr>
            <w:tcW w:w="0" w:type="auto"/>
            <w:shd w:val="clear" w:color="auto" w:fill="CCEEFF"/>
            <w:tcMar>
              <w:top w:w="30" w:type="dxa"/>
              <w:left w:w="0" w:type="dxa"/>
              <w:bottom w:w="30" w:type="dxa"/>
              <w:right w:w="20" w:type="dxa"/>
            </w:tcMar>
            <w:vAlign w:val="bottom"/>
            <w:hideMark/>
          </w:tcPr>
          <w:p w14:paraId="0022FE4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11B0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F75282" w14:textId="77777777" w:rsidR="00000000" w:rsidRDefault="00C01C43">
            <w:pPr>
              <w:jc w:val="right"/>
              <w:rPr>
                <w:rFonts w:eastAsia="Times New Roman"/>
              </w:rPr>
            </w:pPr>
            <w:r>
              <w:rPr>
                <w:rFonts w:ascii="Arial" w:eastAsia="Times New Roman" w:hAnsi="Arial" w:cs="Arial"/>
                <w:color w:val="000000"/>
                <w:sz w:val="15"/>
                <w:szCs w:val="15"/>
              </w:rPr>
              <w:t>33.6 </w:t>
            </w:r>
          </w:p>
        </w:tc>
        <w:tc>
          <w:tcPr>
            <w:tcW w:w="0" w:type="auto"/>
            <w:shd w:val="clear" w:color="auto" w:fill="CCEEFF"/>
            <w:tcMar>
              <w:top w:w="30" w:type="dxa"/>
              <w:left w:w="0" w:type="dxa"/>
              <w:bottom w:w="30" w:type="dxa"/>
              <w:right w:w="20" w:type="dxa"/>
            </w:tcMar>
            <w:vAlign w:val="bottom"/>
            <w:hideMark/>
          </w:tcPr>
          <w:p w14:paraId="5325217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19CB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65BAB9" w14:textId="77777777" w:rsidR="00000000" w:rsidRDefault="00C01C43">
            <w:pPr>
              <w:jc w:val="right"/>
              <w:rPr>
                <w:rFonts w:eastAsia="Times New Roman"/>
              </w:rPr>
            </w:pPr>
            <w:r>
              <w:rPr>
                <w:rFonts w:ascii="Arial" w:eastAsia="Times New Roman" w:hAnsi="Arial" w:cs="Arial"/>
                <w:color w:val="000000"/>
                <w:sz w:val="15"/>
                <w:szCs w:val="15"/>
              </w:rPr>
              <w:t>(61.5)</w:t>
            </w:r>
          </w:p>
        </w:tc>
        <w:tc>
          <w:tcPr>
            <w:tcW w:w="0" w:type="auto"/>
            <w:shd w:val="clear" w:color="auto" w:fill="CCEEFF"/>
            <w:tcMar>
              <w:top w:w="30" w:type="dxa"/>
              <w:left w:w="0" w:type="dxa"/>
              <w:bottom w:w="30" w:type="dxa"/>
              <w:right w:w="20" w:type="dxa"/>
            </w:tcMar>
            <w:vAlign w:val="bottom"/>
            <w:hideMark/>
          </w:tcPr>
          <w:p w14:paraId="46B9256C" w14:textId="77777777" w:rsidR="00000000" w:rsidRDefault="00C01C43">
            <w:pPr>
              <w:jc w:val="right"/>
              <w:rPr>
                <w:rFonts w:eastAsia="Times New Roman"/>
              </w:rPr>
            </w:pPr>
          </w:p>
        </w:tc>
      </w:tr>
      <w:tr w:rsidR="00000000" w14:paraId="4B9CB748" w14:textId="77777777">
        <w:trPr>
          <w:divId w:val="687020625"/>
        </w:trPr>
        <w:tc>
          <w:tcPr>
            <w:tcW w:w="0" w:type="auto"/>
            <w:gridSpan w:val="3"/>
            <w:shd w:val="clear" w:color="auto" w:fill="FFFFFF"/>
            <w:tcMar>
              <w:top w:w="30" w:type="dxa"/>
              <w:left w:w="20" w:type="dxa"/>
              <w:bottom w:w="30" w:type="dxa"/>
              <w:right w:w="20" w:type="dxa"/>
            </w:tcMar>
            <w:vAlign w:val="bottom"/>
            <w:hideMark/>
          </w:tcPr>
          <w:p w14:paraId="14E090C1" w14:textId="77777777" w:rsidR="00000000" w:rsidRDefault="00C01C43">
            <w:pPr>
              <w:rPr>
                <w:rFonts w:eastAsia="Times New Roman"/>
              </w:rPr>
            </w:pPr>
            <w:r>
              <w:rPr>
                <w:rFonts w:ascii="Arial" w:eastAsia="Times New Roman" w:hAnsi="Arial" w:cs="Arial"/>
                <w:color w:val="000000"/>
                <w:sz w:val="15"/>
                <w:szCs w:val="15"/>
              </w:rPr>
              <w:t>Accounts payable</w:t>
            </w:r>
          </w:p>
        </w:tc>
        <w:tc>
          <w:tcPr>
            <w:tcW w:w="0" w:type="auto"/>
            <w:gridSpan w:val="2"/>
            <w:shd w:val="clear" w:color="auto" w:fill="FFFFFF"/>
            <w:tcMar>
              <w:top w:w="30" w:type="dxa"/>
              <w:left w:w="20" w:type="dxa"/>
              <w:bottom w:w="30" w:type="dxa"/>
              <w:right w:w="0" w:type="dxa"/>
            </w:tcMar>
            <w:vAlign w:val="bottom"/>
            <w:hideMark/>
          </w:tcPr>
          <w:p w14:paraId="061DE5DA" w14:textId="77777777" w:rsidR="00000000" w:rsidRDefault="00C01C43">
            <w:pPr>
              <w:jc w:val="right"/>
              <w:rPr>
                <w:rFonts w:eastAsia="Times New Roman"/>
              </w:rPr>
            </w:pPr>
            <w:r>
              <w:rPr>
                <w:rFonts w:ascii="Arial" w:eastAsia="Times New Roman" w:hAnsi="Arial" w:cs="Arial"/>
                <w:color w:val="000000"/>
                <w:sz w:val="15"/>
                <w:szCs w:val="15"/>
              </w:rPr>
              <w:t>(1,223.9)</w:t>
            </w:r>
          </w:p>
        </w:tc>
        <w:tc>
          <w:tcPr>
            <w:tcW w:w="0" w:type="auto"/>
            <w:shd w:val="clear" w:color="auto" w:fill="FFFFFF"/>
            <w:tcMar>
              <w:top w:w="30" w:type="dxa"/>
              <w:left w:w="0" w:type="dxa"/>
              <w:bottom w:w="30" w:type="dxa"/>
              <w:right w:w="20" w:type="dxa"/>
            </w:tcMar>
            <w:vAlign w:val="bottom"/>
            <w:hideMark/>
          </w:tcPr>
          <w:p w14:paraId="4407965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1F5FA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A52731" w14:textId="77777777" w:rsidR="00000000" w:rsidRDefault="00C01C43">
            <w:pPr>
              <w:jc w:val="right"/>
              <w:rPr>
                <w:rFonts w:eastAsia="Times New Roman"/>
              </w:rPr>
            </w:pPr>
            <w:r>
              <w:rPr>
                <w:rFonts w:ascii="Arial" w:eastAsia="Times New Roman" w:hAnsi="Arial" w:cs="Arial"/>
                <w:color w:val="000000"/>
                <w:sz w:val="15"/>
                <w:szCs w:val="15"/>
              </w:rPr>
              <w:t>143.7 </w:t>
            </w:r>
          </w:p>
        </w:tc>
        <w:tc>
          <w:tcPr>
            <w:tcW w:w="0" w:type="auto"/>
            <w:shd w:val="clear" w:color="auto" w:fill="FFFFFF"/>
            <w:tcMar>
              <w:top w:w="30" w:type="dxa"/>
              <w:left w:w="0" w:type="dxa"/>
              <w:bottom w:w="30" w:type="dxa"/>
              <w:right w:w="20" w:type="dxa"/>
            </w:tcMar>
            <w:vAlign w:val="bottom"/>
            <w:hideMark/>
          </w:tcPr>
          <w:p w14:paraId="32DD4C2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F6DB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E05DB2" w14:textId="77777777" w:rsidR="00000000" w:rsidRDefault="00C01C43">
            <w:pPr>
              <w:jc w:val="right"/>
              <w:rPr>
                <w:rFonts w:eastAsia="Times New Roman"/>
              </w:rPr>
            </w:pPr>
            <w:r>
              <w:rPr>
                <w:rFonts w:ascii="Arial" w:eastAsia="Times New Roman" w:hAnsi="Arial" w:cs="Arial"/>
                <w:color w:val="000000"/>
                <w:sz w:val="15"/>
                <w:szCs w:val="15"/>
              </w:rPr>
              <w:t>171.3 </w:t>
            </w:r>
          </w:p>
        </w:tc>
        <w:tc>
          <w:tcPr>
            <w:tcW w:w="0" w:type="auto"/>
            <w:shd w:val="clear" w:color="auto" w:fill="FFFFFF"/>
            <w:tcMar>
              <w:top w:w="30" w:type="dxa"/>
              <w:left w:w="0" w:type="dxa"/>
              <w:bottom w:w="30" w:type="dxa"/>
              <w:right w:w="20" w:type="dxa"/>
            </w:tcMar>
            <w:vAlign w:val="bottom"/>
            <w:hideMark/>
          </w:tcPr>
          <w:p w14:paraId="7A773E44" w14:textId="77777777" w:rsidR="00000000" w:rsidRDefault="00C01C43">
            <w:pPr>
              <w:jc w:val="right"/>
              <w:rPr>
                <w:rFonts w:eastAsia="Times New Roman"/>
              </w:rPr>
            </w:pPr>
          </w:p>
        </w:tc>
      </w:tr>
      <w:tr w:rsidR="00000000" w14:paraId="57494506" w14:textId="77777777">
        <w:trPr>
          <w:divId w:val="687020625"/>
        </w:trPr>
        <w:tc>
          <w:tcPr>
            <w:tcW w:w="0" w:type="auto"/>
            <w:gridSpan w:val="3"/>
            <w:shd w:val="clear" w:color="auto" w:fill="CCEEFF"/>
            <w:tcMar>
              <w:top w:w="30" w:type="dxa"/>
              <w:left w:w="20" w:type="dxa"/>
              <w:bottom w:w="30" w:type="dxa"/>
              <w:right w:w="20" w:type="dxa"/>
            </w:tcMar>
            <w:vAlign w:val="bottom"/>
            <w:hideMark/>
          </w:tcPr>
          <w:p w14:paraId="5630134E" w14:textId="77777777" w:rsidR="00000000" w:rsidRDefault="00C01C43">
            <w:pPr>
              <w:rPr>
                <w:rFonts w:eastAsia="Times New Roman"/>
              </w:rPr>
            </w:pPr>
            <w:r>
              <w:rPr>
                <w:rFonts w:ascii="Arial" w:eastAsia="Times New Roman" w:hAnsi="Arial" w:cs="Arial"/>
                <w:color w:val="000000"/>
                <w:sz w:val="15"/>
                <w:szCs w:val="15"/>
              </w:rPr>
              <w:t>Customer deposits</w:t>
            </w:r>
          </w:p>
        </w:tc>
        <w:tc>
          <w:tcPr>
            <w:tcW w:w="0" w:type="auto"/>
            <w:gridSpan w:val="2"/>
            <w:shd w:val="clear" w:color="auto" w:fill="CCEEFF"/>
            <w:tcMar>
              <w:top w:w="30" w:type="dxa"/>
              <w:left w:w="20" w:type="dxa"/>
              <w:bottom w:w="30" w:type="dxa"/>
              <w:right w:w="0" w:type="dxa"/>
            </w:tcMar>
            <w:vAlign w:val="bottom"/>
            <w:hideMark/>
          </w:tcPr>
          <w:p w14:paraId="0D61827D" w14:textId="77777777" w:rsidR="00000000" w:rsidRDefault="00C01C43">
            <w:pPr>
              <w:jc w:val="right"/>
              <w:rPr>
                <w:rFonts w:eastAsia="Times New Roman"/>
              </w:rPr>
            </w:pPr>
            <w:r>
              <w:rPr>
                <w:rFonts w:ascii="Arial" w:eastAsia="Times New Roman" w:hAnsi="Arial" w:cs="Arial"/>
                <w:color w:val="000000"/>
                <w:sz w:val="15"/>
                <w:szCs w:val="15"/>
              </w:rPr>
              <w:t>23.6 </w:t>
            </w:r>
          </w:p>
        </w:tc>
        <w:tc>
          <w:tcPr>
            <w:tcW w:w="0" w:type="auto"/>
            <w:shd w:val="clear" w:color="auto" w:fill="CCEEFF"/>
            <w:tcMar>
              <w:top w:w="30" w:type="dxa"/>
              <w:left w:w="0" w:type="dxa"/>
              <w:bottom w:w="30" w:type="dxa"/>
              <w:right w:w="20" w:type="dxa"/>
            </w:tcMar>
            <w:vAlign w:val="bottom"/>
            <w:hideMark/>
          </w:tcPr>
          <w:p w14:paraId="70D79F2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012EF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72F852" w14:textId="77777777" w:rsidR="00000000" w:rsidRDefault="00C01C43">
            <w:pPr>
              <w:jc w:val="right"/>
              <w:rPr>
                <w:rFonts w:eastAsia="Times New Roman"/>
              </w:rPr>
            </w:pPr>
            <w:r>
              <w:rPr>
                <w:rFonts w:ascii="Arial" w:eastAsia="Times New Roman" w:hAnsi="Arial" w:cs="Arial"/>
                <w:color w:val="000000"/>
                <w:sz w:val="15"/>
                <w:szCs w:val="15"/>
              </w:rPr>
              <w:t>8.1 </w:t>
            </w:r>
          </w:p>
        </w:tc>
        <w:tc>
          <w:tcPr>
            <w:tcW w:w="0" w:type="auto"/>
            <w:shd w:val="clear" w:color="auto" w:fill="CCEEFF"/>
            <w:tcMar>
              <w:top w:w="30" w:type="dxa"/>
              <w:left w:w="0" w:type="dxa"/>
              <w:bottom w:w="30" w:type="dxa"/>
              <w:right w:w="20" w:type="dxa"/>
            </w:tcMar>
            <w:vAlign w:val="bottom"/>
            <w:hideMark/>
          </w:tcPr>
          <w:p w14:paraId="30AD25A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B270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660951" w14:textId="77777777" w:rsidR="00000000" w:rsidRDefault="00C01C43">
            <w:pPr>
              <w:jc w:val="right"/>
              <w:rPr>
                <w:rFonts w:eastAsia="Times New Roman"/>
              </w:rPr>
            </w:pPr>
            <w:r>
              <w:rPr>
                <w:rFonts w:ascii="Arial" w:eastAsia="Times New Roman" w:hAnsi="Arial" w:cs="Arial"/>
                <w:color w:val="000000"/>
                <w:sz w:val="15"/>
                <w:szCs w:val="15"/>
              </w:rPr>
              <w:t>11.8 </w:t>
            </w:r>
          </w:p>
        </w:tc>
        <w:tc>
          <w:tcPr>
            <w:tcW w:w="0" w:type="auto"/>
            <w:shd w:val="clear" w:color="auto" w:fill="CCEEFF"/>
            <w:tcMar>
              <w:top w:w="30" w:type="dxa"/>
              <w:left w:w="0" w:type="dxa"/>
              <w:bottom w:w="30" w:type="dxa"/>
              <w:right w:w="20" w:type="dxa"/>
            </w:tcMar>
            <w:vAlign w:val="bottom"/>
            <w:hideMark/>
          </w:tcPr>
          <w:p w14:paraId="0B806256" w14:textId="77777777" w:rsidR="00000000" w:rsidRDefault="00C01C43">
            <w:pPr>
              <w:jc w:val="right"/>
              <w:rPr>
                <w:rFonts w:eastAsia="Times New Roman"/>
              </w:rPr>
            </w:pPr>
          </w:p>
        </w:tc>
      </w:tr>
      <w:tr w:rsidR="00000000" w14:paraId="284EACC9" w14:textId="77777777">
        <w:trPr>
          <w:divId w:val="687020625"/>
        </w:trPr>
        <w:tc>
          <w:tcPr>
            <w:tcW w:w="0" w:type="auto"/>
            <w:gridSpan w:val="3"/>
            <w:shd w:val="clear" w:color="auto" w:fill="FFFFFF"/>
            <w:tcMar>
              <w:top w:w="30" w:type="dxa"/>
              <w:left w:w="20" w:type="dxa"/>
              <w:bottom w:w="30" w:type="dxa"/>
              <w:right w:w="20" w:type="dxa"/>
            </w:tcMar>
            <w:vAlign w:val="bottom"/>
            <w:hideMark/>
          </w:tcPr>
          <w:p w14:paraId="30E9D178" w14:textId="77777777" w:rsidR="00000000" w:rsidRDefault="00C01C43">
            <w:pPr>
              <w:rPr>
                <w:rFonts w:eastAsia="Times New Roman"/>
              </w:rPr>
            </w:pPr>
            <w:r>
              <w:rPr>
                <w:rFonts w:ascii="Arial" w:eastAsia="Times New Roman" w:hAnsi="Arial" w:cs="Arial"/>
                <w:color w:val="000000"/>
                <w:sz w:val="15"/>
                <w:szCs w:val="15"/>
              </w:rPr>
              <w:t>Accrued expenses and other current liabilities</w:t>
            </w:r>
          </w:p>
        </w:tc>
        <w:tc>
          <w:tcPr>
            <w:tcW w:w="0" w:type="auto"/>
            <w:gridSpan w:val="2"/>
            <w:shd w:val="clear" w:color="auto" w:fill="FFFFFF"/>
            <w:tcMar>
              <w:top w:w="30" w:type="dxa"/>
              <w:left w:w="20" w:type="dxa"/>
              <w:bottom w:w="30" w:type="dxa"/>
              <w:right w:w="0" w:type="dxa"/>
            </w:tcMar>
            <w:vAlign w:val="bottom"/>
            <w:hideMark/>
          </w:tcPr>
          <w:p w14:paraId="1515BDB7" w14:textId="77777777" w:rsidR="00000000" w:rsidRDefault="00C01C43">
            <w:pPr>
              <w:jc w:val="right"/>
              <w:rPr>
                <w:rFonts w:eastAsia="Times New Roman"/>
              </w:rPr>
            </w:pPr>
            <w:r>
              <w:rPr>
                <w:rFonts w:ascii="Arial" w:eastAsia="Times New Roman" w:hAnsi="Arial" w:cs="Arial"/>
                <w:color w:val="000000"/>
                <w:sz w:val="15"/>
                <w:szCs w:val="15"/>
              </w:rPr>
              <w:t>(87.6)</w:t>
            </w:r>
          </w:p>
        </w:tc>
        <w:tc>
          <w:tcPr>
            <w:tcW w:w="0" w:type="auto"/>
            <w:shd w:val="clear" w:color="auto" w:fill="FFFFFF"/>
            <w:tcMar>
              <w:top w:w="30" w:type="dxa"/>
              <w:left w:w="0" w:type="dxa"/>
              <w:bottom w:w="30" w:type="dxa"/>
              <w:right w:w="20" w:type="dxa"/>
            </w:tcMar>
            <w:vAlign w:val="bottom"/>
            <w:hideMark/>
          </w:tcPr>
          <w:p w14:paraId="7E1BD62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F319E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360324" w14:textId="77777777" w:rsidR="00000000" w:rsidRDefault="00C01C43">
            <w:pPr>
              <w:jc w:val="right"/>
              <w:rPr>
                <w:rFonts w:eastAsia="Times New Roman"/>
              </w:rPr>
            </w:pPr>
            <w:r>
              <w:rPr>
                <w:rFonts w:ascii="Arial" w:eastAsia="Times New Roman" w:hAnsi="Arial" w:cs="Arial"/>
                <w:color w:val="000000"/>
                <w:sz w:val="15"/>
                <w:szCs w:val="15"/>
              </w:rPr>
              <w:t>(91.9)</w:t>
            </w:r>
          </w:p>
        </w:tc>
        <w:tc>
          <w:tcPr>
            <w:tcW w:w="0" w:type="auto"/>
            <w:shd w:val="clear" w:color="auto" w:fill="FFFFFF"/>
            <w:tcMar>
              <w:top w:w="30" w:type="dxa"/>
              <w:left w:w="0" w:type="dxa"/>
              <w:bottom w:w="30" w:type="dxa"/>
              <w:right w:w="20" w:type="dxa"/>
            </w:tcMar>
            <w:vAlign w:val="bottom"/>
            <w:hideMark/>
          </w:tcPr>
          <w:p w14:paraId="642373D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1ED67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158BC3" w14:textId="77777777" w:rsidR="00000000" w:rsidRDefault="00C01C43">
            <w:pPr>
              <w:jc w:val="right"/>
              <w:rPr>
                <w:rFonts w:eastAsia="Times New Roman"/>
              </w:rPr>
            </w:pPr>
            <w:r>
              <w:rPr>
                <w:rFonts w:ascii="Arial" w:eastAsia="Times New Roman" w:hAnsi="Arial" w:cs="Arial"/>
                <w:color w:val="000000"/>
                <w:sz w:val="15"/>
                <w:szCs w:val="15"/>
              </w:rPr>
              <w:t>72.5 </w:t>
            </w:r>
          </w:p>
        </w:tc>
        <w:tc>
          <w:tcPr>
            <w:tcW w:w="0" w:type="auto"/>
            <w:shd w:val="clear" w:color="auto" w:fill="FFFFFF"/>
            <w:tcMar>
              <w:top w:w="30" w:type="dxa"/>
              <w:left w:w="0" w:type="dxa"/>
              <w:bottom w:w="30" w:type="dxa"/>
              <w:right w:w="20" w:type="dxa"/>
            </w:tcMar>
            <w:vAlign w:val="bottom"/>
            <w:hideMark/>
          </w:tcPr>
          <w:p w14:paraId="5E9F8218" w14:textId="77777777" w:rsidR="00000000" w:rsidRDefault="00C01C43">
            <w:pPr>
              <w:jc w:val="right"/>
              <w:rPr>
                <w:rFonts w:eastAsia="Times New Roman"/>
              </w:rPr>
            </w:pPr>
          </w:p>
        </w:tc>
      </w:tr>
      <w:tr w:rsidR="00000000" w14:paraId="363B9940" w14:textId="77777777">
        <w:trPr>
          <w:divId w:val="687020625"/>
        </w:trPr>
        <w:tc>
          <w:tcPr>
            <w:tcW w:w="0" w:type="auto"/>
            <w:gridSpan w:val="3"/>
            <w:shd w:val="clear" w:color="auto" w:fill="CCEEFF"/>
            <w:tcMar>
              <w:top w:w="30" w:type="dxa"/>
              <w:left w:w="20" w:type="dxa"/>
              <w:bottom w:w="30" w:type="dxa"/>
              <w:right w:w="20" w:type="dxa"/>
            </w:tcMar>
            <w:vAlign w:val="bottom"/>
            <w:hideMark/>
          </w:tcPr>
          <w:p w14:paraId="6D475B3B" w14:textId="77777777" w:rsidR="00000000" w:rsidRDefault="00C01C43">
            <w:pPr>
              <w:rPr>
                <w:rFonts w:eastAsia="Times New Roman"/>
              </w:rPr>
            </w:pPr>
            <w:r>
              <w:rPr>
                <w:rFonts w:ascii="Arial" w:eastAsia="Times New Roman" w:hAnsi="Arial" w:cs="Arial"/>
                <w:color w:val="000000"/>
                <w:sz w:val="15"/>
                <w:szCs w:val="15"/>
              </w:rPr>
              <w:t>Non-current income tax, net and other long-term liabilities</w:t>
            </w:r>
          </w:p>
        </w:tc>
        <w:tc>
          <w:tcPr>
            <w:tcW w:w="0" w:type="auto"/>
            <w:gridSpan w:val="2"/>
            <w:shd w:val="clear" w:color="auto" w:fill="CCEEFF"/>
            <w:tcMar>
              <w:top w:w="30" w:type="dxa"/>
              <w:left w:w="20" w:type="dxa"/>
              <w:bottom w:w="30" w:type="dxa"/>
              <w:right w:w="0" w:type="dxa"/>
            </w:tcMar>
            <w:vAlign w:val="bottom"/>
            <w:hideMark/>
          </w:tcPr>
          <w:p w14:paraId="6583D9D2" w14:textId="77777777" w:rsidR="00000000" w:rsidRDefault="00C01C43">
            <w:pPr>
              <w:jc w:val="right"/>
              <w:rPr>
                <w:rFonts w:eastAsia="Times New Roman"/>
              </w:rPr>
            </w:pPr>
            <w:r>
              <w:rPr>
                <w:rFonts w:ascii="Arial" w:eastAsia="Times New Roman" w:hAnsi="Arial" w:cs="Arial"/>
                <w:color w:val="000000"/>
                <w:sz w:val="15"/>
                <w:szCs w:val="15"/>
              </w:rPr>
              <w:t>54.3 </w:t>
            </w:r>
          </w:p>
        </w:tc>
        <w:tc>
          <w:tcPr>
            <w:tcW w:w="0" w:type="auto"/>
            <w:shd w:val="clear" w:color="auto" w:fill="CCEEFF"/>
            <w:tcMar>
              <w:top w:w="30" w:type="dxa"/>
              <w:left w:w="0" w:type="dxa"/>
              <w:bottom w:w="30" w:type="dxa"/>
              <w:right w:w="20" w:type="dxa"/>
            </w:tcMar>
            <w:vAlign w:val="bottom"/>
            <w:hideMark/>
          </w:tcPr>
          <w:p w14:paraId="0E48430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3F3E8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4F821C" w14:textId="77777777" w:rsidR="00000000" w:rsidRDefault="00C01C43">
            <w:pPr>
              <w:jc w:val="right"/>
              <w:rPr>
                <w:rFonts w:eastAsia="Times New Roman"/>
              </w:rPr>
            </w:pPr>
            <w:r>
              <w:rPr>
                <w:rFonts w:ascii="Arial" w:eastAsia="Times New Roman" w:hAnsi="Arial" w:cs="Arial"/>
                <w:color w:val="000000"/>
                <w:sz w:val="15"/>
                <w:szCs w:val="15"/>
              </w:rPr>
              <w:t>12.8 </w:t>
            </w:r>
          </w:p>
        </w:tc>
        <w:tc>
          <w:tcPr>
            <w:tcW w:w="0" w:type="auto"/>
            <w:shd w:val="clear" w:color="auto" w:fill="CCEEFF"/>
            <w:tcMar>
              <w:top w:w="30" w:type="dxa"/>
              <w:left w:w="0" w:type="dxa"/>
              <w:bottom w:w="30" w:type="dxa"/>
              <w:right w:w="20" w:type="dxa"/>
            </w:tcMar>
            <w:vAlign w:val="bottom"/>
            <w:hideMark/>
          </w:tcPr>
          <w:p w14:paraId="133F52A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537CE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EBA3C0" w14:textId="77777777" w:rsidR="00000000" w:rsidRDefault="00C01C43">
            <w:pPr>
              <w:jc w:val="right"/>
              <w:rPr>
                <w:rFonts w:eastAsia="Times New Roman"/>
              </w:rPr>
            </w:pPr>
            <w:r>
              <w:rPr>
                <w:rFonts w:ascii="Arial" w:eastAsia="Times New Roman" w:hAnsi="Arial" w:cs="Arial"/>
                <w:color w:val="000000"/>
                <w:sz w:val="15"/>
                <w:szCs w:val="15"/>
              </w:rPr>
              <w:t>14.8 </w:t>
            </w:r>
          </w:p>
        </w:tc>
        <w:tc>
          <w:tcPr>
            <w:tcW w:w="0" w:type="auto"/>
            <w:shd w:val="clear" w:color="auto" w:fill="CCEEFF"/>
            <w:tcMar>
              <w:top w:w="30" w:type="dxa"/>
              <w:left w:w="0" w:type="dxa"/>
              <w:bottom w:w="30" w:type="dxa"/>
              <w:right w:w="20" w:type="dxa"/>
            </w:tcMar>
            <w:vAlign w:val="bottom"/>
            <w:hideMark/>
          </w:tcPr>
          <w:p w14:paraId="2AF5E414" w14:textId="77777777" w:rsidR="00000000" w:rsidRDefault="00C01C43">
            <w:pPr>
              <w:jc w:val="right"/>
              <w:rPr>
                <w:rFonts w:eastAsia="Times New Roman"/>
              </w:rPr>
            </w:pPr>
          </w:p>
        </w:tc>
      </w:tr>
      <w:tr w:rsidR="00000000" w14:paraId="2FA96145" w14:textId="77777777">
        <w:trPr>
          <w:divId w:val="68702062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772F8C1" w14:textId="77777777" w:rsidR="00000000" w:rsidRDefault="00C01C43">
            <w:pPr>
              <w:rPr>
                <w:rFonts w:eastAsia="Times New Roman"/>
              </w:rPr>
            </w:pPr>
            <w:r>
              <w:rPr>
                <w:rFonts w:ascii="Arial" w:eastAsia="Times New Roman" w:hAnsi="Arial" w:cs="Arial"/>
                <w:color w:val="000000"/>
                <w:sz w:val="15"/>
                <w:szCs w:val="15"/>
              </w:rPr>
              <w:t>Total adjustments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BDC90D" w14:textId="77777777" w:rsidR="00000000" w:rsidRDefault="00C01C43">
            <w:pPr>
              <w:jc w:val="right"/>
              <w:rPr>
                <w:rFonts w:eastAsia="Times New Roman"/>
              </w:rPr>
            </w:pPr>
            <w:r>
              <w:rPr>
                <w:rFonts w:ascii="Arial" w:eastAsia="Times New Roman" w:hAnsi="Arial" w:cs="Arial"/>
                <w:color w:val="000000"/>
                <w:sz w:val="15"/>
                <w:szCs w:val="15"/>
              </w:rPr>
              <w:t>494.5 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D6AF66"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6138DF5"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39D44B" w14:textId="77777777" w:rsidR="00000000" w:rsidRDefault="00C01C43">
            <w:pPr>
              <w:jc w:val="right"/>
              <w:rPr>
                <w:rFonts w:eastAsia="Times New Roman"/>
              </w:rPr>
            </w:pPr>
            <w:r>
              <w:rPr>
                <w:rFonts w:ascii="Arial" w:eastAsia="Times New Roman" w:hAnsi="Arial" w:cs="Arial"/>
                <w:color w:val="000000"/>
                <w:sz w:val="15"/>
                <w:szCs w:val="15"/>
              </w:rPr>
              <w:t>47.7 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923324"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C0A328"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3FD60E" w14:textId="77777777" w:rsidR="00000000" w:rsidRDefault="00C01C43">
            <w:pPr>
              <w:jc w:val="right"/>
              <w:rPr>
                <w:rFonts w:eastAsia="Times New Roman"/>
              </w:rPr>
            </w:pPr>
            <w:r>
              <w:rPr>
                <w:rFonts w:ascii="Arial" w:eastAsia="Times New Roman" w:hAnsi="Arial" w:cs="Arial"/>
                <w:color w:val="000000"/>
                <w:sz w:val="15"/>
                <w:szCs w:val="15"/>
              </w:rPr>
              <w:t>(311.5)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038F9C" w14:textId="77777777" w:rsidR="00000000" w:rsidRDefault="00C01C43">
            <w:pPr>
              <w:jc w:val="right"/>
              <w:rPr>
                <w:rFonts w:eastAsia="Times New Roman"/>
              </w:rPr>
            </w:pPr>
          </w:p>
        </w:tc>
      </w:tr>
      <w:tr w:rsidR="00000000" w14:paraId="3CA17727" w14:textId="77777777">
        <w:trPr>
          <w:divId w:val="6870206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0055B07" w14:textId="77777777" w:rsidR="00000000" w:rsidRDefault="00C01C43">
            <w:pPr>
              <w:rPr>
                <w:rFonts w:eastAsia="Times New Roman"/>
              </w:rPr>
            </w:pPr>
            <w:r>
              <w:rPr>
                <w:rFonts w:ascii="Arial" w:eastAsia="Times New Roman" w:hAnsi="Arial" w:cs="Arial"/>
                <w:color w:val="000000"/>
                <w:sz w:val="15"/>
                <w:szCs w:val="15"/>
              </w:rPr>
              <w:t>Net cash provided by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81CF8B" w14:textId="77777777" w:rsidR="00000000" w:rsidRDefault="00C01C43">
            <w:pPr>
              <w:jc w:val="right"/>
              <w:rPr>
                <w:rFonts w:eastAsia="Times New Roman"/>
              </w:rPr>
            </w:pPr>
            <w:r>
              <w:rPr>
                <w:rFonts w:ascii="Arial" w:eastAsia="Times New Roman" w:hAnsi="Arial" w:cs="Arial"/>
                <w:color w:val="000000"/>
                <w:sz w:val="15"/>
                <w:szCs w:val="15"/>
              </w:rPr>
              <w:t>604.1 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03E395"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3EAE09"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A7601E" w14:textId="77777777" w:rsidR="00000000" w:rsidRDefault="00C01C43">
            <w:pPr>
              <w:jc w:val="right"/>
              <w:rPr>
                <w:rFonts w:eastAsia="Times New Roman"/>
              </w:rPr>
            </w:pPr>
            <w:r>
              <w:rPr>
                <w:rFonts w:ascii="Arial" w:eastAsia="Times New Roman" w:hAnsi="Arial" w:cs="Arial"/>
                <w:color w:val="000000"/>
                <w:sz w:val="15"/>
                <w:szCs w:val="15"/>
              </w:rPr>
              <w:t>228.8 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1F385E"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C21CFA"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DE90D1" w14:textId="77777777" w:rsidR="00000000" w:rsidRDefault="00C01C43">
            <w:pPr>
              <w:jc w:val="right"/>
              <w:rPr>
                <w:rFonts w:eastAsia="Times New Roman"/>
              </w:rPr>
            </w:pPr>
            <w:r>
              <w:rPr>
                <w:rFonts w:ascii="Arial" w:eastAsia="Times New Roman" w:hAnsi="Arial" w:cs="Arial"/>
                <w:color w:val="000000"/>
                <w:sz w:val="15"/>
                <w:szCs w:val="15"/>
              </w:rPr>
              <w:t>(182.5)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666E47" w14:textId="77777777" w:rsidR="00000000" w:rsidRDefault="00C01C43">
            <w:pPr>
              <w:jc w:val="right"/>
              <w:rPr>
                <w:rFonts w:eastAsia="Times New Roman"/>
              </w:rPr>
            </w:pPr>
          </w:p>
        </w:tc>
      </w:tr>
      <w:tr w:rsidR="00000000" w14:paraId="30BE6715" w14:textId="77777777">
        <w:trPr>
          <w:divId w:val="68702062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964F973" w14:textId="77777777" w:rsidR="00000000" w:rsidRDefault="00C01C43">
            <w:pPr>
              <w:rPr>
                <w:rFonts w:eastAsia="Times New Roman"/>
              </w:rPr>
            </w:pPr>
            <w:r>
              <w:rPr>
                <w:rFonts w:ascii="Arial" w:eastAsia="Times New Roman" w:hAnsi="Arial" w:cs="Arial"/>
                <w:color w:val="000000"/>
                <w:sz w:val="15"/>
                <w:szCs w:val="15"/>
              </w:rPr>
              <w:t>Cash flows from 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1C261EE" w14:textId="77777777" w:rsidR="00000000" w:rsidRDefault="00C01C43">
            <w:pPr>
              <w:rPr>
                <w:rFonts w:eastAsia="Times New Roman"/>
              </w:rPr>
            </w:pPr>
            <w:r>
              <w:rPr>
                <w:rFonts w:ascii="Arial" w:eastAsia="Times New Roman" w:hAnsi="Arial" w:cs="Arial"/>
                <w:color w:val="000000"/>
                <w:sz w:val="15"/>
                <w:szCs w:val="15"/>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33C74C" w14:textId="77777777" w:rsidR="00000000" w:rsidRDefault="00C01C4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716E4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A14296"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9843A54" w14:textId="77777777" w:rsidR="00000000" w:rsidRDefault="00C01C43">
            <w:pPr>
              <w:rPr>
                <w:rFonts w:eastAsia="Times New Roman"/>
              </w:rPr>
            </w:pPr>
            <w:r>
              <w:rPr>
                <w:rFonts w:ascii="Arial" w:eastAsia="Times New Roman" w:hAnsi="Arial" w:cs="Arial"/>
                <w:color w:val="000000"/>
                <w:sz w:val="15"/>
                <w:szCs w:val="15"/>
              </w:rPr>
              <w:t> </w:t>
            </w:r>
          </w:p>
        </w:tc>
      </w:tr>
      <w:tr w:rsidR="00000000" w14:paraId="668894EC" w14:textId="77777777">
        <w:trPr>
          <w:divId w:val="687020625"/>
        </w:trPr>
        <w:tc>
          <w:tcPr>
            <w:tcW w:w="0" w:type="auto"/>
            <w:gridSpan w:val="3"/>
            <w:shd w:val="clear" w:color="auto" w:fill="CCEEFF"/>
            <w:tcMar>
              <w:top w:w="30" w:type="dxa"/>
              <w:left w:w="20" w:type="dxa"/>
              <w:bottom w:w="30" w:type="dxa"/>
              <w:right w:w="20" w:type="dxa"/>
            </w:tcMar>
            <w:vAlign w:val="bottom"/>
            <w:hideMark/>
          </w:tcPr>
          <w:p w14:paraId="13855DCF" w14:textId="77777777" w:rsidR="00000000" w:rsidRDefault="00C01C43">
            <w:pPr>
              <w:rPr>
                <w:rFonts w:eastAsia="Times New Roman"/>
              </w:rPr>
            </w:pPr>
            <w:r>
              <w:rPr>
                <w:rFonts w:ascii="Arial" w:eastAsia="Times New Roman" w:hAnsi="Arial" w:cs="Arial"/>
                <w:color w:val="000000"/>
                <w:sz w:val="15"/>
                <w:szCs w:val="15"/>
              </w:rPr>
              <w:t>Cash receipts of retained beneficial interests in receivable sales</w:t>
            </w:r>
          </w:p>
        </w:tc>
        <w:tc>
          <w:tcPr>
            <w:tcW w:w="0" w:type="auto"/>
            <w:gridSpan w:val="2"/>
            <w:shd w:val="clear" w:color="auto" w:fill="CCEEFF"/>
            <w:tcMar>
              <w:top w:w="30" w:type="dxa"/>
              <w:left w:w="20" w:type="dxa"/>
              <w:bottom w:w="30" w:type="dxa"/>
              <w:right w:w="0" w:type="dxa"/>
            </w:tcMar>
            <w:vAlign w:val="bottom"/>
            <w:hideMark/>
          </w:tcPr>
          <w:p w14:paraId="7E6C851E"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243BD59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7D1DA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E8554F"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741D7AE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0113D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63C940" w14:textId="77777777" w:rsidR="00000000" w:rsidRDefault="00C01C43">
            <w:pPr>
              <w:jc w:val="right"/>
              <w:rPr>
                <w:rFonts w:eastAsia="Times New Roman"/>
              </w:rPr>
            </w:pPr>
            <w:r>
              <w:rPr>
                <w:rFonts w:ascii="Arial" w:eastAsia="Times New Roman" w:hAnsi="Arial" w:cs="Arial"/>
                <w:color w:val="000000"/>
                <w:sz w:val="15"/>
                <w:szCs w:val="15"/>
              </w:rPr>
              <w:t>369.8 </w:t>
            </w:r>
          </w:p>
        </w:tc>
        <w:tc>
          <w:tcPr>
            <w:tcW w:w="0" w:type="auto"/>
            <w:shd w:val="clear" w:color="auto" w:fill="CCEEFF"/>
            <w:tcMar>
              <w:top w:w="30" w:type="dxa"/>
              <w:left w:w="0" w:type="dxa"/>
              <w:bottom w:w="30" w:type="dxa"/>
              <w:right w:w="20" w:type="dxa"/>
            </w:tcMar>
            <w:vAlign w:val="bottom"/>
            <w:hideMark/>
          </w:tcPr>
          <w:p w14:paraId="3D2C460F" w14:textId="77777777" w:rsidR="00000000" w:rsidRDefault="00C01C43">
            <w:pPr>
              <w:jc w:val="right"/>
              <w:rPr>
                <w:rFonts w:eastAsia="Times New Roman"/>
              </w:rPr>
            </w:pPr>
          </w:p>
        </w:tc>
      </w:tr>
      <w:tr w:rsidR="00000000" w14:paraId="1EEA7C5B" w14:textId="77777777">
        <w:trPr>
          <w:divId w:val="687020625"/>
        </w:trPr>
        <w:tc>
          <w:tcPr>
            <w:tcW w:w="0" w:type="auto"/>
            <w:gridSpan w:val="3"/>
            <w:shd w:val="clear" w:color="auto" w:fill="FFFFFF"/>
            <w:tcMar>
              <w:top w:w="30" w:type="dxa"/>
              <w:left w:w="20" w:type="dxa"/>
              <w:bottom w:w="30" w:type="dxa"/>
              <w:right w:w="20" w:type="dxa"/>
            </w:tcMar>
            <w:vAlign w:val="bottom"/>
            <w:hideMark/>
          </w:tcPr>
          <w:p w14:paraId="20C61C05" w14:textId="77777777" w:rsidR="00000000" w:rsidRDefault="00C01C43">
            <w:pPr>
              <w:rPr>
                <w:rFonts w:eastAsia="Times New Roman"/>
              </w:rPr>
            </w:pPr>
            <w:r>
              <w:rPr>
                <w:rFonts w:ascii="Arial" w:eastAsia="Times New Roman" w:hAnsi="Arial" w:cs="Arial"/>
                <w:color w:val="000000"/>
                <w:sz w:val="15"/>
                <w:szCs w:val="15"/>
              </w:rPr>
              <w:t>Acquisition of business, net of cash acquired</w:t>
            </w:r>
          </w:p>
        </w:tc>
        <w:tc>
          <w:tcPr>
            <w:tcW w:w="0" w:type="auto"/>
            <w:gridSpan w:val="2"/>
            <w:shd w:val="clear" w:color="auto" w:fill="FFFFFF"/>
            <w:tcMar>
              <w:top w:w="30" w:type="dxa"/>
              <w:left w:w="20" w:type="dxa"/>
              <w:bottom w:w="30" w:type="dxa"/>
              <w:right w:w="0" w:type="dxa"/>
            </w:tcMar>
            <w:vAlign w:val="bottom"/>
            <w:hideMark/>
          </w:tcPr>
          <w:p w14:paraId="6B2DB013" w14:textId="77777777" w:rsidR="00000000" w:rsidRDefault="00C01C43">
            <w:pPr>
              <w:jc w:val="right"/>
              <w:rPr>
                <w:rFonts w:eastAsia="Times New Roman"/>
              </w:rPr>
            </w:pPr>
            <w:r>
              <w:rPr>
                <w:rFonts w:ascii="Arial" w:eastAsia="Times New Roman" w:hAnsi="Arial" w:cs="Arial"/>
                <w:color w:val="000000"/>
                <w:sz w:val="15"/>
                <w:szCs w:val="15"/>
              </w:rPr>
              <w:t>(128.6)</w:t>
            </w:r>
          </w:p>
        </w:tc>
        <w:tc>
          <w:tcPr>
            <w:tcW w:w="0" w:type="auto"/>
            <w:shd w:val="clear" w:color="auto" w:fill="FFFFFF"/>
            <w:tcMar>
              <w:top w:w="30" w:type="dxa"/>
              <w:left w:w="0" w:type="dxa"/>
              <w:bottom w:w="30" w:type="dxa"/>
              <w:right w:w="20" w:type="dxa"/>
            </w:tcMar>
            <w:vAlign w:val="bottom"/>
            <w:hideMark/>
          </w:tcPr>
          <w:p w14:paraId="52C8B4F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D2A56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20DD3A"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3BD3CE8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A66CA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A22BB0" w14:textId="77777777" w:rsidR="00000000" w:rsidRDefault="00C01C43">
            <w:pPr>
              <w:jc w:val="right"/>
              <w:rPr>
                <w:rFonts w:eastAsia="Times New Roman"/>
              </w:rPr>
            </w:pPr>
            <w:r>
              <w:rPr>
                <w:rFonts w:ascii="Arial" w:eastAsia="Times New Roman" w:hAnsi="Arial" w:cs="Arial"/>
                <w:color w:val="000000"/>
                <w:sz w:val="15"/>
                <w:szCs w:val="15"/>
              </w:rPr>
              <w:t>(21.3)</w:t>
            </w:r>
          </w:p>
        </w:tc>
        <w:tc>
          <w:tcPr>
            <w:tcW w:w="0" w:type="auto"/>
            <w:shd w:val="clear" w:color="auto" w:fill="FFFFFF"/>
            <w:tcMar>
              <w:top w:w="30" w:type="dxa"/>
              <w:left w:w="0" w:type="dxa"/>
              <w:bottom w:w="30" w:type="dxa"/>
              <w:right w:w="20" w:type="dxa"/>
            </w:tcMar>
            <w:vAlign w:val="bottom"/>
            <w:hideMark/>
          </w:tcPr>
          <w:p w14:paraId="2672D88E" w14:textId="77777777" w:rsidR="00000000" w:rsidRDefault="00C01C43">
            <w:pPr>
              <w:jc w:val="right"/>
              <w:rPr>
                <w:rFonts w:eastAsia="Times New Roman"/>
              </w:rPr>
            </w:pPr>
          </w:p>
        </w:tc>
      </w:tr>
      <w:tr w:rsidR="00000000" w14:paraId="57B01970" w14:textId="77777777">
        <w:trPr>
          <w:divId w:val="687020625"/>
        </w:trPr>
        <w:tc>
          <w:tcPr>
            <w:tcW w:w="0" w:type="auto"/>
            <w:gridSpan w:val="3"/>
            <w:shd w:val="clear" w:color="auto" w:fill="CCEEFF"/>
            <w:tcMar>
              <w:top w:w="30" w:type="dxa"/>
              <w:left w:w="20" w:type="dxa"/>
              <w:bottom w:w="30" w:type="dxa"/>
              <w:right w:w="20" w:type="dxa"/>
            </w:tcMar>
            <w:vAlign w:val="bottom"/>
            <w:hideMark/>
          </w:tcPr>
          <w:p w14:paraId="24B16E73" w14:textId="77777777" w:rsidR="00000000" w:rsidRDefault="00C01C43">
            <w:pPr>
              <w:rPr>
                <w:rFonts w:eastAsia="Times New Roman"/>
              </w:rPr>
            </w:pPr>
            <w:r>
              <w:rPr>
                <w:rFonts w:ascii="Arial" w:eastAsia="Times New Roman" w:hAnsi="Arial" w:cs="Arial"/>
                <w:color w:val="000000"/>
                <w:sz w:val="15"/>
                <w:szCs w:val="15"/>
              </w:rPr>
              <w:t>Proceeds from sale of business, net of divested cash</w:t>
            </w:r>
          </w:p>
        </w:tc>
        <w:tc>
          <w:tcPr>
            <w:tcW w:w="0" w:type="auto"/>
            <w:gridSpan w:val="2"/>
            <w:shd w:val="clear" w:color="auto" w:fill="CCEEFF"/>
            <w:tcMar>
              <w:top w:w="30" w:type="dxa"/>
              <w:left w:w="20" w:type="dxa"/>
              <w:bottom w:w="30" w:type="dxa"/>
              <w:right w:w="0" w:type="dxa"/>
            </w:tcMar>
            <w:vAlign w:val="bottom"/>
            <w:hideMark/>
          </w:tcPr>
          <w:p w14:paraId="45E6FEE1" w14:textId="77777777" w:rsidR="00000000" w:rsidRDefault="00C01C43">
            <w:pPr>
              <w:jc w:val="right"/>
              <w:rPr>
                <w:rFonts w:eastAsia="Times New Roman"/>
              </w:rPr>
            </w:pPr>
            <w:r>
              <w:rPr>
                <w:rFonts w:ascii="Arial" w:eastAsia="Times New Roman" w:hAnsi="Arial" w:cs="Arial"/>
                <w:color w:val="000000"/>
                <w:sz w:val="15"/>
                <w:szCs w:val="15"/>
              </w:rPr>
              <w:t>259.6 </w:t>
            </w:r>
          </w:p>
        </w:tc>
        <w:tc>
          <w:tcPr>
            <w:tcW w:w="0" w:type="auto"/>
            <w:shd w:val="clear" w:color="auto" w:fill="CCEEFF"/>
            <w:tcMar>
              <w:top w:w="30" w:type="dxa"/>
              <w:left w:w="0" w:type="dxa"/>
              <w:bottom w:w="30" w:type="dxa"/>
              <w:right w:w="20" w:type="dxa"/>
            </w:tcMar>
            <w:vAlign w:val="bottom"/>
            <w:hideMark/>
          </w:tcPr>
          <w:p w14:paraId="49CCD40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0008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50A336" w14:textId="77777777" w:rsidR="00000000" w:rsidRDefault="00C01C43">
            <w:pPr>
              <w:jc w:val="right"/>
              <w:rPr>
                <w:rFonts w:eastAsia="Times New Roman"/>
              </w:rPr>
            </w:pPr>
            <w:r>
              <w:rPr>
                <w:rFonts w:ascii="Arial" w:eastAsia="Times New Roman" w:hAnsi="Arial" w:cs="Arial"/>
                <w:color w:val="000000"/>
                <w:sz w:val="15"/>
                <w:szCs w:val="15"/>
              </w:rPr>
              <w:t>30.8 </w:t>
            </w:r>
          </w:p>
        </w:tc>
        <w:tc>
          <w:tcPr>
            <w:tcW w:w="0" w:type="auto"/>
            <w:shd w:val="clear" w:color="auto" w:fill="CCEEFF"/>
            <w:tcMar>
              <w:top w:w="30" w:type="dxa"/>
              <w:left w:w="0" w:type="dxa"/>
              <w:bottom w:w="30" w:type="dxa"/>
              <w:right w:w="20" w:type="dxa"/>
            </w:tcMar>
            <w:vAlign w:val="bottom"/>
            <w:hideMark/>
          </w:tcPr>
          <w:p w14:paraId="539257F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45504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24D049" w14:textId="77777777" w:rsidR="00000000" w:rsidRDefault="00C01C43">
            <w:pPr>
              <w:jc w:val="right"/>
              <w:rPr>
                <w:rFonts w:eastAsia="Times New Roman"/>
              </w:rPr>
            </w:pPr>
            <w:r>
              <w:rPr>
                <w:rFonts w:ascii="Arial" w:eastAsia="Times New Roman" w:hAnsi="Arial" w:cs="Arial"/>
                <w:color w:val="000000"/>
                <w:sz w:val="15"/>
                <w:szCs w:val="15"/>
              </w:rPr>
              <w:t>— </w:t>
            </w:r>
          </w:p>
        </w:tc>
        <w:tc>
          <w:tcPr>
            <w:tcW w:w="0" w:type="auto"/>
            <w:shd w:val="clear" w:color="auto" w:fill="CCEEFF"/>
            <w:tcMar>
              <w:top w:w="30" w:type="dxa"/>
              <w:left w:w="0" w:type="dxa"/>
              <w:bottom w:w="30" w:type="dxa"/>
              <w:right w:w="20" w:type="dxa"/>
            </w:tcMar>
            <w:vAlign w:val="bottom"/>
            <w:hideMark/>
          </w:tcPr>
          <w:p w14:paraId="15577855" w14:textId="77777777" w:rsidR="00000000" w:rsidRDefault="00C01C43">
            <w:pPr>
              <w:jc w:val="right"/>
              <w:rPr>
                <w:rFonts w:eastAsia="Times New Roman"/>
              </w:rPr>
            </w:pPr>
          </w:p>
        </w:tc>
      </w:tr>
      <w:tr w:rsidR="00000000" w14:paraId="588B3E6E" w14:textId="77777777">
        <w:trPr>
          <w:divId w:val="687020625"/>
        </w:trPr>
        <w:tc>
          <w:tcPr>
            <w:tcW w:w="0" w:type="auto"/>
            <w:gridSpan w:val="3"/>
            <w:shd w:val="clear" w:color="auto" w:fill="FFFFFF"/>
            <w:tcMar>
              <w:top w:w="30" w:type="dxa"/>
              <w:left w:w="20" w:type="dxa"/>
              <w:bottom w:w="30" w:type="dxa"/>
              <w:right w:w="20" w:type="dxa"/>
            </w:tcMar>
            <w:vAlign w:val="bottom"/>
            <w:hideMark/>
          </w:tcPr>
          <w:p w14:paraId="19CCBF3F" w14:textId="77777777" w:rsidR="00000000" w:rsidRDefault="00C01C43">
            <w:pPr>
              <w:rPr>
                <w:rFonts w:eastAsia="Times New Roman"/>
              </w:rPr>
            </w:pPr>
            <w:r>
              <w:rPr>
                <w:rFonts w:ascii="Arial" w:eastAsia="Times New Roman" w:hAnsi="Arial" w:cs="Arial"/>
                <w:color w:val="000000"/>
                <w:sz w:val="15"/>
                <w:szCs w:val="15"/>
              </w:rPr>
              <w:t>Capital expenditures</w:t>
            </w:r>
          </w:p>
        </w:tc>
        <w:tc>
          <w:tcPr>
            <w:tcW w:w="0" w:type="auto"/>
            <w:gridSpan w:val="2"/>
            <w:shd w:val="clear" w:color="auto" w:fill="FFFFFF"/>
            <w:tcMar>
              <w:top w:w="30" w:type="dxa"/>
              <w:left w:w="20" w:type="dxa"/>
              <w:bottom w:w="30" w:type="dxa"/>
              <w:right w:w="0" w:type="dxa"/>
            </w:tcMar>
            <w:vAlign w:val="bottom"/>
            <w:hideMark/>
          </w:tcPr>
          <w:p w14:paraId="5ED19A65" w14:textId="77777777" w:rsidR="00000000" w:rsidRDefault="00C01C43">
            <w:pPr>
              <w:jc w:val="right"/>
              <w:rPr>
                <w:rFonts w:eastAsia="Times New Roman"/>
              </w:rPr>
            </w:pPr>
            <w:r>
              <w:rPr>
                <w:rFonts w:ascii="Arial" w:eastAsia="Times New Roman" w:hAnsi="Arial" w:cs="Arial"/>
                <w:color w:val="000000"/>
                <w:sz w:val="15"/>
                <w:szCs w:val="15"/>
              </w:rPr>
              <w:t>(51.3)</w:t>
            </w:r>
          </w:p>
        </w:tc>
        <w:tc>
          <w:tcPr>
            <w:tcW w:w="0" w:type="auto"/>
            <w:shd w:val="clear" w:color="auto" w:fill="FFFFFF"/>
            <w:tcMar>
              <w:top w:w="30" w:type="dxa"/>
              <w:left w:w="0" w:type="dxa"/>
              <w:bottom w:w="30" w:type="dxa"/>
              <w:right w:w="20" w:type="dxa"/>
            </w:tcMar>
            <w:vAlign w:val="bottom"/>
            <w:hideMark/>
          </w:tcPr>
          <w:p w14:paraId="2A1CEB9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78E1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641BEC" w14:textId="77777777" w:rsidR="00000000" w:rsidRDefault="00C01C43">
            <w:pPr>
              <w:jc w:val="right"/>
              <w:rPr>
                <w:rFonts w:eastAsia="Times New Roman"/>
              </w:rPr>
            </w:pPr>
            <w:r>
              <w:rPr>
                <w:rFonts w:ascii="Arial" w:eastAsia="Times New Roman" w:hAnsi="Arial" w:cs="Arial"/>
                <w:color w:val="000000"/>
                <w:sz w:val="15"/>
                <w:szCs w:val="15"/>
              </w:rPr>
              <w:t>(80.9)</w:t>
            </w:r>
          </w:p>
        </w:tc>
        <w:tc>
          <w:tcPr>
            <w:tcW w:w="0" w:type="auto"/>
            <w:shd w:val="clear" w:color="auto" w:fill="FFFFFF"/>
            <w:tcMar>
              <w:top w:w="30" w:type="dxa"/>
              <w:left w:w="0" w:type="dxa"/>
              <w:bottom w:w="30" w:type="dxa"/>
              <w:right w:w="20" w:type="dxa"/>
            </w:tcMar>
            <w:vAlign w:val="bottom"/>
            <w:hideMark/>
          </w:tcPr>
          <w:p w14:paraId="3C8FEC5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AF45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2C778F" w14:textId="77777777" w:rsidR="00000000" w:rsidRDefault="00C01C43">
            <w:pPr>
              <w:jc w:val="right"/>
              <w:rPr>
                <w:rFonts w:eastAsia="Times New Roman"/>
              </w:rPr>
            </w:pPr>
            <w:r>
              <w:rPr>
                <w:rFonts w:ascii="Arial" w:eastAsia="Times New Roman" w:hAnsi="Arial" w:cs="Arial"/>
                <w:color w:val="000000"/>
                <w:sz w:val="15"/>
                <w:szCs w:val="15"/>
              </w:rPr>
              <w:t>(72.3)</w:t>
            </w:r>
          </w:p>
        </w:tc>
        <w:tc>
          <w:tcPr>
            <w:tcW w:w="0" w:type="auto"/>
            <w:shd w:val="clear" w:color="auto" w:fill="FFFFFF"/>
            <w:tcMar>
              <w:top w:w="30" w:type="dxa"/>
              <w:left w:w="0" w:type="dxa"/>
              <w:bottom w:w="30" w:type="dxa"/>
              <w:right w:w="20" w:type="dxa"/>
            </w:tcMar>
            <w:vAlign w:val="bottom"/>
            <w:hideMark/>
          </w:tcPr>
          <w:p w14:paraId="56F38D94" w14:textId="77777777" w:rsidR="00000000" w:rsidRDefault="00C01C43">
            <w:pPr>
              <w:jc w:val="right"/>
              <w:rPr>
                <w:rFonts w:eastAsia="Times New Roman"/>
              </w:rPr>
            </w:pPr>
          </w:p>
        </w:tc>
      </w:tr>
      <w:tr w:rsidR="00000000" w14:paraId="25175C0C" w14:textId="77777777">
        <w:trPr>
          <w:divId w:val="687020625"/>
        </w:trPr>
        <w:tc>
          <w:tcPr>
            <w:tcW w:w="0" w:type="auto"/>
            <w:gridSpan w:val="3"/>
            <w:shd w:val="clear" w:color="auto" w:fill="CCEEFF"/>
            <w:tcMar>
              <w:top w:w="30" w:type="dxa"/>
              <w:left w:w="20" w:type="dxa"/>
              <w:bottom w:w="30" w:type="dxa"/>
              <w:right w:w="20" w:type="dxa"/>
            </w:tcMar>
            <w:vAlign w:val="bottom"/>
            <w:hideMark/>
          </w:tcPr>
          <w:p w14:paraId="70E6EFBA" w14:textId="77777777" w:rsidR="00000000" w:rsidRDefault="00C01C43">
            <w:pPr>
              <w:rPr>
                <w:rFonts w:eastAsia="Times New Roman"/>
              </w:rPr>
            </w:pPr>
            <w:r>
              <w:rPr>
                <w:rFonts w:ascii="Arial" w:eastAsia="Times New Roman" w:hAnsi="Arial" w:cs="Arial"/>
                <w:color w:val="000000"/>
                <w:sz w:val="15"/>
                <w:szCs w:val="15"/>
              </w:rPr>
              <w:t>Other investing activities, net</w:t>
            </w:r>
          </w:p>
        </w:tc>
        <w:tc>
          <w:tcPr>
            <w:tcW w:w="0" w:type="auto"/>
            <w:gridSpan w:val="2"/>
            <w:shd w:val="clear" w:color="auto" w:fill="CCEEFF"/>
            <w:tcMar>
              <w:top w:w="30" w:type="dxa"/>
              <w:left w:w="20" w:type="dxa"/>
              <w:bottom w:w="30" w:type="dxa"/>
              <w:right w:w="0" w:type="dxa"/>
            </w:tcMar>
            <w:vAlign w:val="bottom"/>
            <w:hideMark/>
          </w:tcPr>
          <w:p w14:paraId="6687B6BE" w14:textId="77777777" w:rsidR="00000000" w:rsidRDefault="00C01C43">
            <w:pPr>
              <w:jc w:val="right"/>
              <w:rPr>
                <w:rFonts w:eastAsia="Times New Roman"/>
              </w:rPr>
            </w:pPr>
            <w:r>
              <w:rPr>
                <w:rFonts w:ascii="Arial" w:eastAsia="Times New Roman" w:hAnsi="Arial" w:cs="Arial"/>
                <w:color w:val="000000"/>
                <w:sz w:val="15"/>
                <w:szCs w:val="15"/>
              </w:rPr>
              <w:t>(6.9)</w:t>
            </w:r>
          </w:p>
        </w:tc>
        <w:tc>
          <w:tcPr>
            <w:tcW w:w="0" w:type="auto"/>
            <w:shd w:val="clear" w:color="auto" w:fill="CCEEFF"/>
            <w:tcMar>
              <w:top w:w="30" w:type="dxa"/>
              <w:left w:w="0" w:type="dxa"/>
              <w:bottom w:w="30" w:type="dxa"/>
              <w:right w:w="20" w:type="dxa"/>
            </w:tcMar>
            <w:vAlign w:val="bottom"/>
            <w:hideMark/>
          </w:tcPr>
          <w:p w14:paraId="7F7A80B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AA048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7D045E" w14:textId="77777777" w:rsidR="00000000" w:rsidRDefault="00C01C43">
            <w:pPr>
              <w:jc w:val="right"/>
              <w:rPr>
                <w:rFonts w:eastAsia="Times New Roman"/>
              </w:rPr>
            </w:pPr>
            <w:r>
              <w:rPr>
                <w:rFonts w:ascii="Arial" w:eastAsia="Times New Roman" w:hAnsi="Arial" w:cs="Arial"/>
                <w:color w:val="000000"/>
                <w:sz w:val="15"/>
                <w:szCs w:val="15"/>
              </w:rPr>
              <w:t>(0.4)</w:t>
            </w:r>
          </w:p>
        </w:tc>
        <w:tc>
          <w:tcPr>
            <w:tcW w:w="0" w:type="auto"/>
            <w:shd w:val="clear" w:color="auto" w:fill="CCEEFF"/>
            <w:tcMar>
              <w:top w:w="30" w:type="dxa"/>
              <w:left w:w="0" w:type="dxa"/>
              <w:bottom w:w="30" w:type="dxa"/>
              <w:right w:w="20" w:type="dxa"/>
            </w:tcMar>
            <w:vAlign w:val="bottom"/>
            <w:hideMark/>
          </w:tcPr>
          <w:p w14:paraId="191D42A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28C2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16C62D" w14:textId="77777777" w:rsidR="00000000" w:rsidRDefault="00C01C43">
            <w:pPr>
              <w:jc w:val="right"/>
              <w:rPr>
                <w:rFonts w:eastAsia="Times New Roman"/>
              </w:rPr>
            </w:pPr>
            <w:r>
              <w:rPr>
                <w:rFonts w:ascii="Arial" w:eastAsia="Times New Roman" w:hAnsi="Arial" w:cs="Arial"/>
                <w:color w:val="000000"/>
                <w:sz w:val="15"/>
                <w:szCs w:val="15"/>
              </w:rPr>
              <w:t>9.8 </w:t>
            </w:r>
          </w:p>
        </w:tc>
        <w:tc>
          <w:tcPr>
            <w:tcW w:w="0" w:type="auto"/>
            <w:shd w:val="clear" w:color="auto" w:fill="CCEEFF"/>
            <w:tcMar>
              <w:top w:w="30" w:type="dxa"/>
              <w:left w:w="0" w:type="dxa"/>
              <w:bottom w:w="30" w:type="dxa"/>
              <w:right w:w="20" w:type="dxa"/>
            </w:tcMar>
            <w:vAlign w:val="bottom"/>
            <w:hideMark/>
          </w:tcPr>
          <w:p w14:paraId="53BD6D4F" w14:textId="77777777" w:rsidR="00000000" w:rsidRDefault="00C01C43">
            <w:pPr>
              <w:jc w:val="right"/>
              <w:rPr>
                <w:rFonts w:eastAsia="Times New Roman"/>
              </w:rPr>
            </w:pPr>
          </w:p>
        </w:tc>
      </w:tr>
      <w:tr w:rsidR="00000000" w14:paraId="507952F4" w14:textId="77777777">
        <w:trPr>
          <w:divId w:val="68702062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C3304DD" w14:textId="77777777" w:rsidR="00000000" w:rsidRDefault="00C01C43">
            <w:pPr>
              <w:rPr>
                <w:rFonts w:eastAsia="Times New Roman"/>
              </w:rPr>
            </w:pPr>
            <w:r>
              <w:rPr>
                <w:rFonts w:ascii="Arial" w:eastAsia="Times New Roman" w:hAnsi="Arial" w:cs="Arial"/>
                <w:color w:val="000000"/>
                <w:sz w:val="15"/>
                <w:szCs w:val="15"/>
              </w:rPr>
              <w:t>Net cash provided by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4E5739" w14:textId="77777777" w:rsidR="00000000" w:rsidRDefault="00C01C43">
            <w:pPr>
              <w:jc w:val="right"/>
              <w:rPr>
                <w:rFonts w:eastAsia="Times New Roman"/>
              </w:rPr>
            </w:pPr>
            <w:r>
              <w:rPr>
                <w:rFonts w:ascii="Arial" w:eastAsia="Times New Roman" w:hAnsi="Arial" w:cs="Arial"/>
                <w:color w:val="000000"/>
                <w:sz w:val="15"/>
                <w:szCs w:val="15"/>
              </w:rPr>
              <w:t>72.8 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74DD62"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5DAA82"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62EFA8" w14:textId="77777777" w:rsidR="00000000" w:rsidRDefault="00C01C43">
            <w:pPr>
              <w:jc w:val="right"/>
              <w:rPr>
                <w:rFonts w:eastAsia="Times New Roman"/>
              </w:rPr>
            </w:pPr>
            <w:r>
              <w:rPr>
                <w:rFonts w:ascii="Arial" w:eastAsia="Times New Roman" w:hAnsi="Arial" w:cs="Arial"/>
                <w:color w:val="000000"/>
                <w:sz w:val="15"/>
                <w:szCs w:val="15"/>
              </w:rPr>
              <w:t>(50.5)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90BCE0"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FAAA3BB"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582C47" w14:textId="77777777" w:rsidR="00000000" w:rsidRDefault="00C01C43">
            <w:pPr>
              <w:jc w:val="right"/>
              <w:rPr>
                <w:rFonts w:eastAsia="Times New Roman"/>
              </w:rPr>
            </w:pPr>
            <w:r>
              <w:rPr>
                <w:rFonts w:ascii="Arial" w:eastAsia="Times New Roman" w:hAnsi="Arial" w:cs="Arial"/>
                <w:color w:val="000000"/>
                <w:sz w:val="15"/>
                <w:szCs w:val="15"/>
              </w:rPr>
              <w:t>286.0 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A7767C" w14:textId="77777777" w:rsidR="00000000" w:rsidRDefault="00C01C43">
            <w:pPr>
              <w:jc w:val="right"/>
              <w:rPr>
                <w:rFonts w:eastAsia="Times New Roman"/>
              </w:rPr>
            </w:pPr>
          </w:p>
        </w:tc>
      </w:tr>
      <w:tr w:rsidR="00000000" w14:paraId="6F133FCC" w14:textId="77777777">
        <w:trPr>
          <w:divId w:val="6870206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97047A9" w14:textId="77777777" w:rsidR="00000000" w:rsidRDefault="00C01C43">
            <w:pPr>
              <w:rPr>
                <w:rFonts w:eastAsia="Times New Roman"/>
              </w:rPr>
            </w:pPr>
            <w:r>
              <w:rPr>
                <w:rFonts w:ascii="Arial" w:eastAsia="Times New Roman" w:hAnsi="Arial" w:cs="Arial"/>
                <w:color w:val="000000"/>
                <w:sz w:val="15"/>
                <w:szCs w:val="15"/>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7A0340" w14:textId="77777777" w:rsidR="00000000" w:rsidRDefault="00C01C43">
            <w:pPr>
              <w:rPr>
                <w:rFonts w:eastAsia="Times New Roman"/>
              </w:rPr>
            </w:pPr>
            <w:r>
              <w:rPr>
                <w:rFonts w:ascii="Arial" w:eastAsia="Times New Roman" w:hAnsi="Arial" w:cs="Arial"/>
                <w:color w:val="000000"/>
                <w:sz w:val="15"/>
                <w:szCs w:val="15"/>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DB7475" w14:textId="77777777" w:rsidR="00000000" w:rsidRDefault="00C01C4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00F8DEA" w14:textId="77777777" w:rsidR="00000000" w:rsidRDefault="00C01C43">
            <w:pPr>
              <w:rPr>
                <w:rFonts w:eastAsia="Times New Roman"/>
              </w:rPr>
            </w:pPr>
            <w:r>
              <w:rPr>
                <w:rFonts w:ascii="Arial" w:eastAsia="Times New Roman" w:hAnsi="Arial" w:cs="Arial"/>
                <w:color w:val="000000"/>
                <w:sz w:val="15"/>
                <w:szCs w:val="15"/>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C40294" w14:textId="77777777" w:rsidR="00000000" w:rsidRDefault="00C01C4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DA3C6EC" w14:textId="77777777" w:rsidR="00000000" w:rsidRDefault="00C01C43">
            <w:pPr>
              <w:rPr>
                <w:rFonts w:eastAsia="Times New Roman"/>
              </w:rPr>
            </w:pPr>
            <w:r>
              <w:rPr>
                <w:rFonts w:ascii="Arial" w:eastAsia="Times New Roman" w:hAnsi="Arial" w:cs="Arial"/>
                <w:color w:val="000000"/>
                <w:sz w:val="15"/>
                <w:szCs w:val="15"/>
              </w:rPr>
              <w:t> </w:t>
            </w:r>
          </w:p>
        </w:tc>
      </w:tr>
      <w:tr w:rsidR="00000000" w14:paraId="18166594" w14:textId="77777777">
        <w:trPr>
          <w:divId w:val="687020625"/>
        </w:trPr>
        <w:tc>
          <w:tcPr>
            <w:tcW w:w="0" w:type="auto"/>
            <w:gridSpan w:val="3"/>
            <w:shd w:val="clear" w:color="auto" w:fill="FFFFFF"/>
            <w:tcMar>
              <w:top w:w="30" w:type="dxa"/>
              <w:left w:w="20" w:type="dxa"/>
              <w:bottom w:w="30" w:type="dxa"/>
              <w:right w:w="20" w:type="dxa"/>
            </w:tcMar>
            <w:vAlign w:val="bottom"/>
            <w:hideMark/>
          </w:tcPr>
          <w:p w14:paraId="50835CCF" w14:textId="77777777" w:rsidR="00000000" w:rsidRDefault="00C01C43">
            <w:pPr>
              <w:rPr>
                <w:rFonts w:eastAsia="Times New Roman"/>
              </w:rPr>
            </w:pPr>
            <w:r>
              <w:rPr>
                <w:rFonts w:ascii="Arial" w:eastAsia="Times New Roman" w:hAnsi="Arial" w:cs="Arial"/>
                <w:color w:val="000000"/>
                <w:sz w:val="15"/>
                <w:szCs w:val="15"/>
              </w:rPr>
              <w:t>Borrowings of debt</w:t>
            </w:r>
          </w:p>
        </w:tc>
        <w:tc>
          <w:tcPr>
            <w:tcW w:w="0" w:type="auto"/>
            <w:gridSpan w:val="2"/>
            <w:shd w:val="clear" w:color="auto" w:fill="FFFFFF"/>
            <w:tcMar>
              <w:top w:w="30" w:type="dxa"/>
              <w:left w:w="20" w:type="dxa"/>
              <w:bottom w:w="30" w:type="dxa"/>
              <w:right w:w="0" w:type="dxa"/>
            </w:tcMar>
            <w:vAlign w:val="bottom"/>
            <w:hideMark/>
          </w:tcPr>
          <w:p w14:paraId="5A8C5A06" w14:textId="77777777" w:rsidR="00000000" w:rsidRDefault="00C01C43">
            <w:pPr>
              <w:jc w:val="right"/>
              <w:rPr>
                <w:rFonts w:eastAsia="Times New Roman"/>
              </w:rPr>
            </w:pPr>
            <w:r>
              <w:rPr>
                <w:rFonts w:ascii="Arial" w:eastAsia="Times New Roman" w:hAnsi="Arial" w:cs="Arial"/>
                <w:color w:val="000000"/>
                <w:sz w:val="15"/>
                <w:szCs w:val="15"/>
              </w:rPr>
              <w:t>2,095.4 </w:t>
            </w:r>
          </w:p>
        </w:tc>
        <w:tc>
          <w:tcPr>
            <w:tcW w:w="0" w:type="auto"/>
            <w:shd w:val="clear" w:color="auto" w:fill="FFFFFF"/>
            <w:tcMar>
              <w:top w:w="30" w:type="dxa"/>
              <w:left w:w="0" w:type="dxa"/>
              <w:bottom w:w="30" w:type="dxa"/>
              <w:right w:w="20" w:type="dxa"/>
            </w:tcMar>
            <w:vAlign w:val="bottom"/>
            <w:hideMark/>
          </w:tcPr>
          <w:p w14:paraId="5566767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DA93D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672B5A" w14:textId="77777777" w:rsidR="00000000" w:rsidRDefault="00C01C43">
            <w:pPr>
              <w:jc w:val="right"/>
              <w:rPr>
                <w:rFonts w:eastAsia="Times New Roman"/>
              </w:rPr>
            </w:pPr>
            <w:r>
              <w:rPr>
                <w:rFonts w:ascii="Arial" w:eastAsia="Times New Roman" w:hAnsi="Arial" w:cs="Arial"/>
                <w:color w:val="000000"/>
                <w:sz w:val="15"/>
                <w:szCs w:val="15"/>
              </w:rPr>
              <w:t>5,001.7 </w:t>
            </w:r>
          </w:p>
        </w:tc>
        <w:tc>
          <w:tcPr>
            <w:tcW w:w="0" w:type="auto"/>
            <w:shd w:val="clear" w:color="auto" w:fill="FFFFFF"/>
            <w:tcMar>
              <w:top w:w="30" w:type="dxa"/>
              <w:left w:w="0" w:type="dxa"/>
              <w:bottom w:w="30" w:type="dxa"/>
              <w:right w:w="20" w:type="dxa"/>
            </w:tcMar>
            <w:vAlign w:val="bottom"/>
            <w:hideMark/>
          </w:tcPr>
          <w:p w14:paraId="02F6D9A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90A8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E69B1E" w14:textId="77777777" w:rsidR="00000000" w:rsidRDefault="00C01C43">
            <w:pPr>
              <w:jc w:val="right"/>
              <w:rPr>
                <w:rFonts w:eastAsia="Times New Roman"/>
              </w:rPr>
            </w:pPr>
            <w:r>
              <w:rPr>
                <w:rFonts w:ascii="Arial" w:eastAsia="Times New Roman" w:hAnsi="Arial" w:cs="Arial"/>
                <w:color w:val="000000"/>
                <w:sz w:val="15"/>
                <w:szCs w:val="15"/>
              </w:rPr>
              <w:t>6,188.4 </w:t>
            </w:r>
          </w:p>
        </w:tc>
        <w:tc>
          <w:tcPr>
            <w:tcW w:w="0" w:type="auto"/>
            <w:shd w:val="clear" w:color="auto" w:fill="FFFFFF"/>
            <w:tcMar>
              <w:top w:w="30" w:type="dxa"/>
              <w:left w:w="0" w:type="dxa"/>
              <w:bottom w:w="30" w:type="dxa"/>
              <w:right w:w="20" w:type="dxa"/>
            </w:tcMar>
            <w:vAlign w:val="bottom"/>
            <w:hideMark/>
          </w:tcPr>
          <w:p w14:paraId="55D99AD9" w14:textId="77777777" w:rsidR="00000000" w:rsidRDefault="00C01C43">
            <w:pPr>
              <w:jc w:val="right"/>
              <w:rPr>
                <w:rFonts w:eastAsia="Times New Roman"/>
              </w:rPr>
            </w:pPr>
          </w:p>
        </w:tc>
      </w:tr>
      <w:tr w:rsidR="00000000" w14:paraId="7DD4B673" w14:textId="77777777">
        <w:trPr>
          <w:divId w:val="687020625"/>
        </w:trPr>
        <w:tc>
          <w:tcPr>
            <w:tcW w:w="0" w:type="auto"/>
            <w:gridSpan w:val="3"/>
            <w:shd w:val="clear" w:color="auto" w:fill="CCEEFF"/>
            <w:tcMar>
              <w:top w:w="30" w:type="dxa"/>
              <w:left w:w="20" w:type="dxa"/>
              <w:bottom w:w="30" w:type="dxa"/>
              <w:right w:w="20" w:type="dxa"/>
            </w:tcMar>
            <w:vAlign w:val="bottom"/>
            <w:hideMark/>
          </w:tcPr>
          <w:p w14:paraId="2E43A413" w14:textId="77777777" w:rsidR="00000000" w:rsidRDefault="00C01C43">
            <w:pPr>
              <w:rPr>
                <w:rFonts w:eastAsia="Times New Roman"/>
              </w:rPr>
            </w:pPr>
            <w:r>
              <w:rPr>
                <w:rFonts w:ascii="Arial" w:eastAsia="Times New Roman" w:hAnsi="Arial" w:cs="Arial"/>
                <w:color w:val="000000"/>
                <w:sz w:val="15"/>
                <w:szCs w:val="15"/>
              </w:rPr>
              <w:t>Repayments of debt</w:t>
            </w:r>
          </w:p>
        </w:tc>
        <w:tc>
          <w:tcPr>
            <w:tcW w:w="0" w:type="auto"/>
            <w:gridSpan w:val="2"/>
            <w:shd w:val="clear" w:color="auto" w:fill="CCEEFF"/>
            <w:tcMar>
              <w:top w:w="30" w:type="dxa"/>
              <w:left w:w="20" w:type="dxa"/>
              <w:bottom w:w="30" w:type="dxa"/>
              <w:right w:w="0" w:type="dxa"/>
            </w:tcMar>
            <w:vAlign w:val="bottom"/>
            <w:hideMark/>
          </w:tcPr>
          <w:p w14:paraId="73FA476A" w14:textId="77777777" w:rsidR="00000000" w:rsidRDefault="00C01C43">
            <w:pPr>
              <w:jc w:val="right"/>
              <w:rPr>
                <w:rFonts w:eastAsia="Times New Roman"/>
              </w:rPr>
            </w:pPr>
            <w:r>
              <w:rPr>
                <w:rFonts w:ascii="Arial" w:eastAsia="Times New Roman" w:hAnsi="Arial" w:cs="Arial"/>
                <w:color w:val="000000"/>
                <w:sz w:val="15"/>
                <w:szCs w:val="15"/>
              </w:rPr>
              <w:t>(2,207.4)</w:t>
            </w:r>
          </w:p>
        </w:tc>
        <w:tc>
          <w:tcPr>
            <w:tcW w:w="0" w:type="auto"/>
            <w:shd w:val="clear" w:color="auto" w:fill="CCEEFF"/>
            <w:tcMar>
              <w:top w:w="30" w:type="dxa"/>
              <w:left w:w="0" w:type="dxa"/>
              <w:bottom w:w="30" w:type="dxa"/>
              <w:right w:w="20" w:type="dxa"/>
            </w:tcMar>
            <w:vAlign w:val="bottom"/>
            <w:hideMark/>
          </w:tcPr>
          <w:p w14:paraId="6392978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C172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A0BF01" w14:textId="77777777" w:rsidR="00000000" w:rsidRDefault="00C01C43">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5,080.2)</w:t>
            </w:r>
          </w:p>
        </w:tc>
        <w:tc>
          <w:tcPr>
            <w:tcW w:w="0" w:type="auto"/>
            <w:shd w:val="clear" w:color="auto" w:fill="CCEEFF"/>
            <w:tcMar>
              <w:top w:w="30" w:type="dxa"/>
              <w:left w:w="0" w:type="dxa"/>
              <w:bottom w:w="30" w:type="dxa"/>
              <w:right w:w="20" w:type="dxa"/>
            </w:tcMar>
            <w:vAlign w:val="bottom"/>
            <w:hideMark/>
          </w:tcPr>
          <w:p w14:paraId="32CC7E0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BA55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D2C96E" w14:textId="77777777" w:rsidR="00000000" w:rsidRDefault="00C01C43">
            <w:pPr>
              <w:jc w:val="right"/>
              <w:rPr>
                <w:rFonts w:eastAsia="Times New Roman"/>
              </w:rPr>
            </w:pPr>
            <w:r>
              <w:rPr>
                <w:rFonts w:ascii="Arial" w:eastAsia="Times New Roman" w:hAnsi="Arial" w:cs="Arial"/>
                <w:color w:val="000000"/>
                <w:sz w:val="15"/>
                <w:szCs w:val="15"/>
              </w:rPr>
              <w:t>(6,407.3)</w:t>
            </w:r>
          </w:p>
        </w:tc>
        <w:tc>
          <w:tcPr>
            <w:tcW w:w="0" w:type="auto"/>
            <w:shd w:val="clear" w:color="auto" w:fill="CCEEFF"/>
            <w:tcMar>
              <w:top w:w="30" w:type="dxa"/>
              <w:left w:w="0" w:type="dxa"/>
              <w:bottom w:w="30" w:type="dxa"/>
              <w:right w:w="20" w:type="dxa"/>
            </w:tcMar>
            <w:vAlign w:val="bottom"/>
            <w:hideMark/>
          </w:tcPr>
          <w:p w14:paraId="40865E19" w14:textId="77777777" w:rsidR="00000000" w:rsidRDefault="00C01C43">
            <w:pPr>
              <w:jc w:val="right"/>
              <w:rPr>
                <w:rFonts w:eastAsia="Times New Roman"/>
              </w:rPr>
            </w:pPr>
          </w:p>
        </w:tc>
      </w:tr>
      <w:tr w:rsidR="00000000" w14:paraId="0D587CA6" w14:textId="77777777">
        <w:trPr>
          <w:divId w:val="687020625"/>
        </w:trPr>
        <w:tc>
          <w:tcPr>
            <w:tcW w:w="0" w:type="auto"/>
            <w:gridSpan w:val="3"/>
            <w:shd w:val="clear" w:color="auto" w:fill="FFFFFF"/>
            <w:tcMar>
              <w:top w:w="30" w:type="dxa"/>
              <w:left w:w="20" w:type="dxa"/>
              <w:bottom w:w="30" w:type="dxa"/>
              <w:right w:w="20" w:type="dxa"/>
            </w:tcMar>
            <w:vAlign w:val="bottom"/>
            <w:hideMark/>
          </w:tcPr>
          <w:p w14:paraId="64686405" w14:textId="77777777" w:rsidR="00000000" w:rsidRDefault="00C01C43">
            <w:pPr>
              <w:rPr>
                <w:rFonts w:eastAsia="Times New Roman"/>
              </w:rPr>
            </w:pPr>
            <w:r>
              <w:rPr>
                <w:rFonts w:ascii="Arial" w:eastAsia="Times New Roman" w:hAnsi="Arial" w:cs="Arial"/>
                <w:color w:val="000000"/>
                <w:sz w:val="15"/>
                <w:szCs w:val="15"/>
              </w:rPr>
              <w:t>Dividends paid on common stock</w:t>
            </w:r>
          </w:p>
        </w:tc>
        <w:tc>
          <w:tcPr>
            <w:tcW w:w="0" w:type="auto"/>
            <w:gridSpan w:val="2"/>
            <w:shd w:val="clear" w:color="auto" w:fill="FFFFFF"/>
            <w:tcMar>
              <w:top w:w="30" w:type="dxa"/>
              <w:left w:w="20" w:type="dxa"/>
              <w:bottom w:w="30" w:type="dxa"/>
              <w:right w:w="0" w:type="dxa"/>
            </w:tcMar>
            <w:vAlign w:val="bottom"/>
            <w:hideMark/>
          </w:tcPr>
          <w:p w14:paraId="13D1F29B" w14:textId="77777777" w:rsidR="00000000" w:rsidRDefault="00C01C43">
            <w:pPr>
              <w:jc w:val="right"/>
              <w:rPr>
                <w:rFonts w:eastAsia="Times New Roman"/>
              </w:rPr>
            </w:pPr>
            <w:r>
              <w:rPr>
                <w:rFonts w:ascii="Arial" w:eastAsia="Times New Roman" w:hAnsi="Arial" w:cs="Arial"/>
                <w:color w:val="000000"/>
                <w:sz w:val="15"/>
                <w:szCs w:val="15"/>
              </w:rPr>
              <w:t>(25.6)</w:t>
            </w:r>
          </w:p>
        </w:tc>
        <w:tc>
          <w:tcPr>
            <w:tcW w:w="0" w:type="auto"/>
            <w:shd w:val="clear" w:color="auto" w:fill="FFFFFF"/>
            <w:tcMar>
              <w:top w:w="30" w:type="dxa"/>
              <w:left w:w="0" w:type="dxa"/>
              <w:bottom w:w="30" w:type="dxa"/>
              <w:right w:w="20" w:type="dxa"/>
            </w:tcMar>
            <w:vAlign w:val="bottom"/>
            <w:hideMark/>
          </w:tcPr>
          <w:p w14:paraId="7854CF2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9C7A9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16CD56" w14:textId="77777777" w:rsidR="00000000" w:rsidRDefault="00C01C43">
            <w:pPr>
              <w:jc w:val="right"/>
              <w:rPr>
                <w:rFonts w:eastAsia="Times New Roman"/>
              </w:rPr>
            </w:pPr>
            <w:r>
              <w:rPr>
                <w:rFonts w:ascii="Arial" w:eastAsia="Times New Roman" w:hAnsi="Arial" w:cs="Arial"/>
                <w:color w:val="000000"/>
                <w:sz w:val="15"/>
                <w:szCs w:val="15"/>
              </w:rPr>
              <w:t>(21.1)</w:t>
            </w:r>
          </w:p>
        </w:tc>
        <w:tc>
          <w:tcPr>
            <w:tcW w:w="0" w:type="auto"/>
            <w:shd w:val="clear" w:color="auto" w:fill="FFFFFF"/>
            <w:tcMar>
              <w:top w:w="30" w:type="dxa"/>
              <w:left w:w="0" w:type="dxa"/>
              <w:bottom w:w="30" w:type="dxa"/>
              <w:right w:w="20" w:type="dxa"/>
            </w:tcMar>
            <w:vAlign w:val="bottom"/>
            <w:hideMark/>
          </w:tcPr>
          <w:p w14:paraId="43D0531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10034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59980D" w14:textId="77777777" w:rsidR="00000000" w:rsidRDefault="00C01C43">
            <w:pPr>
              <w:jc w:val="right"/>
              <w:rPr>
                <w:rFonts w:eastAsia="Times New Roman"/>
              </w:rPr>
            </w:pPr>
            <w:r>
              <w:rPr>
                <w:rFonts w:ascii="Arial" w:eastAsia="Times New Roman" w:hAnsi="Arial" w:cs="Arial"/>
                <w:color w:val="000000"/>
                <w:sz w:val="15"/>
                <w:szCs w:val="15"/>
              </w:rPr>
              <w:t>(16.2)</w:t>
            </w:r>
          </w:p>
        </w:tc>
        <w:tc>
          <w:tcPr>
            <w:tcW w:w="0" w:type="auto"/>
            <w:shd w:val="clear" w:color="auto" w:fill="FFFFFF"/>
            <w:tcMar>
              <w:top w:w="30" w:type="dxa"/>
              <w:left w:w="0" w:type="dxa"/>
              <w:bottom w:w="30" w:type="dxa"/>
              <w:right w:w="20" w:type="dxa"/>
            </w:tcMar>
            <w:vAlign w:val="bottom"/>
            <w:hideMark/>
          </w:tcPr>
          <w:p w14:paraId="5F2AF07B" w14:textId="77777777" w:rsidR="00000000" w:rsidRDefault="00C01C43">
            <w:pPr>
              <w:jc w:val="right"/>
              <w:rPr>
                <w:rFonts w:eastAsia="Times New Roman"/>
              </w:rPr>
            </w:pPr>
          </w:p>
        </w:tc>
      </w:tr>
      <w:tr w:rsidR="00000000" w14:paraId="1C8CE282" w14:textId="77777777">
        <w:trPr>
          <w:divId w:val="687020625"/>
        </w:trPr>
        <w:tc>
          <w:tcPr>
            <w:tcW w:w="0" w:type="auto"/>
            <w:gridSpan w:val="3"/>
            <w:shd w:val="clear" w:color="auto" w:fill="CCEEFF"/>
            <w:tcMar>
              <w:top w:w="30" w:type="dxa"/>
              <w:left w:w="20" w:type="dxa"/>
              <w:bottom w:w="30" w:type="dxa"/>
              <w:right w:w="20" w:type="dxa"/>
            </w:tcMar>
            <w:vAlign w:val="bottom"/>
            <w:hideMark/>
          </w:tcPr>
          <w:p w14:paraId="16B2973E" w14:textId="77777777" w:rsidR="00000000" w:rsidRDefault="00C01C43">
            <w:pPr>
              <w:rPr>
                <w:rFonts w:eastAsia="Times New Roman"/>
              </w:rPr>
            </w:pPr>
            <w:r>
              <w:rPr>
                <w:rFonts w:ascii="Arial" w:eastAsia="Times New Roman" w:hAnsi="Arial" w:cs="Arial"/>
                <w:color w:val="000000"/>
                <w:sz w:val="15"/>
                <w:szCs w:val="15"/>
              </w:rPr>
              <w:t>Repurchases of common stock</w:t>
            </w:r>
          </w:p>
        </w:tc>
        <w:tc>
          <w:tcPr>
            <w:tcW w:w="0" w:type="auto"/>
            <w:gridSpan w:val="2"/>
            <w:shd w:val="clear" w:color="auto" w:fill="CCEEFF"/>
            <w:tcMar>
              <w:top w:w="30" w:type="dxa"/>
              <w:left w:w="20" w:type="dxa"/>
              <w:bottom w:w="30" w:type="dxa"/>
              <w:right w:w="0" w:type="dxa"/>
            </w:tcMar>
            <w:vAlign w:val="bottom"/>
            <w:hideMark/>
          </w:tcPr>
          <w:p w14:paraId="5C60DC12" w14:textId="77777777" w:rsidR="00000000" w:rsidRDefault="00C01C43">
            <w:pPr>
              <w:jc w:val="right"/>
              <w:rPr>
                <w:rFonts w:eastAsia="Times New Roman"/>
              </w:rPr>
            </w:pPr>
            <w:r>
              <w:rPr>
                <w:rFonts w:ascii="Arial" w:eastAsia="Times New Roman" w:hAnsi="Arial" w:cs="Arial"/>
                <w:color w:val="000000"/>
                <w:sz w:val="15"/>
                <w:szCs w:val="15"/>
              </w:rPr>
              <w:t>(68.3)</w:t>
            </w:r>
          </w:p>
        </w:tc>
        <w:tc>
          <w:tcPr>
            <w:tcW w:w="0" w:type="auto"/>
            <w:shd w:val="clear" w:color="auto" w:fill="CCEEFF"/>
            <w:tcMar>
              <w:top w:w="30" w:type="dxa"/>
              <w:left w:w="0" w:type="dxa"/>
              <w:bottom w:w="30" w:type="dxa"/>
              <w:right w:w="20" w:type="dxa"/>
            </w:tcMar>
            <w:vAlign w:val="bottom"/>
            <w:hideMark/>
          </w:tcPr>
          <w:p w14:paraId="0AE7815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5AE36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D250EA" w14:textId="77777777" w:rsidR="00000000" w:rsidRDefault="00C01C43">
            <w:pPr>
              <w:jc w:val="right"/>
              <w:rPr>
                <w:rFonts w:eastAsia="Times New Roman"/>
              </w:rPr>
            </w:pPr>
            <w:r>
              <w:rPr>
                <w:rFonts w:ascii="Arial" w:eastAsia="Times New Roman" w:hAnsi="Arial" w:cs="Arial"/>
                <w:color w:val="000000"/>
                <w:sz w:val="15"/>
                <w:szCs w:val="15"/>
              </w:rPr>
              <w:t>(65.4)</w:t>
            </w:r>
          </w:p>
        </w:tc>
        <w:tc>
          <w:tcPr>
            <w:tcW w:w="0" w:type="auto"/>
            <w:shd w:val="clear" w:color="auto" w:fill="CCEEFF"/>
            <w:tcMar>
              <w:top w:w="30" w:type="dxa"/>
              <w:left w:w="0" w:type="dxa"/>
              <w:bottom w:w="30" w:type="dxa"/>
              <w:right w:w="20" w:type="dxa"/>
            </w:tcMar>
            <w:vAlign w:val="bottom"/>
            <w:hideMark/>
          </w:tcPr>
          <w:p w14:paraId="3276F5E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4710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316978" w14:textId="77777777" w:rsidR="00000000" w:rsidRDefault="00C01C43">
            <w:pPr>
              <w:jc w:val="right"/>
              <w:rPr>
                <w:rFonts w:eastAsia="Times New Roman"/>
              </w:rPr>
            </w:pPr>
            <w:r>
              <w:rPr>
                <w:rFonts w:ascii="Arial" w:eastAsia="Times New Roman" w:hAnsi="Arial" w:cs="Arial"/>
                <w:color w:val="000000"/>
                <w:sz w:val="15"/>
                <w:szCs w:val="15"/>
              </w:rPr>
              <w:t>(20.0)</w:t>
            </w:r>
          </w:p>
        </w:tc>
        <w:tc>
          <w:tcPr>
            <w:tcW w:w="0" w:type="auto"/>
            <w:shd w:val="clear" w:color="auto" w:fill="CCEEFF"/>
            <w:tcMar>
              <w:top w:w="30" w:type="dxa"/>
              <w:left w:w="0" w:type="dxa"/>
              <w:bottom w:w="30" w:type="dxa"/>
              <w:right w:w="20" w:type="dxa"/>
            </w:tcMar>
            <w:vAlign w:val="bottom"/>
            <w:hideMark/>
          </w:tcPr>
          <w:p w14:paraId="59A7FC74" w14:textId="77777777" w:rsidR="00000000" w:rsidRDefault="00C01C43">
            <w:pPr>
              <w:jc w:val="right"/>
              <w:rPr>
                <w:rFonts w:eastAsia="Times New Roman"/>
              </w:rPr>
            </w:pPr>
          </w:p>
        </w:tc>
      </w:tr>
      <w:tr w:rsidR="00000000" w14:paraId="04D0600F" w14:textId="77777777">
        <w:trPr>
          <w:divId w:val="687020625"/>
        </w:trPr>
        <w:tc>
          <w:tcPr>
            <w:tcW w:w="0" w:type="auto"/>
            <w:gridSpan w:val="3"/>
            <w:shd w:val="clear" w:color="auto" w:fill="FFFFFF"/>
            <w:tcMar>
              <w:top w:w="30" w:type="dxa"/>
              <w:left w:w="20" w:type="dxa"/>
              <w:bottom w:w="30" w:type="dxa"/>
              <w:right w:w="20" w:type="dxa"/>
            </w:tcMar>
            <w:vAlign w:val="bottom"/>
            <w:hideMark/>
          </w:tcPr>
          <w:p w14:paraId="63DA4C12" w14:textId="77777777" w:rsidR="00000000" w:rsidRDefault="00C01C43">
            <w:pPr>
              <w:rPr>
                <w:rFonts w:eastAsia="Times New Roman"/>
              </w:rPr>
            </w:pPr>
            <w:r>
              <w:rPr>
                <w:rFonts w:ascii="Arial" w:eastAsia="Times New Roman" w:hAnsi="Arial" w:cs="Arial"/>
                <w:color w:val="000000"/>
                <w:sz w:val="15"/>
                <w:szCs w:val="15"/>
              </w:rPr>
              <w:t>Other financing activities, net*</w:t>
            </w:r>
          </w:p>
        </w:tc>
        <w:tc>
          <w:tcPr>
            <w:tcW w:w="0" w:type="auto"/>
            <w:gridSpan w:val="2"/>
            <w:shd w:val="clear" w:color="auto" w:fill="FFFFFF"/>
            <w:tcMar>
              <w:top w:w="30" w:type="dxa"/>
              <w:left w:w="20" w:type="dxa"/>
              <w:bottom w:w="30" w:type="dxa"/>
              <w:right w:w="0" w:type="dxa"/>
            </w:tcMar>
            <w:vAlign w:val="bottom"/>
            <w:hideMark/>
          </w:tcPr>
          <w:p w14:paraId="48A54D3E" w14:textId="77777777" w:rsidR="00000000" w:rsidRDefault="00C01C43">
            <w:pPr>
              <w:jc w:val="right"/>
              <w:rPr>
                <w:rFonts w:eastAsia="Times New Roman"/>
              </w:rPr>
            </w:pPr>
            <w:r>
              <w:rPr>
                <w:rFonts w:ascii="Arial" w:eastAsia="Times New Roman" w:hAnsi="Arial" w:cs="Arial"/>
                <w:color w:val="000000"/>
                <w:sz w:val="15"/>
                <w:szCs w:val="15"/>
              </w:rPr>
              <w:t>(7.1)</w:t>
            </w:r>
          </w:p>
        </w:tc>
        <w:tc>
          <w:tcPr>
            <w:tcW w:w="0" w:type="auto"/>
            <w:shd w:val="clear" w:color="auto" w:fill="FFFFFF"/>
            <w:tcMar>
              <w:top w:w="30" w:type="dxa"/>
              <w:left w:w="0" w:type="dxa"/>
              <w:bottom w:w="30" w:type="dxa"/>
              <w:right w:w="20" w:type="dxa"/>
            </w:tcMar>
            <w:vAlign w:val="bottom"/>
            <w:hideMark/>
          </w:tcPr>
          <w:p w14:paraId="0891234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3603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8FF141" w14:textId="77777777" w:rsidR="00000000" w:rsidRDefault="00C01C43">
            <w:pPr>
              <w:jc w:val="right"/>
              <w:rPr>
                <w:rFonts w:eastAsia="Times New Roman"/>
              </w:rPr>
            </w:pPr>
            <w:r>
              <w:rPr>
                <w:rFonts w:ascii="Arial" w:eastAsia="Times New Roman" w:hAnsi="Arial" w:cs="Arial"/>
                <w:color w:val="000000"/>
                <w:sz w:val="15"/>
                <w:szCs w:val="15"/>
              </w:rPr>
              <w:t>(39.9)</w:t>
            </w:r>
          </w:p>
        </w:tc>
        <w:tc>
          <w:tcPr>
            <w:tcW w:w="0" w:type="auto"/>
            <w:shd w:val="clear" w:color="auto" w:fill="FFFFFF"/>
            <w:tcMar>
              <w:top w:w="30" w:type="dxa"/>
              <w:left w:w="0" w:type="dxa"/>
              <w:bottom w:w="30" w:type="dxa"/>
              <w:right w:w="20" w:type="dxa"/>
            </w:tcMar>
            <w:vAlign w:val="bottom"/>
            <w:hideMark/>
          </w:tcPr>
          <w:p w14:paraId="7427366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028D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0BF5A8" w14:textId="77777777" w:rsidR="00000000" w:rsidRDefault="00C01C43">
            <w:pPr>
              <w:jc w:val="right"/>
              <w:rPr>
                <w:rFonts w:eastAsia="Times New Roman"/>
              </w:rPr>
            </w:pPr>
            <w:r>
              <w:rPr>
                <w:rFonts w:ascii="Arial" w:eastAsia="Times New Roman" w:hAnsi="Arial" w:cs="Arial"/>
                <w:color w:val="000000"/>
                <w:sz w:val="15"/>
                <w:szCs w:val="15"/>
              </w:rPr>
              <w:t>(2.1)</w:t>
            </w:r>
          </w:p>
        </w:tc>
        <w:tc>
          <w:tcPr>
            <w:tcW w:w="0" w:type="auto"/>
            <w:shd w:val="clear" w:color="auto" w:fill="FFFFFF"/>
            <w:tcMar>
              <w:top w:w="30" w:type="dxa"/>
              <w:left w:w="0" w:type="dxa"/>
              <w:bottom w:w="30" w:type="dxa"/>
              <w:right w:w="20" w:type="dxa"/>
            </w:tcMar>
            <w:vAlign w:val="bottom"/>
            <w:hideMark/>
          </w:tcPr>
          <w:p w14:paraId="30DC0C4B" w14:textId="77777777" w:rsidR="00000000" w:rsidRDefault="00C01C43">
            <w:pPr>
              <w:jc w:val="right"/>
              <w:rPr>
                <w:rFonts w:eastAsia="Times New Roman"/>
              </w:rPr>
            </w:pPr>
          </w:p>
        </w:tc>
      </w:tr>
      <w:tr w:rsidR="00000000" w14:paraId="5D7E114C" w14:textId="77777777">
        <w:trPr>
          <w:divId w:val="6870206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01C583" w14:textId="77777777" w:rsidR="00000000" w:rsidRDefault="00C01C43">
            <w:pPr>
              <w:rPr>
                <w:rFonts w:eastAsia="Times New Roman"/>
              </w:rPr>
            </w:pPr>
            <w:r>
              <w:rPr>
                <w:rFonts w:ascii="Arial" w:eastAsia="Times New Roman" w:hAnsi="Arial" w:cs="Arial"/>
                <w:color w:val="000000"/>
                <w:sz w:val="15"/>
                <w:szCs w:val="15"/>
              </w:rPr>
              <w:t>Net cash provided by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0316EB" w14:textId="77777777" w:rsidR="00000000" w:rsidRDefault="00C01C43">
            <w:pPr>
              <w:jc w:val="right"/>
              <w:rPr>
                <w:rFonts w:eastAsia="Times New Roman"/>
              </w:rPr>
            </w:pPr>
            <w:r>
              <w:rPr>
                <w:rFonts w:ascii="Arial" w:eastAsia="Times New Roman" w:hAnsi="Arial" w:cs="Arial"/>
                <w:color w:val="000000"/>
                <w:sz w:val="15"/>
                <w:szCs w:val="15"/>
              </w:rPr>
              <w:t>(213.0)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93178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FA6DEF"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584622" w14:textId="77777777" w:rsidR="00000000" w:rsidRDefault="00C01C43">
            <w:pPr>
              <w:jc w:val="right"/>
              <w:rPr>
                <w:rFonts w:eastAsia="Times New Roman"/>
              </w:rPr>
            </w:pPr>
            <w:r>
              <w:rPr>
                <w:rFonts w:ascii="Arial" w:eastAsia="Times New Roman" w:hAnsi="Arial" w:cs="Arial"/>
                <w:color w:val="000000"/>
                <w:sz w:val="15"/>
                <w:szCs w:val="15"/>
              </w:rPr>
              <w:t>(204.9)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877E2A"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FFD5BE"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B7B49C" w14:textId="77777777" w:rsidR="00000000" w:rsidRDefault="00C01C43">
            <w:pPr>
              <w:jc w:val="right"/>
              <w:rPr>
                <w:rFonts w:eastAsia="Times New Roman"/>
              </w:rPr>
            </w:pPr>
            <w:r>
              <w:rPr>
                <w:rFonts w:ascii="Arial" w:eastAsia="Times New Roman" w:hAnsi="Arial" w:cs="Arial"/>
                <w:color w:val="000000"/>
                <w:sz w:val="15"/>
                <w:szCs w:val="15"/>
              </w:rPr>
              <w:t>(257.1)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98B5A9" w14:textId="77777777" w:rsidR="00000000" w:rsidRDefault="00C01C43">
            <w:pPr>
              <w:jc w:val="right"/>
              <w:rPr>
                <w:rFonts w:eastAsia="Times New Roman"/>
              </w:rPr>
            </w:pPr>
          </w:p>
        </w:tc>
      </w:tr>
      <w:tr w:rsidR="00000000" w14:paraId="3FEBAC52" w14:textId="77777777">
        <w:trPr>
          <w:divId w:val="68702062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86A88F2" w14:textId="77777777" w:rsidR="00000000" w:rsidRDefault="00C01C43">
            <w:pPr>
              <w:rPr>
                <w:rFonts w:eastAsia="Times New Roman"/>
              </w:rPr>
            </w:pPr>
            <w:r>
              <w:rPr>
                <w:rFonts w:ascii="Arial" w:eastAsia="Times New Roman" w:hAnsi="Arial" w:cs="Arial"/>
                <w:color w:val="000000"/>
                <w:sz w:val="15"/>
                <w:szCs w:val="15"/>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147AD0" w14:textId="77777777" w:rsidR="00000000" w:rsidRDefault="00C01C43">
            <w:pPr>
              <w:jc w:val="right"/>
              <w:rPr>
                <w:rFonts w:eastAsia="Times New Roman"/>
              </w:rPr>
            </w:pPr>
            <w:r>
              <w:rPr>
                <w:rFonts w:ascii="Arial" w:eastAsia="Times New Roman" w:hAnsi="Arial" w:cs="Arial"/>
                <w:color w:val="000000"/>
                <w:sz w:val="15"/>
                <w:szCs w:val="15"/>
              </w:rPr>
              <w:t>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B861AB"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87AA5F"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9FE2C3" w14:textId="77777777" w:rsidR="00000000" w:rsidRDefault="00C01C43">
            <w:pPr>
              <w:jc w:val="right"/>
              <w:rPr>
                <w:rFonts w:eastAsia="Times New Roman"/>
              </w:rPr>
            </w:pPr>
            <w:r>
              <w:rPr>
                <w:rFonts w:ascii="Arial" w:eastAsia="Times New Roman" w:hAnsi="Arial" w:cs="Arial"/>
                <w:color w:val="000000"/>
                <w:sz w:val="15"/>
                <w:szCs w:val="15"/>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CB5464"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715C57"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F0518C" w14:textId="77777777" w:rsidR="00000000" w:rsidRDefault="00C01C43">
            <w:pPr>
              <w:jc w:val="right"/>
              <w:rPr>
                <w:rFonts w:eastAsia="Times New Roman"/>
              </w:rPr>
            </w:pPr>
            <w:r>
              <w:rPr>
                <w:rFonts w:ascii="Arial" w:eastAsia="Times New Roman" w:hAnsi="Arial" w:cs="Arial"/>
                <w:color w:val="000000"/>
                <w:sz w:val="15"/>
                <w:szCs w:val="15"/>
              </w:rPr>
              <w:t>(7.0)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751676" w14:textId="77777777" w:rsidR="00000000" w:rsidRDefault="00C01C43">
            <w:pPr>
              <w:jc w:val="right"/>
              <w:rPr>
                <w:rFonts w:eastAsia="Times New Roman"/>
              </w:rPr>
            </w:pPr>
          </w:p>
        </w:tc>
      </w:tr>
      <w:tr w:rsidR="00000000" w14:paraId="7EC1367A" w14:textId="77777777">
        <w:trPr>
          <w:divId w:val="6870206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3E9E94" w14:textId="77777777" w:rsidR="00000000" w:rsidRDefault="00C01C43">
            <w:pPr>
              <w:rPr>
                <w:rFonts w:eastAsia="Times New Roman"/>
              </w:rPr>
            </w:pPr>
            <w:r>
              <w:rPr>
                <w:rFonts w:ascii="Arial" w:eastAsia="Times New Roman" w:hAnsi="Arial" w:cs="Arial"/>
                <w:color w:val="000000"/>
                <w:sz w:val="15"/>
                <w:szCs w:val="15"/>
              </w:rPr>
              <w:t>Net increase (decrease)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5676F9" w14:textId="77777777" w:rsidR="00000000" w:rsidRDefault="00C01C43">
            <w:pPr>
              <w:jc w:val="right"/>
              <w:rPr>
                <w:rFonts w:eastAsia="Times New Roman"/>
              </w:rPr>
            </w:pPr>
            <w:r>
              <w:rPr>
                <w:rFonts w:ascii="Arial" w:eastAsia="Times New Roman" w:hAnsi="Arial" w:cs="Arial"/>
                <w:color w:val="000000"/>
                <w:sz w:val="15"/>
                <w:szCs w:val="15"/>
              </w:rPr>
              <w:t>472.7 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1EF4D2"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A2BEE8"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82A0FB" w14:textId="77777777" w:rsidR="00000000" w:rsidRDefault="00C01C43">
            <w:pPr>
              <w:jc w:val="right"/>
              <w:rPr>
                <w:rFonts w:eastAsia="Times New Roman"/>
              </w:rPr>
            </w:pPr>
            <w:r>
              <w:rPr>
                <w:rFonts w:ascii="Arial" w:eastAsia="Times New Roman" w:hAnsi="Arial" w:cs="Arial"/>
                <w:color w:val="000000"/>
                <w:sz w:val="15"/>
                <w:szCs w:val="15"/>
              </w:rPr>
              <w:t>(25.6)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665EC1"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4DD3FA"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C9EAB2" w14:textId="77777777" w:rsidR="00000000" w:rsidRDefault="00C01C43">
            <w:pPr>
              <w:jc w:val="right"/>
              <w:rPr>
                <w:rFonts w:eastAsia="Times New Roman"/>
              </w:rPr>
            </w:pPr>
            <w:r>
              <w:rPr>
                <w:rFonts w:ascii="Arial" w:eastAsia="Times New Roman" w:hAnsi="Arial" w:cs="Arial"/>
                <w:color w:val="000000"/>
                <w:sz w:val="15"/>
                <w:szCs w:val="15"/>
              </w:rPr>
              <w:t>(160.6)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3D9671" w14:textId="77777777" w:rsidR="00000000" w:rsidRDefault="00C01C43">
            <w:pPr>
              <w:jc w:val="right"/>
              <w:rPr>
                <w:rFonts w:eastAsia="Times New Roman"/>
              </w:rPr>
            </w:pPr>
          </w:p>
        </w:tc>
      </w:tr>
      <w:tr w:rsidR="00000000" w14:paraId="73066BAC" w14:textId="77777777">
        <w:trPr>
          <w:divId w:val="68702062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553E6D2" w14:textId="77777777" w:rsidR="00000000" w:rsidRDefault="00C01C43">
            <w:pPr>
              <w:rPr>
                <w:rFonts w:eastAsia="Times New Roman"/>
              </w:rPr>
            </w:pPr>
            <w:r>
              <w:rPr>
                <w:rFonts w:ascii="Arial" w:eastAsia="Times New Roman" w:hAnsi="Arial" w:cs="Arial"/>
                <w:color w:val="000000"/>
                <w:sz w:val="15"/>
                <w:szCs w:val="15"/>
              </w:rPr>
              <w:t>Cash and cash equivalents, as of the beginning of the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CAF3EA" w14:textId="77777777" w:rsidR="00000000" w:rsidRDefault="00C01C43">
            <w:pPr>
              <w:jc w:val="right"/>
              <w:rPr>
                <w:rFonts w:eastAsia="Times New Roman"/>
              </w:rPr>
            </w:pPr>
            <w:r>
              <w:rPr>
                <w:rFonts w:ascii="Arial" w:eastAsia="Times New Roman" w:hAnsi="Arial" w:cs="Arial"/>
                <w:color w:val="000000"/>
                <w:sz w:val="15"/>
                <w:szCs w:val="15"/>
              </w:rPr>
              <w:t>186.1 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FC0185"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0D316EB"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2319C6" w14:textId="77777777" w:rsidR="00000000" w:rsidRDefault="00C01C43">
            <w:pPr>
              <w:jc w:val="right"/>
              <w:rPr>
                <w:rFonts w:eastAsia="Times New Roman"/>
              </w:rPr>
            </w:pPr>
            <w:r>
              <w:rPr>
                <w:rFonts w:ascii="Arial" w:eastAsia="Times New Roman" w:hAnsi="Arial" w:cs="Arial"/>
                <w:color w:val="000000"/>
                <w:sz w:val="15"/>
                <w:szCs w:val="15"/>
              </w:rPr>
              <w:t>211.7 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A0AA0E"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A8AEDA"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48E43F" w14:textId="77777777" w:rsidR="00000000" w:rsidRDefault="00C01C43">
            <w:pPr>
              <w:jc w:val="right"/>
              <w:rPr>
                <w:rFonts w:eastAsia="Times New Roman"/>
              </w:rPr>
            </w:pPr>
            <w:r>
              <w:rPr>
                <w:rFonts w:ascii="Arial" w:eastAsia="Times New Roman" w:hAnsi="Arial" w:cs="Arial"/>
                <w:color w:val="000000"/>
                <w:sz w:val="15"/>
                <w:szCs w:val="15"/>
              </w:rPr>
              <w:t>372.3 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6912E2" w14:textId="77777777" w:rsidR="00000000" w:rsidRDefault="00C01C43">
            <w:pPr>
              <w:jc w:val="right"/>
              <w:rPr>
                <w:rFonts w:eastAsia="Times New Roman"/>
              </w:rPr>
            </w:pPr>
          </w:p>
        </w:tc>
      </w:tr>
      <w:tr w:rsidR="00000000" w14:paraId="524FD726" w14:textId="77777777">
        <w:trPr>
          <w:divId w:val="687020625"/>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585DA430" w14:textId="77777777" w:rsidR="00000000" w:rsidRDefault="00C01C43">
            <w:pPr>
              <w:rPr>
                <w:rFonts w:eastAsia="Times New Roman"/>
              </w:rPr>
            </w:pPr>
            <w:r>
              <w:rPr>
                <w:rFonts w:ascii="Arial" w:eastAsia="Times New Roman" w:hAnsi="Arial" w:cs="Arial"/>
                <w:color w:val="000000"/>
                <w:sz w:val="15"/>
                <w:szCs w:val="15"/>
              </w:rPr>
              <w:t>Cash and cash equivalents, as of the end of the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70A546"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B812E1E" w14:textId="77777777" w:rsidR="00000000" w:rsidRDefault="00C01C43">
            <w:pPr>
              <w:jc w:val="right"/>
              <w:rPr>
                <w:rFonts w:eastAsia="Times New Roman"/>
              </w:rPr>
            </w:pPr>
            <w:r>
              <w:rPr>
                <w:rFonts w:ascii="Arial" w:eastAsia="Times New Roman" w:hAnsi="Arial" w:cs="Arial"/>
                <w:color w:val="000000"/>
                <w:sz w:val="15"/>
                <w:szCs w:val="15"/>
              </w:rPr>
              <w:t>658.8 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D31DE0"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F2DE034"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FF362F"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CE7653" w14:textId="77777777" w:rsidR="00000000" w:rsidRDefault="00C01C43">
            <w:pPr>
              <w:jc w:val="right"/>
              <w:rPr>
                <w:rFonts w:eastAsia="Times New Roman"/>
              </w:rPr>
            </w:pPr>
            <w:r>
              <w:rPr>
                <w:rFonts w:ascii="Arial" w:eastAsia="Times New Roman" w:hAnsi="Arial" w:cs="Arial"/>
                <w:color w:val="000000"/>
                <w:sz w:val="15"/>
                <w:szCs w:val="15"/>
              </w:rPr>
              <w:t>186.1 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9E3269"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1009AF8"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45F81B" w14:textId="77777777" w:rsidR="00000000" w:rsidRDefault="00C01C43">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4BFFBF" w14:textId="77777777" w:rsidR="00000000" w:rsidRDefault="00C01C43">
            <w:pPr>
              <w:jc w:val="right"/>
              <w:rPr>
                <w:rFonts w:eastAsia="Times New Roman"/>
              </w:rPr>
            </w:pPr>
            <w:r>
              <w:rPr>
                <w:rFonts w:ascii="Arial" w:eastAsia="Times New Roman" w:hAnsi="Arial" w:cs="Arial"/>
                <w:color w:val="000000"/>
                <w:sz w:val="15"/>
                <w:szCs w:val="15"/>
              </w:rPr>
              <w:t>211.7 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9F175B" w14:textId="77777777" w:rsidR="00000000" w:rsidRDefault="00C01C43">
            <w:pPr>
              <w:jc w:val="right"/>
              <w:rPr>
                <w:rFonts w:eastAsia="Times New Roman"/>
              </w:rPr>
            </w:pPr>
          </w:p>
        </w:tc>
      </w:tr>
    </w:tbl>
    <w:p w14:paraId="5BFDA585" w14:textId="77777777" w:rsidR="00000000" w:rsidRDefault="00C01C43">
      <w:pPr>
        <w:divId w:val="471606071"/>
        <w:rPr>
          <w:rFonts w:eastAsia="Times New Roman"/>
        </w:rPr>
      </w:pPr>
      <w:r>
        <w:rPr>
          <w:rFonts w:ascii="Arial" w:eastAsia="Times New Roman" w:hAnsi="Arial" w:cs="Arial"/>
          <w:color w:val="000000"/>
          <w:sz w:val="16"/>
          <w:szCs w:val="16"/>
        </w:rPr>
        <w:t>* 2019 includes $32.7 million cash paid for the acquisition of 30% non-controlling interest of a consolidated subsidiary, Avinode Group AB.</w:t>
      </w:r>
    </w:p>
    <w:p w14:paraId="2CC3BB8E" w14:textId="77777777" w:rsidR="00000000" w:rsidRDefault="00C01C43">
      <w:pPr>
        <w:jc w:val="center"/>
        <w:divId w:val="390009010"/>
        <w:rPr>
          <w:rFonts w:eastAsia="Times New Roman"/>
        </w:rPr>
      </w:pPr>
      <w:r>
        <w:rPr>
          <w:rFonts w:ascii="Arial" w:eastAsia="Times New Roman" w:hAnsi="Arial" w:cs="Arial"/>
          <w:color w:val="000000"/>
          <w:sz w:val="16"/>
          <w:szCs w:val="16"/>
        </w:rPr>
        <w:t>51</w:t>
      </w:r>
    </w:p>
    <w:p w14:paraId="6BFF0110" w14:textId="77777777" w:rsidR="00000000" w:rsidRDefault="00C01C43">
      <w:pPr>
        <w:rPr>
          <w:rFonts w:eastAsia="Times New Roman"/>
        </w:rPr>
      </w:pPr>
      <w:r>
        <w:rPr>
          <w:rFonts w:eastAsia="Times New Roman"/>
        </w:rPr>
        <w:pict w14:anchorId="63A3BAF1">
          <v:rect id="_x0000_i1080" style="width:0;height:1.5pt" o:hralign="center" o:hrstd="t" o:hr="t" fillcolor="#a0a0a0" stroked="f"/>
        </w:pict>
      </w:r>
    </w:p>
    <w:p w14:paraId="30D8B1C8" w14:textId="77777777" w:rsidR="00000000" w:rsidRDefault="00C01C43">
      <w:pPr>
        <w:divId w:val="2082946911"/>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04291FF3" w14:textId="77777777" w:rsidR="00000000" w:rsidRDefault="00C01C43">
      <w:pPr>
        <w:divId w:val="154683216"/>
        <w:rPr>
          <w:rFonts w:eastAsia="Times New Roman"/>
        </w:rPr>
      </w:pPr>
      <w:r>
        <w:rPr>
          <w:rFonts w:ascii="Arial" w:eastAsia="Times New Roman" w:hAnsi="Arial" w:cs="Arial"/>
          <w:b/>
          <w:bCs/>
          <w:color w:val="000000"/>
        </w:rPr>
        <w:t>WORLD FUEL SERVICES CORPORATION</w:t>
      </w:r>
    </w:p>
    <w:p w14:paraId="38BB5C09" w14:textId="77777777" w:rsidR="00000000" w:rsidRDefault="00C01C43">
      <w:pPr>
        <w:jc w:val="both"/>
        <w:rPr>
          <w:rFonts w:eastAsia="Times New Roman"/>
        </w:rPr>
      </w:pPr>
      <w:r>
        <w:rPr>
          <w:rFonts w:ascii="Arial" w:eastAsia="Times New Roman" w:hAnsi="Arial" w:cs="Arial"/>
          <w:b/>
          <w:bCs/>
          <w:color w:val="000000"/>
        </w:rPr>
        <w:t>CONSOLIDATED STATEMENTS OF CASH FLOWS</w:t>
      </w:r>
      <w:r>
        <w:rPr>
          <w:rFonts w:ascii="Arial" w:eastAsia="Times New Roman" w:hAnsi="Arial" w:cs="Arial"/>
          <w:color w:val="000000"/>
        </w:rPr>
        <w:t> </w:t>
      </w:r>
      <w:r>
        <w:rPr>
          <w:rFonts w:ascii="Arial" w:eastAsia="Times New Roman" w:hAnsi="Arial" w:cs="Arial"/>
          <w:b/>
          <w:bCs/>
          <w:color w:val="000000"/>
        </w:rPr>
        <w:t>– (CONTINUED) </w:t>
      </w:r>
    </w:p>
    <w:p w14:paraId="06C685F0" w14:textId="77777777" w:rsidR="00000000" w:rsidRDefault="00C01C43">
      <w:pPr>
        <w:jc w:val="both"/>
        <w:rPr>
          <w:rFonts w:eastAsia="Times New Roman"/>
        </w:rPr>
      </w:pPr>
      <w:r>
        <w:rPr>
          <w:rFonts w:ascii="Arial" w:eastAsia="Times New Roman" w:hAnsi="Arial" w:cs="Arial"/>
          <w:color w:val="000000"/>
          <w:sz w:val="20"/>
          <w:szCs w:val="20"/>
        </w:rPr>
        <w:t>(In millions)</w:t>
      </w:r>
    </w:p>
    <w:tbl>
      <w:tblPr>
        <w:tblW w:w="4992" w:type="pct"/>
        <w:tblCellMar>
          <w:top w:w="15" w:type="dxa"/>
          <w:left w:w="15" w:type="dxa"/>
          <w:bottom w:w="15" w:type="dxa"/>
          <w:right w:w="15" w:type="dxa"/>
        </w:tblCellMar>
        <w:tblLook w:val="04A0" w:firstRow="1" w:lastRow="0" w:firstColumn="1" w:lastColumn="0" w:noHBand="0" w:noVBand="1"/>
      </w:tblPr>
      <w:tblGrid>
        <w:gridCol w:w="37"/>
        <w:gridCol w:w="5330"/>
        <w:gridCol w:w="36"/>
        <w:gridCol w:w="133"/>
        <w:gridCol w:w="759"/>
        <w:gridCol w:w="37"/>
        <w:gridCol w:w="37"/>
        <w:gridCol w:w="51"/>
        <w:gridCol w:w="37"/>
        <w:gridCol w:w="133"/>
        <w:gridCol w:w="687"/>
        <w:gridCol w:w="37"/>
        <w:gridCol w:w="37"/>
        <w:gridCol w:w="50"/>
        <w:gridCol w:w="36"/>
        <w:gridCol w:w="132"/>
        <w:gridCol w:w="688"/>
        <w:gridCol w:w="36"/>
      </w:tblGrid>
      <w:tr w:rsidR="00000000" w14:paraId="69A955CF" w14:textId="77777777">
        <w:trPr>
          <w:divId w:val="1141190137"/>
        </w:trPr>
        <w:tc>
          <w:tcPr>
            <w:tcW w:w="50" w:type="pct"/>
            <w:vAlign w:val="center"/>
            <w:hideMark/>
          </w:tcPr>
          <w:p w14:paraId="090CF24D" w14:textId="77777777" w:rsidR="00000000" w:rsidRDefault="00C01C43">
            <w:pPr>
              <w:jc w:val="both"/>
              <w:rPr>
                <w:rFonts w:eastAsia="Times New Roman"/>
              </w:rPr>
            </w:pPr>
          </w:p>
        </w:tc>
        <w:tc>
          <w:tcPr>
            <w:tcW w:w="3605" w:type="pct"/>
            <w:vAlign w:val="center"/>
            <w:hideMark/>
          </w:tcPr>
          <w:p w14:paraId="50B82A98" w14:textId="77777777" w:rsidR="00000000" w:rsidRDefault="00C01C43">
            <w:pPr>
              <w:rPr>
                <w:rFonts w:eastAsia="Times New Roman"/>
                <w:sz w:val="20"/>
                <w:szCs w:val="20"/>
              </w:rPr>
            </w:pPr>
          </w:p>
        </w:tc>
        <w:tc>
          <w:tcPr>
            <w:tcW w:w="5" w:type="pct"/>
            <w:vAlign w:val="center"/>
            <w:hideMark/>
          </w:tcPr>
          <w:p w14:paraId="4446F304" w14:textId="77777777" w:rsidR="00000000" w:rsidRDefault="00C01C43">
            <w:pPr>
              <w:rPr>
                <w:rFonts w:eastAsia="Times New Roman"/>
                <w:sz w:val="20"/>
                <w:szCs w:val="20"/>
              </w:rPr>
            </w:pPr>
          </w:p>
        </w:tc>
        <w:tc>
          <w:tcPr>
            <w:tcW w:w="50" w:type="pct"/>
            <w:vAlign w:val="center"/>
            <w:hideMark/>
          </w:tcPr>
          <w:p w14:paraId="70E5CC92" w14:textId="77777777" w:rsidR="00000000" w:rsidRDefault="00C01C43">
            <w:pPr>
              <w:rPr>
                <w:rFonts w:eastAsia="Times New Roman"/>
                <w:sz w:val="20"/>
                <w:szCs w:val="20"/>
              </w:rPr>
            </w:pPr>
          </w:p>
        </w:tc>
        <w:tc>
          <w:tcPr>
            <w:tcW w:w="391" w:type="pct"/>
            <w:vAlign w:val="center"/>
            <w:hideMark/>
          </w:tcPr>
          <w:p w14:paraId="3AE6015D" w14:textId="77777777" w:rsidR="00000000" w:rsidRDefault="00C01C43">
            <w:pPr>
              <w:rPr>
                <w:rFonts w:eastAsia="Times New Roman"/>
                <w:sz w:val="20"/>
                <w:szCs w:val="20"/>
              </w:rPr>
            </w:pPr>
          </w:p>
        </w:tc>
        <w:tc>
          <w:tcPr>
            <w:tcW w:w="5" w:type="pct"/>
            <w:vAlign w:val="center"/>
            <w:hideMark/>
          </w:tcPr>
          <w:p w14:paraId="24CF1E3C" w14:textId="77777777" w:rsidR="00000000" w:rsidRDefault="00C01C43">
            <w:pPr>
              <w:rPr>
                <w:rFonts w:eastAsia="Times New Roman"/>
                <w:sz w:val="20"/>
                <w:szCs w:val="20"/>
              </w:rPr>
            </w:pPr>
          </w:p>
        </w:tc>
        <w:tc>
          <w:tcPr>
            <w:tcW w:w="5" w:type="pct"/>
            <w:vAlign w:val="center"/>
            <w:hideMark/>
          </w:tcPr>
          <w:p w14:paraId="38C7A848" w14:textId="77777777" w:rsidR="00000000" w:rsidRDefault="00C01C43">
            <w:pPr>
              <w:rPr>
                <w:rFonts w:eastAsia="Times New Roman"/>
                <w:sz w:val="20"/>
                <w:szCs w:val="20"/>
              </w:rPr>
            </w:pPr>
          </w:p>
        </w:tc>
        <w:tc>
          <w:tcPr>
            <w:tcW w:w="26" w:type="pct"/>
            <w:vAlign w:val="center"/>
            <w:hideMark/>
          </w:tcPr>
          <w:p w14:paraId="5E8FACBE" w14:textId="77777777" w:rsidR="00000000" w:rsidRDefault="00C01C43">
            <w:pPr>
              <w:rPr>
                <w:rFonts w:eastAsia="Times New Roman"/>
                <w:sz w:val="20"/>
                <w:szCs w:val="20"/>
              </w:rPr>
            </w:pPr>
          </w:p>
        </w:tc>
        <w:tc>
          <w:tcPr>
            <w:tcW w:w="5" w:type="pct"/>
            <w:vAlign w:val="center"/>
            <w:hideMark/>
          </w:tcPr>
          <w:p w14:paraId="48E2E604" w14:textId="77777777" w:rsidR="00000000" w:rsidRDefault="00C01C43">
            <w:pPr>
              <w:rPr>
                <w:rFonts w:eastAsia="Times New Roman"/>
                <w:sz w:val="20"/>
                <w:szCs w:val="20"/>
              </w:rPr>
            </w:pPr>
          </w:p>
        </w:tc>
        <w:tc>
          <w:tcPr>
            <w:tcW w:w="50" w:type="pct"/>
            <w:vAlign w:val="center"/>
            <w:hideMark/>
          </w:tcPr>
          <w:p w14:paraId="439EFDFF" w14:textId="77777777" w:rsidR="00000000" w:rsidRDefault="00C01C43">
            <w:pPr>
              <w:rPr>
                <w:rFonts w:eastAsia="Times New Roman"/>
                <w:sz w:val="20"/>
                <w:szCs w:val="20"/>
              </w:rPr>
            </w:pPr>
          </w:p>
        </w:tc>
        <w:tc>
          <w:tcPr>
            <w:tcW w:w="354" w:type="pct"/>
            <w:vAlign w:val="center"/>
            <w:hideMark/>
          </w:tcPr>
          <w:p w14:paraId="4582F19C" w14:textId="77777777" w:rsidR="00000000" w:rsidRDefault="00C01C43">
            <w:pPr>
              <w:rPr>
                <w:rFonts w:eastAsia="Times New Roman"/>
                <w:sz w:val="20"/>
                <w:szCs w:val="20"/>
              </w:rPr>
            </w:pPr>
          </w:p>
        </w:tc>
        <w:tc>
          <w:tcPr>
            <w:tcW w:w="5" w:type="pct"/>
            <w:vAlign w:val="center"/>
            <w:hideMark/>
          </w:tcPr>
          <w:p w14:paraId="4B7BBC92" w14:textId="77777777" w:rsidR="00000000" w:rsidRDefault="00C01C43">
            <w:pPr>
              <w:rPr>
                <w:rFonts w:eastAsia="Times New Roman"/>
                <w:sz w:val="20"/>
                <w:szCs w:val="20"/>
              </w:rPr>
            </w:pPr>
          </w:p>
        </w:tc>
        <w:tc>
          <w:tcPr>
            <w:tcW w:w="5" w:type="pct"/>
            <w:vAlign w:val="center"/>
            <w:hideMark/>
          </w:tcPr>
          <w:p w14:paraId="64FE1124" w14:textId="77777777" w:rsidR="00000000" w:rsidRDefault="00C01C43">
            <w:pPr>
              <w:rPr>
                <w:rFonts w:eastAsia="Times New Roman"/>
                <w:sz w:val="20"/>
                <w:szCs w:val="20"/>
              </w:rPr>
            </w:pPr>
          </w:p>
        </w:tc>
        <w:tc>
          <w:tcPr>
            <w:tcW w:w="26" w:type="pct"/>
            <w:vAlign w:val="center"/>
            <w:hideMark/>
          </w:tcPr>
          <w:p w14:paraId="01E485B2" w14:textId="77777777" w:rsidR="00000000" w:rsidRDefault="00C01C43">
            <w:pPr>
              <w:rPr>
                <w:rFonts w:eastAsia="Times New Roman"/>
                <w:sz w:val="20"/>
                <w:szCs w:val="20"/>
              </w:rPr>
            </w:pPr>
          </w:p>
        </w:tc>
        <w:tc>
          <w:tcPr>
            <w:tcW w:w="5" w:type="pct"/>
            <w:vAlign w:val="center"/>
            <w:hideMark/>
          </w:tcPr>
          <w:p w14:paraId="36E9BB8E" w14:textId="77777777" w:rsidR="00000000" w:rsidRDefault="00C01C43">
            <w:pPr>
              <w:rPr>
                <w:rFonts w:eastAsia="Times New Roman"/>
                <w:sz w:val="20"/>
                <w:szCs w:val="20"/>
              </w:rPr>
            </w:pPr>
          </w:p>
        </w:tc>
        <w:tc>
          <w:tcPr>
            <w:tcW w:w="50" w:type="pct"/>
            <w:vAlign w:val="center"/>
            <w:hideMark/>
          </w:tcPr>
          <w:p w14:paraId="3FCD11C7" w14:textId="77777777" w:rsidR="00000000" w:rsidRDefault="00C01C43">
            <w:pPr>
              <w:rPr>
                <w:rFonts w:eastAsia="Times New Roman"/>
                <w:sz w:val="20"/>
                <w:szCs w:val="20"/>
              </w:rPr>
            </w:pPr>
          </w:p>
        </w:tc>
        <w:tc>
          <w:tcPr>
            <w:tcW w:w="355" w:type="pct"/>
            <w:vAlign w:val="center"/>
            <w:hideMark/>
          </w:tcPr>
          <w:p w14:paraId="392FCBF2" w14:textId="77777777" w:rsidR="00000000" w:rsidRDefault="00C01C43">
            <w:pPr>
              <w:rPr>
                <w:rFonts w:eastAsia="Times New Roman"/>
                <w:sz w:val="20"/>
                <w:szCs w:val="20"/>
              </w:rPr>
            </w:pPr>
          </w:p>
        </w:tc>
        <w:tc>
          <w:tcPr>
            <w:tcW w:w="5" w:type="pct"/>
            <w:vAlign w:val="center"/>
            <w:hideMark/>
          </w:tcPr>
          <w:p w14:paraId="79AFD5C8" w14:textId="77777777" w:rsidR="00000000" w:rsidRDefault="00C01C43">
            <w:pPr>
              <w:rPr>
                <w:rFonts w:eastAsia="Times New Roman"/>
                <w:sz w:val="20"/>
                <w:szCs w:val="20"/>
              </w:rPr>
            </w:pPr>
          </w:p>
        </w:tc>
      </w:tr>
      <w:tr w:rsidR="00000000" w14:paraId="51315BD6" w14:textId="77777777">
        <w:trPr>
          <w:divId w:val="1141190137"/>
        </w:trPr>
        <w:tc>
          <w:tcPr>
            <w:tcW w:w="0" w:type="auto"/>
            <w:gridSpan w:val="3"/>
            <w:tcMar>
              <w:top w:w="0" w:type="dxa"/>
              <w:left w:w="20" w:type="dxa"/>
              <w:bottom w:w="0" w:type="dxa"/>
              <w:right w:w="20" w:type="dxa"/>
            </w:tcMar>
            <w:vAlign w:val="center"/>
            <w:hideMark/>
          </w:tcPr>
          <w:p w14:paraId="204DE5A8" w14:textId="77777777" w:rsidR="00000000" w:rsidRDefault="00C01C43">
            <w:pPr>
              <w:rPr>
                <w:rFonts w:eastAsia="Times New Roman"/>
                <w:sz w:val="20"/>
                <w:szCs w:val="20"/>
              </w:rPr>
            </w:pPr>
          </w:p>
        </w:tc>
        <w:tc>
          <w:tcPr>
            <w:tcW w:w="0" w:type="auto"/>
            <w:gridSpan w:val="15"/>
            <w:tcMar>
              <w:top w:w="30" w:type="dxa"/>
              <w:left w:w="20" w:type="dxa"/>
              <w:bottom w:w="30" w:type="dxa"/>
              <w:right w:w="20" w:type="dxa"/>
            </w:tcMar>
            <w:vAlign w:val="bottom"/>
            <w:hideMark/>
          </w:tcPr>
          <w:p w14:paraId="67701062" w14:textId="77777777" w:rsidR="00000000" w:rsidRDefault="00C01C43">
            <w:pPr>
              <w:jc w:val="center"/>
              <w:rPr>
                <w:rFonts w:eastAsia="Times New Roman"/>
              </w:rPr>
            </w:pPr>
            <w:r>
              <w:rPr>
                <w:rFonts w:ascii="Arial" w:eastAsia="Times New Roman" w:hAnsi="Arial" w:cs="Arial"/>
                <w:b/>
                <w:bCs/>
                <w:color w:val="000000"/>
                <w:sz w:val="16"/>
                <w:szCs w:val="16"/>
              </w:rPr>
              <w:t>For the Year Ended </w:t>
            </w:r>
            <w:r>
              <w:rPr>
                <w:rFonts w:ascii="Arial" w:eastAsia="Times New Roman" w:hAnsi="Arial" w:cs="Arial"/>
                <w:b/>
                <w:bCs/>
                <w:color w:val="000000"/>
                <w:sz w:val="16"/>
                <w:szCs w:val="16"/>
              </w:rPr>
              <w:t>December 31,</w:t>
            </w:r>
          </w:p>
        </w:tc>
      </w:tr>
      <w:tr w:rsidR="00000000" w14:paraId="77ACD795" w14:textId="77777777">
        <w:trPr>
          <w:divId w:val="1141190137"/>
        </w:trPr>
        <w:tc>
          <w:tcPr>
            <w:tcW w:w="0" w:type="auto"/>
            <w:gridSpan w:val="3"/>
            <w:tcMar>
              <w:top w:w="0" w:type="dxa"/>
              <w:left w:w="20" w:type="dxa"/>
              <w:bottom w:w="0" w:type="dxa"/>
              <w:right w:w="20" w:type="dxa"/>
            </w:tcMar>
            <w:vAlign w:val="center"/>
            <w:hideMark/>
          </w:tcPr>
          <w:p w14:paraId="6D9D1195"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B87019"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67B1495E"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5896A2"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3C978584"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E9E96E"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793E895C" w14:textId="77777777">
        <w:trPr>
          <w:divId w:val="1141190137"/>
        </w:trPr>
        <w:tc>
          <w:tcPr>
            <w:tcW w:w="0" w:type="auto"/>
            <w:gridSpan w:val="3"/>
            <w:tcBorders>
              <w:top w:val="single" w:sz="8" w:space="0" w:color="000000"/>
            </w:tcBorders>
            <w:tcMar>
              <w:top w:w="30" w:type="dxa"/>
              <w:left w:w="20" w:type="dxa"/>
              <w:bottom w:w="30" w:type="dxa"/>
              <w:right w:w="20" w:type="dxa"/>
            </w:tcMar>
            <w:vAlign w:val="bottom"/>
            <w:hideMark/>
          </w:tcPr>
          <w:p w14:paraId="3CD758EE" w14:textId="77777777" w:rsidR="00000000" w:rsidRDefault="00C01C43">
            <w:pPr>
              <w:rPr>
                <w:rFonts w:eastAsia="Times New Roman"/>
              </w:rPr>
            </w:pPr>
            <w:r>
              <w:rPr>
                <w:rFonts w:ascii="Arial" w:eastAsia="Times New Roman" w:hAnsi="Arial" w:cs="Arial"/>
                <w:b/>
                <w:bCs/>
                <w:color w:val="000000"/>
                <w:sz w:val="20"/>
                <w:szCs w:val="20"/>
              </w:rPr>
              <w:t>Supplemental Disclosures of Cash Flow Information</w:t>
            </w:r>
          </w:p>
        </w:tc>
        <w:tc>
          <w:tcPr>
            <w:tcW w:w="0" w:type="auto"/>
            <w:gridSpan w:val="3"/>
            <w:tcBorders>
              <w:top w:val="single" w:sz="8" w:space="0" w:color="000000"/>
            </w:tcBorders>
            <w:tcMar>
              <w:top w:w="0" w:type="dxa"/>
              <w:left w:w="20" w:type="dxa"/>
              <w:bottom w:w="0" w:type="dxa"/>
              <w:right w:w="20" w:type="dxa"/>
            </w:tcMar>
            <w:vAlign w:val="center"/>
            <w:hideMark/>
          </w:tcPr>
          <w:p w14:paraId="2C7B6838" w14:textId="77777777" w:rsidR="00000000" w:rsidRDefault="00C01C4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55A0A4F" w14:textId="77777777" w:rsidR="00000000" w:rsidRDefault="00C01C4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4A23A2" w14:textId="77777777" w:rsidR="00000000" w:rsidRDefault="00C01C4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45DAC3" w14:textId="77777777" w:rsidR="00000000" w:rsidRDefault="00C01C4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7E64DAC" w14:textId="77777777" w:rsidR="00000000" w:rsidRDefault="00C01C43">
            <w:pPr>
              <w:rPr>
                <w:rFonts w:eastAsia="Times New Roman"/>
                <w:sz w:val="20"/>
                <w:szCs w:val="20"/>
              </w:rPr>
            </w:pPr>
          </w:p>
        </w:tc>
      </w:tr>
      <w:tr w:rsidR="00000000" w14:paraId="2B50944E" w14:textId="77777777">
        <w:trPr>
          <w:divId w:val="1141190137"/>
        </w:trPr>
        <w:tc>
          <w:tcPr>
            <w:tcW w:w="0" w:type="auto"/>
            <w:gridSpan w:val="3"/>
            <w:shd w:val="clear" w:color="auto" w:fill="CCEEFF"/>
            <w:tcMar>
              <w:top w:w="30" w:type="dxa"/>
              <w:left w:w="20" w:type="dxa"/>
              <w:bottom w:w="30" w:type="dxa"/>
              <w:right w:w="20" w:type="dxa"/>
            </w:tcMar>
            <w:vAlign w:val="bottom"/>
            <w:hideMark/>
          </w:tcPr>
          <w:p w14:paraId="6F28925E" w14:textId="77777777" w:rsidR="00000000" w:rsidRDefault="00C01C43">
            <w:pPr>
              <w:rPr>
                <w:rFonts w:eastAsia="Times New Roman"/>
              </w:rPr>
            </w:pPr>
            <w:r>
              <w:rPr>
                <w:rFonts w:ascii="Arial" w:eastAsia="Times New Roman" w:hAnsi="Arial" w:cs="Arial"/>
                <w:color w:val="000000"/>
                <w:sz w:val="20"/>
                <w:szCs w:val="20"/>
              </w:rPr>
              <w:t>Cash paid during the year for:</w:t>
            </w:r>
          </w:p>
        </w:tc>
        <w:tc>
          <w:tcPr>
            <w:tcW w:w="0" w:type="auto"/>
            <w:gridSpan w:val="3"/>
            <w:shd w:val="clear" w:color="auto" w:fill="CCEEFF"/>
            <w:tcMar>
              <w:top w:w="0" w:type="dxa"/>
              <w:left w:w="20" w:type="dxa"/>
              <w:bottom w:w="0" w:type="dxa"/>
              <w:right w:w="20" w:type="dxa"/>
            </w:tcMar>
            <w:vAlign w:val="center"/>
            <w:hideMark/>
          </w:tcPr>
          <w:p w14:paraId="02841B69" w14:textId="77777777" w:rsidR="00000000" w:rsidRDefault="00C01C4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C36FB"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75F8A0"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D000DF"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BE3052" w14:textId="77777777" w:rsidR="00000000" w:rsidRDefault="00C01C43">
            <w:pPr>
              <w:rPr>
                <w:rFonts w:eastAsia="Times New Roman"/>
                <w:sz w:val="20"/>
                <w:szCs w:val="20"/>
              </w:rPr>
            </w:pPr>
          </w:p>
        </w:tc>
      </w:tr>
      <w:tr w:rsidR="00000000" w14:paraId="678669B1" w14:textId="77777777">
        <w:trPr>
          <w:divId w:val="1141190137"/>
        </w:trPr>
        <w:tc>
          <w:tcPr>
            <w:tcW w:w="0" w:type="auto"/>
            <w:gridSpan w:val="3"/>
            <w:shd w:val="clear" w:color="auto" w:fill="FFFFFF"/>
            <w:tcMar>
              <w:top w:w="30" w:type="dxa"/>
              <w:left w:w="20" w:type="dxa"/>
              <w:bottom w:w="30" w:type="dxa"/>
              <w:right w:w="20" w:type="dxa"/>
            </w:tcMar>
            <w:vAlign w:val="bottom"/>
            <w:hideMark/>
          </w:tcPr>
          <w:p w14:paraId="4D5637FF" w14:textId="77777777" w:rsidR="00000000" w:rsidRDefault="00C01C43">
            <w:pPr>
              <w:rPr>
                <w:rFonts w:eastAsia="Times New Roman"/>
              </w:rPr>
            </w:pPr>
            <w:r>
              <w:rPr>
                <w:rFonts w:ascii="Arial" w:eastAsia="Times New Roman" w:hAnsi="Arial" w:cs="Arial"/>
                <w:color w:val="000000"/>
                <w:sz w:val="20"/>
                <w:szCs w:val="20"/>
              </w:rPr>
              <w:t>Interest, net of capitalized interest</w:t>
            </w:r>
          </w:p>
        </w:tc>
        <w:tc>
          <w:tcPr>
            <w:tcW w:w="0" w:type="auto"/>
            <w:shd w:val="clear" w:color="auto" w:fill="FFFFFF"/>
            <w:tcMar>
              <w:top w:w="30" w:type="dxa"/>
              <w:left w:w="20" w:type="dxa"/>
              <w:bottom w:w="30" w:type="dxa"/>
              <w:right w:w="0" w:type="dxa"/>
            </w:tcMar>
            <w:vAlign w:val="bottom"/>
            <w:hideMark/>
          </w:tcPr>
          <w:p w14:paraId="7FAF0C4C"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977B791" w14:textId="77777777" w:rsidR="00000000" w:rsidRDefault="00C01C43">
            <w:pPr>
              <w:jc w:val="right"/>
              <w:rPr>
                <w:rFonts w:eastAsia="Times New Roman"/>
              </w:rPr>
            </w:pPr>
            <w:r>
              <w:rPr>
                <w:rFonts w:ascii="Arial" w:eastAsia="Times New Roman" w:hAnsi="Arial" w:cs="Arial"/>
                <w:color w:val="000000"/>
                <w:sz w:val="20"/>
                <w:szCs w:val="20"/>
              </w:rPr>
              <w:t>45.1 </w:t>
            </w:r>
          </w:p>
        </w:tc>
        <w:tc>
          <w:tcPr>
            <w:tcW w:w="0" w:type="auto"/>
            <w:shd w:val="clear" w:color="auto" w:fill="FFFFFF"/>
            <w:tcMar>
              <w:top w:w="30" w:type="dxa"/>
              <w:left w:w="0" w:type="dxa"/>
              <w:bottom w:w="30" w:type="dxa"/>
              <w:right w:w="20" w:type="dxa"/>
            </w:tcMar>
            <w:vAlign w:val="bottom"/>
            <w:hideMark/>
          </w:tcPr>
          <w:p w14:paraId="00CA2E8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681728"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4D4E20"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3BAD27A" w14:textId="77777777" w:rsidR="00000000" w:rsidRDefault="00C01C43">
            <w:pPr>
              <w:jc w:val="right"/>
              <w:rPr>
                <w:rFonts w:eastAsia="Times New Roman"/>
              </w:rPr>
            </w:pPr>
            <w:r>
              <w:rPr>
                <w:rFonts w:ascii="Arial" w:eastAsia="Times New Roman" w:hAnsi="Arial" w:cs="Arial"/>
                <w:color w:val="000000"/>
                <w:sz w:val="20"/>
                <w:szCs w:val="20"/>
              </w:rPr>
              <w:t>77.0 </w:t>
            </w:r>
          </w:p>
        </w:tc>
        <w:tc>
          <w:tcPr>
            <w:tcW w:w="0" w:type="auto"/>
            <w:shd w:val="clear" w:color="auto" w:fill="FFFFFF"/>
            <w:tcMar>
              <w:top w:w="30" w:type="dxa"/>
              <w:left w:w="0" w:type="dxa"/>
              <w:bottom w:w="30" w:type="dxa"/>
              <w:right w:w="20" w:type="dxa"/>
            </w:tcMar>
            <w:vAlign w:val="bottom"/>
            <w:hideMark/>
          </w:tcPr>
          <w:p w14:paraId="61297CA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9F9631"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519DE1"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E22B6E6" w14:textId="77777777" w:rsidR="00000000" w:rsidRDefault="00C01C43">
            <w:pPr>
              <w:jc w:val="right"/>
              <w:rPr>
                <w:rFonts w:eastAsia="Times New Roman"/>
              </w:rPr>
            </w:pPr>
            <w:r>
              <w:rPr>
                <w:rFonts w:ascii="Arial" w:eastAsia="Times New Roman" w:hAnsi="Arial" w:cs="Arial"/>
                <w:color w:val="000000"/>
                <w:sz w:val="20"/>
                <w:szCs w:val="20"/>
              </w:rPr>
              <w:t>73.8 </w:t>
            </w:r>
          </w:p>
        </w:tc>
        <w:tc>
          <w:tcPr>
            <w:tcW w:w="0" w:type="auto"/>
            <w:shd w:val="clear" w:color="auto" w:fill="FFFFFF"/>
            <w:tcMar>
              <w:top w:w="30" w:type="dxa"/>
              <w:left w:w="0" w:type="dxa"/>
              <w:bottom w:w="30" w:type="dxa"/>
              <w:right w:w="20" w:type="dxa"/>
            </w:tcMar>
            <w:vAlign w:val="bottom"/>
            <w:hideMark/>
          </w:tcPr>
          <w:p w14:paraId="44CF80A1" w14:textId="77777777" w:rsidR="00000000" w:rsidRDefault="00C01C43">
            <w:pPr>
              <w:jc w:val="right"/>
              <w:rPr>
                <w:rFonts w:eastAsia="Times New Roman"/>
              </w:rPr>
            </w:pPr>
          </w:p>
        </w:tc>
      </w:tr>
      <w:tr w:rsidR="00000000" w14:paraId="2FFB4D4D" w14:textId="77777777">
        <w:trPr>
          <w:divId w:val="1141190137"/>
        </w:trPr>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14:paraId="2A9196E6" w14:textId="77777777" w:rsidR="00000000" w:rsidRDefault="00C01C43">
            <w:pPr>
              <w:rPr>
                <w:rFonts w:eastAsia="Times New Roman"/>
              </w:rPr>
            </w:pPr>
            <w:r>
              <w:rPr>
                <w:rFonts w:ascii="Arial" w:eastAsia="Times New Roman" w:hAnsi="Arial" w:cs="Arial"/>
                <w:color w:val="000000"/>
                <w:sz w:val="20"/>
                <w:szCs w:val="20"/>
              </w:rPr>
              <w:t>Income taxes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2E56C91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26DB23A" w14:textId="77777777" w:rsidR="00000000" w:rsidRDefault="00C01C43">
            <w:pPr>
              <w:jc w:val="right"/>
              <w:rPr>
                <w:rFonts w:eastAsia="Times New Roman"/>
              </w:rPr>
            </w:pPr>
            <w:r>
              <w:rPr>
                <w:rFonts w:ascii="Arial" w:eastAsia="Times New Roman" w:hAnsi="Arial" w:cs="Arial"/>
                <w:color w:val="000000"/>
                <w:sz w:val="20"/>
                <w:szCs w:val="20"/>
              </w:rPr>
              <w:t>68.5 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555B355C" w14:textId="77777777" w:rsidR="00000000" w:rsidRDefault="00C01C43">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271ADF8B" w14:textId="77777777" w:rsidR="00000000" w:rsidRDefault="00C01C43">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4CFE982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E202D5E" w14:textId="77777777" w:rsidR="00000000" w:rsidRDefault="00C01C43">
            <w:pPr>
              <w:jc w:val="right"/>
              <w:rPr>
                <w:rFonts w:eastAsia="Times New Roman"/>
              </w:rPr>
            </w:pPr>
            <w:r>
              <w:rPr>
                <w:rFonts w:ascii="Arial" w:eastAsia="Times New Roman" w:hAnsi="Arial" w:cs="Arial"/>
                <w:color w:val="000000"/>
                <w:sz w:val="20"/>
                <w:szCs w:val="20"/>
              </w:rPr>
              <w:t>82.9 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13794C23" w14:textId="77777777" w:rsidR="00000000" w:rsidRDefault="00C01C43">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2F6A9E27" w14:textId="77777777" w:rsidR="00000000" w:rsidRDefault="00C01C43">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284203E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79D7910" w14:textId="77777777" w:rsidR="00000000" w:rsidRDefault="00C01C43">
            <w:pPr>
              <w:jc w:val="right"/>
              <w:rPr>
                <w:rFonts w:eastAsia="Times New Roman"/>
              </w:rPr>
            </w:pPr>
            <w:r>
              <w:rPr>
                <w:rFonts w:ascii="Arial" w:eastAsia="Times New Roman" w:hAnsi="Arial" w:cs="Arial"/>
                <w:color w:val="000000"/>
                <w:sz w:val="20"/>
                <w:szCs w:val="20"/>
              </w:rPr>
              <w:t>85.3 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F3A05BF" w14:textId="77777777" w:rsidR="00000000" w:rsidRDefault="00C01C43">
            <w:pPr>
              <w:jc w:val="right"/>
              <w:rPr>
                <w:rFonts w:eastAsia="Times New Roman"/>
              </w:rPr>
            </w:pPr>
          </w:p>
        </w:tc>
      </w:tr>
    </w:tbl>
    <w:p w14:paraId="56D13F70" w14:textId="77777777" w:rsidR="00000000" w:rsidRDefault="00C01C43">
      <w:pPr>
        <w:jc w:val="both"/>
        <w:rPr>
          <w:rFonts w:eastAsia="Times New Roman"/>
        </w:rPr>
      </w:pPr>
    </w:p>
    <w:p w14:paraId="347B9BEE" w14:textId="77777777" w:rsidR="00000000" w:rsidRDefault="00C01C43">
      <w:pPr>
        <w:jc w:val="both"/>
        <w:rPr>
          <w:rFonts w:eastAsia="Times New Roman"/>
        </w:rPr>
      </w:pPr>
      <w:r>
        <w:rPr>
          <w:rFonts w:ascii="Arial" w:eastAsia="Times New Roman" w:hAnsi="Arial" w:cs="Arial"/>
          <w:b/>
          <w:bCs/>
          <w:color w:val="000000"/>
          <w:sz w:val="20"/>
          <w:szCs w:val="20"/>
        </w:rPr>
        <w:t>Supplemental Schedule of Noncash Investing and Financing Activities</w:t>
      </w:r>
    </w:p>
    <w:p w14:paraId="0519D70D" w14:textId="77777777" w:rsidR="00000000" w:rsidRDefault="00C01C43">
      <w:pPr>
        <w:jc w:val="both"/>
        <w:rPr>
          <w:rFonts w:eastAsia="Times New Roman"/>
        </w:rPr>
      </w:pPr>
    </w:p>
    <w:p w14:paraId="4B5BBC2E" w14:textId="77777777" w:rsidR="00000000" w:rsidRDefault="00C01C43">
      <w:pPr>
        <w:jc w:val="both"/>
        <w:rPr>
          <w:rFonts w:eastAsia="Times New Roman"/>
        </w:rPr>
      </w:pPr>
      <w:r>
        <w:rPr>
          <w:rFonts w:ascii="Arial" w:eastAsia="Times New Roman" w:hAnsi="Arial" w:cs="Arial"/>
          <w:color w:val="000000"/>
          <w:sz w:val="20"/>
          <w:szCs w:val="20"/>
        </w:rPr>
        <w:t xml:space="preserve">Cash dividends declared, but not yet paid, were $6.3 million, $6.5 million and $4.0 </w:t>
      </w:r>
      <w:r>
        <w:rPr>
          <w:rFonts w:ascii="Arial" w:eastAsia="Times New Roman" w:hAnsi="Arial" w:cs="Arial"/>
          <w:color w:val="000000"/>
          <w:sz w:val="20"/>
          <w:szCs w:val="20"/>
        </w:rPr>
        <w:t>million as of December 31, 2020, 2019 and 2018 respectively.</w:t>
      </w:r>
    </w:p>
    <w:p w14:paraId="194EFBDE" w14:textId="77777777" w:rsidR="00000000" w:rsidRDefault="00C01C43">
      <w:pPr>
        <w:jc w:val="both"/>
        <w:rPr>
          <w:rFonts w:eastAsia="Times New Roman"/>
        </w:rPr>
      </w:pPr>
    </w:p>
    <w:p w14:paraId="06212E3F" w14:textId="77777777" w:rsidR="00000000" w:rsidRDefault="00C01C43">
      <w:pPr>
        <w:jc w:val="both"/>
        <w:divId w:val="1370491712"/>
        <w:rPr>
          <w:rFonts w:eastAsia="Times New Roman"/>
        </w:rPr>
      </w:pPr>
      <w:r>
        <w:rPr>
          <w:rFonts w:ascii="Arial" w:eastAsia="Times New Roman" w:hAnsi="Arial" w:cs="Arial"/>
          <w:color w:val="000000"/>
          <w:sz w:val="20"/>
          <w:szCs w:val="20"/>
        </w:rPr>
        <w:t>Net noncash consideration for the acquisition and sale of businesses was $11.5 million as of December 31, 2020.</w:t>
      </w:r>
    </w:p>
    <w:p w14:paraId="41F7DC03" w14:textId="77777777" w:rsidR="00000000" w:rsidRDefault="00C01C43">
      <w:pPr>
        <w:jc w:val="both"/>
        <w:divId w:val="275791499"/>
        <w:rPr>
          <w:rFonts w:eastAsia="Times New Roman"/>
        </w:rPr>
      </w:pPr>
      <w:r>
        <w:rPr>
          <w:rFonts w:ascii="Arial" w:eastAsia="Times New Roman" w:hAnsi="Arial" w:cs="Arial"/>
          <w:color w:val="000000"/>
          <w:sz w:val="20"/>
          <w:szCs w:val="20"/>
        </w:rPr>
        <w:t>The accompanying Notes are an integral part of these Consolidated Financial State</w:t>
      </w:r>
      <w:r>
        <w:rPr>
          <w:rFonts w:ascii="Arial" w:eastAsia="Times New Roman" w:hAnsi="Arial" w:cs="Arial"/>
          <w:color w:val="000000"/>
          <w:sz w:val="20"/>
          <w:szCs w:val="20"/>
        </w:rPr>
        <w:t>ments.</w:t>
      </w:r>
    </w:p>
    <w:p w14:paraId="5CC0309C" w14:textId="77777777" w:rsidR="00000000" w:rsidRDefault="00C01C43">
      <w:pPr>
        <w:divId w:val="17897237"/>
        <w:rPr>
          <w:rFonts w:eastAsia="Times New Roman"/>
        </w:rPr>
      </w:pPr>
    </w:p>
    <w:p w14:paraId="5415C27D" w14:textId="77777777" w:rsidR="00000000" w:rsidRDefault="00C01C43">
      <w:pPr>
        <w:jc w:val="center"/>
        <w:divId w:val="418911327"/>
        <w:rPr>
          <w:rFonts w:eastAsia="Times New Roman"/>
        </w:rPr>
      </w:pPr>
      <w:r>
        <w:rPr>
          <w:rFonts w:ascii="Arial" w:eastAsia="Times New Roman" w:hAnsi="Arial" w:cs="Arial"/>
          <w:color w:val="000000"/>
          <w:sz w:val="16"/>
          <w:szCs w:val="16"/>
        </w:rPr>
        <w:t>52</w:t>
      </w:r>
    </w:p>
    <w:p w14:paraId="61D30BE0" w14:textId="77777777" w:rsidR="00000000" w:rsidRDefault="00C01C43">
      <w:pPr>
        <w:rPr>
          <w:rFonts w:eastAsia="Times New Roman"/>
        </w:rPr>
      </w:pPr>
      <w:r>
        <w:rPr>
          <w:rFonts w:eastAsia="Times New Roman"/>
        </w:rPr>
        <w:pict w14:anchorId="1B479169">
          <v:rect id="_x0000_i1081" style="width:0;height:1.5pt" o:hralign="center" o:hrstd="t" o:hr="t" fillcolor="#a0a0a0" stroked="f"/>
        </w:pict>
      </w:r>
    </w:p>
    <w:p w14:paraId="787B81BD" w14:textId="77777777" w:rsidR="00000000" w:rsidRDefault="00C01C43">
      <w:pPr>
        <w:divId w:val="2138913647"/>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352D290C" w14:textId="77777777" w:rsidR="00000000" w:rsidRDefault="00C01C43">
      <w:pPr>
        <w:divId w:val="1785463942"/>
        <w:rPr>
          <w:rFonts w:eastAsia="Times New Roman"/>
        </w:rPr>
      </w:pPr>
      <w:r>
        <w:rPr>
          <w:rFonts w:ascii="Arial" w:eastAsia="Times New Roman" w:hAnsi="Arial" w:cs="Arial"/>
          <w:b/>
          <w:bCs/>
          <w:color w:val="000000"/>
        </w:rPr>
        <w:t>WORLD FUEL SERVICES CORPORATION NOTES TO THE CONSOLIDATED FINANCIAL STATEMENTS</w:t>
      </w:r>
    </w:p>
    <w:p w14:paraId="208C6EBA" w14:textId="77777777" w:rsidR="00000000" w:rsidRDefault="00C01C43">
      <w:pPr>
        <w:divId w:val="337660549"/>
        <w:rPr>
          <w:rFonts w:eastAsia="Times New Roman"/>
        </w:rPr>
      </w:pPr>
    </w:p>
    <w:p w14:paraId="4680A658" w14:textId="77777777" w:rsidR="00000000" w:rsidRDefault="00C01C43">
      <w:pPr>
        <w:jc w:val="both"/>
        <w:divId w:val="1901943829"/>
        <w:rPr>
          <w:rFonts w:eastAsia="Times New Roman"/>
        </w:rPr>
      </w:pPr>
      <w:r>
        <w:rPr>
          <w:rFonts w:ascii="Arial" w:eastAsia="Times New Roman" w:hAnsi="Arial" w:cs="Arial"/>
          <w:b/>
          <w:bCs/>
          <w:color w:val="000000"/>
          <w:sz w:val="20"/>
          <w:szCs w:val="20"/>
        </w:rPr>
        <w:t xml:space="preserve">1. Basis of Presentation, New Accounting Standards </w:t>
      </w:r>
      <w:r>
        <w:rPr>
          <w:rFonts w:ascii="Arial" w:eastAsia="Times New Roman" w:hAnsi="Arial" w:cs="Arial"/>
          <w:b/>
          <w:bCs/>
          <w:color w:val="000000"/>
          <w:sz w:val="20"/>
          <w:szCs w:val="20"/>
        </w:rPr>
        <w:t>and Significant Accounting Policies</w:t>
      </w:r>
    </w:p>
    <w:p w14:paraId="507A5077" w14:textId="77777777" w:rsidR="00000000" w:rsidRDefault="00C01C43">
      <w:pPr>
        <w:jc w:val="both"/>
        <w:divId w:val="1080717764"/>
        <w:rPr>
          <w:rFonts w:eastAsia="Times New Roman"/>
        </w:rPr>
      </w:pPr>
      <w:r>
        <w:rPr>
          <w:rFonts w:ascii="Arial" w:eastAsia="Times New Roman" w:hAnsi="Arial" w:cs="Arial"/>
          <w:color w:val="000000"/>
          <w:sz w:val="20"/>
          <w:szCs w:val="20"/>
        </w:rPr>
        <w:t>World Fuel Services Corporation (the “Company”) was incorporated in Florida in July 1984 and along with its consolidated subsidiaries is referred to collectively in this Annual Report on Form 10</w:t>
      </w:r>
      <w:r>
        <w:rPr>
          <w:rFonts w:ascii="Arial" w:eastAsia="Times New Roman" w:hAnsi="Arial" w:cs="Arial"/>
          <w:color w:val="000000"/>
          <w:sz w:val="20"/>
          <w:szCs w:val="20"/>
        </w:rPr>
        <w:noBreakHyphen/>
        <w:t>K (“2020 10</w:t>
      </w:r>
      <w:r>
        <w:rPr>
          <w:rFonts w:ascii="Arial" w:eastAsia="Times New Roman" w:hAnsi="Arial" w:cs="Arial"/>
          <w:color w:val="000000"/>
          <w:sz w:val="20"/>
          <w:szCs w:val="20"/>
        </w:rPr>
        <w:noBreakHyphen/>
        <w:t>K Report”) as</w:t>
      </w:r>
      <w:r>
        <w:rPr>
          <w:rFonts w:ascii="Arial" w:eastAsia="Times New Roman" w:hAnsi="Arial" w:cs="Arial"/>
          <w:color w:val="000000"/>
          <w:sz w:val="20"/>
          <w:szCs w:val="20"/>
        </w:rPr>
        <w:t xml:space="preserve"> “World Fuel,” “we,” “our” and “us.”</w:t>
      </w:r>
    </w:p>
    <w:p w14:paraId="7F6DBE8B" w14:textId="77777777" w:rsidR="00000000" w:rsidRDefault="00C01C43">
      <w:pPr>
        <w:jc w:val="both"/>
        <w:rPr>
          <w:rFonts w:eastAsia="Times New Roman"/>
        </w:rPr>
      </w:pPr>
      <w:r>
        <w:rPr>
          <w:rFonts w:ascii="Arial" w:eastAsia="Times New Roman" w:hAnsi="Arial" w:cs="Arial"/>
          <w:color w:val="000000"/>
          <w:sz w:val="20"/>
          <w:szCs w:val="20"/>
        </w:rPr>
        <w:t>We are a leading global fuel services company, principally engaged in the distribution of fuel and related products and services in the aviation, land and marine transportation industries. In recent years, we have expan</w:t>
      </w:r>
      <w:r>
        <w:rPr>
          <w:rFonts w:ascii="Arial" w:eastAsia="Times New Roman" w:hAnsi="Arial" w:cs="Arial"/>
          <w:color w:val="000000"/>
          <w:sz w:val="20"/>
          <w:szCs w:val="20"/>
        </w:rPr>
        <w:t>ded our land product and service offerings to include energy advisory services and supply fulfillment for natural gas and power to commercial, industrial and government customers. Our intention is to become a leading global energy management company offeri</w:t>
      </w:r>
      <w:r>
        <w:rPr>
          <w:rFonts w:ascii="Arial" w:eastAsia="Times New Roman" w:hAnsi="Arial" w:cs="Arial"/>
          <w:color w:val="000000"/>
          <w:sz w:val="20"/>
          <w:szCs w:val="20"/>
        </w:rPr>
        <w:t>ng a full suite of energy advisory, management and fulfillment services, technology solutions, as well as sustainability products and services across the energy product spectrum. We also offer payment management solutions, principally in the aviation indus</w:t>
      </w:r>
      <w:r>
        <w:rPr>
          <w:rFonts w:ascii="Arial" w:eastAsia="Times New Roman" w:hAnsi="Arial" w:cs="Arial"/>
          <w:color w:val="000000"/>
          <w:sz w:val="20"/>
          <w:szCs w:val="20"/>
        </w:rPr>
        <w:t>try. We will continue to focus on enhancing the portfolio of products and services we provide based on changes in customer demand, including sustainability offerings and renewable energy solutions.</w:t>
      </w:r>
    </w:p>
    <w:p w14:paraId="3033C81E" w14:textId="77777777" w:rsidR="00000000" w:rsidRDefault="00C01C43">
      <w:pPr>
        <w:divId w:val="466432341"/>
        <w:rPr>
          <w:rFonts w:eastAsia="Times New Roman"/>
        </w:rPr>
      </w:pPr>
    </w:p>
    <w:p w14:paraId="4D90F6D9" w14:textId="77777777" w:rsidR="00000000" w:rsidRDefault="00C01C43">
      <w:pPr>
        <w:jc w:val="both"/>
        <w:rPr>
          <w:rFonts w:eastAsia="Times New Roman"/>
        </w:rPr>
      </w:pPr>
      <w:r>
        <w:rPr>
          <w:rFonts w:ascii="Arial" w:eastAsia="Times New Roman" w:hAnsi="Arial" w:cs="Arial"/>
          <w:color w:val="000000"/>
          <w:sz w:val="20"/>
          <w:szCs w:val="20"/>
          <w:u w:val="single"/>
        </w:rPr>
        <w:t>COVID-19</w:t>
      </w:r>
    </w:p>
    <w:p w14:paraId="4D5AB567" w14:textId="77777777" w:rsidR="00000000" w:rsidRDefault="00C01C43">
      <w:pPr>
        <w:jc w:val="both"/>
        <w:rPr>
          <w:rFonts w:eastAsia="Times New Roman"/>
        </w:rPr>
      </w:pPr>
    </w:p>
    <w:p w14:paraId="2BEE10B4" w14:textId="77777777" w:rsidR="00000000" w:rsidRDefault="00C01C43">
      <w:pPr>
        <w:jc w:val="both"/>
        <w:rPr>
          <w:rFonts w:eastAsia="Times New Roman"/>
        </w:rPr>
      </w:pPr>
      <w:r>
        <w:rPr>
          <w:rFonts w:ascii="Arial" w:eastAsia="Times New Roman" w:hAnsi="Arial" w:cs="Arial"/>
          <w:color w:val="000000"/>
          <w:sz w:val="20"/>
          <w:szCs w:val="20"/>
        </w:rPr>
        <w:t xml:space="preserve">The outbreak of COVID-19, which was declared </w:t>
      </w:r>
      <w:r>
        <w:rPr>
          <w:rFonts w:ascii="Arial" w:eastAsia="Times New Roman" w:hAnsi="Arial" w:cs="Arial"/>
          <w:color w:val="000000"/>
          <w:sz w:val="20"/>
          <w:szCs w:val="20"/>
        </w:rPr>
        <w:t>a pandemic by the World Health Organization in March 2020, has created significant volatility, uncertainty and disruption in the global economy. The rapid spread of the virus caused governments around the world to implement stringent measures to help contr</w:t>
      </w:r>
      <w:r>
        <w:rPr>
          <w:rFonts w:ascii="Arial" w:eastAsia="Times New Roman" w:hAnsi="Arial" w:cs="Arial"/>
          <w:color w:val="000000"/>
          <w:sz w:val="20"/>
          <w:szCs w:val="20"/>
        </w:rPr>
        <w:t>ol its spread, including, without limitation, quarantines, “stay-at-home” or “shelter-in-place” orders, social-distancing mandates, travel restrictions, and closures or reduced operations for businesses, governmental agencies, schools and other institution</w:t>
      </w:r>
      <w:r>
        <w:rPr>
          <w:rFonts w:ascii="Arial" w:eastAsia="Times New Roman" w:hAnsi="Arial" w:cs="Arial"/>
          <w:color w:val="000000"/>
          <w:sz w:val="20"/>
          <w:szCs w:val="20"/>
        </w:rPr>
        <w:t>s, among others.</w:t>
      </w:r>
    </w:p>
    <w:p w14:paraId="67038C86" w14:textId="77777777" w:rsidR="00000000" w:rsidRDefault="00C01C43">
      <w:pPr>
        <w:jc w:val="both"/>
        <w:rPr>
          <w:rFonts w:eastAsia="Times New Roman"/>
        </w:rPr>
      </w:pPr>
    </w:p>
    <w:p w14:paraId="0E32E74B" w14:textId="77777777" w:rsidR="00000000" w:rsidRDefault="00C01C43">
      <w:pPr>
        <w:jc w:val="both"/>
        <w:rPr>
          <w:rFonts w:eastAsia="Times New Roman"/>
        </w:rPr>
      </w:pPr>
      <w:r>
        <w:rPr>
          <w:rFonts w:ascii="Arial" w:eastAsia="Times New Roman" w:hAnsi="Arial" w:cs="Arial"/>
          <w:color w:val="000000"/>
          <w:sz w:val="20"/>
          <w:szCs w:val="20"/>
        </w:rPr>
        <w:t>Beginning in the first quarter of 2020 and through the date of this filing, the aviation, marine and land transportation industries, along with global economic conditions generally, have been significantly impacted by the pandemic. A lar</w:t>
      </w:r>
      <w:r>
        <w:rPr>
          <w:rFonts w:ascii="Arial" w:eastAsia="Times New Roman" w:hAnsi="Arial" w:cs="Arial"/>
          <w:color w:val="000000"/>
          <w:sz w:val="20"/>
          <w:szCs w:val="20"/>
        </w:rPr>
        <w:t>ge number of our customers in these industries have experienced substantial decline in business activity, especially commercial airlines and cruise lines, which have been particularly impacted by ongoing travel restrictions. Customers in our marine and lan</w:t>
      </w:r>
      <w:r>
        <w:rPr>
          <w:rFonts w:ascii="Arial" w:eastAsia="Times New Roman" w:hAnsi="Arial" w:cs="Arial"/>
          <w:color w:val="000000"/>
          <w:sz w:val="20"/>
          <w:szCs w:val="20"/>
        </w:rPr>
        <w:t>d segments have also been adversely affected by these restrictions and the reduction in operations of various businesses in affected regions. Furthermore, government measures and other supply-related factors have also led to a precipitous decline and histo</w:t>
      </w:r>
      <w:r>
        <w:rPr>
          <w:rFonts w:ascii="Arial" w:eastAsia="Times New Roman" w:hAnsi="Arial" w:cs="Arial"/>
          <w:color w:val="000000"/>
          <w:sz w:val="20"/>
          <w:szCs w:val="20"/>
        </w:rPr>
        <w:t>ric volatility in fuel prices in response to concerns about demand for fuel. In response to these developments, we took swift action to ensure the safety of our employees and other stakeholders and initiated a number of initiatives relating to cost reducti</w:t>
      </w:r>
      <w:r>
        <w:rPr>
          <w:rFonts w:ascii="Arial" w:eastAsia="Times New Roman" w:hAnsi="Arial" w:cs="Arial"/>
          <w:color w:val="000000"/>
          <w:sz w:val="20"/>
          <w:szCs w:val="20"/>
        </w:rPr>
        <w:t>on, liquidity and operating efficiencies.</w:t>
      </w:r>
    </w:p>
    <w:p w14:paraId="51DFF054" w14:textId="77777777" w:rsidR="00000000" w:rsidRDefault="00C01C43">
      <w:pPr>
        <w:jc w:val="both"/>
        <w:rPr>
          <w:rFonts w:eastAsia="Times New Roman"/>
        </w:rPr>
      </w:pPr>
    </w:p>
    <w:p w14:paraId="17139651" w14:textId="77777777" w:rsidR="00000000" w:rsidRDefault="00C01C43">
      <w:pPr>
        <w:jc w:val="both"/>
        <w:rPr>
          <w:rFonts w:eastAsia="Times New Roman"/>
        </w:rPr>
      </w:pPr>
      <w:r>
        <w:rPr>
          <w:rFonts w:ascii="Arial" w:eastAsia="Times New Roman" w:hAnsi="Arial" w:cs="Arial"/>
          <w:color w:val="000000"/>
          <w:sz w:val="20"/>
          <w:szCs w:val="20"/>
        </w:rPr>
        <w:t xml:space="preserve">While the pandemic and associated impacts on economic activity had a limited adverse effect on our results of operations and financial condition in the beginning of 2020, we experienced a sharp decline in demand </w:t>
      </w:r>
      <w:r>
        <w:rPr>
          <w:rFonts w:ascii="Arial" w:eastAsia="Times New Roman" w:hAnsi="Arial" w:cs="Arial"/>
          <w:color w:val="000000"/>
          <w:sz w:val="20"/>
          <w:szCs w:val="20"/>
        </w:rPr>
        <w:t>and related sales during the second quarter, as large sectors of the global economy were adversely impacted by the crisis. Accordingly, during the first quarter of 2020, we commenced a restructuring initiative focused on further streamlining our operations</w:t>
      </w:r>
      <w:r>
        <w:rPr>
          <w:rFonts w:ascii="Arial" w:eastAsia="Times New Roman" w:hAnsi="Arial" w:cs="Arial"/>
          <w:color w:val="000000"/>
          <w:sz w:val="20"/>
          <w:szCs w:val="20"/>
        </w:rPr>
        <w:t xml:space="preserve"> and sharpening our deployment of resources, not only in our land segment but also in our other segments due to the adverse impacts of the pandemic. During the second quarter of 2020, we expanded this restructuring to include the rationalization of our glo</w:t>
      </w:r>
      <w:r>
        <w:rPr>
          <w:rFonts w:ascii="Arial" w:eastAsia="Times New Roman" w:hAnsi="Arial" w:cs="Arial"/>
          <w:color w:val="000000"/>
          <w:sz w:val="20"/>
          <w:szCs w:val="20"/>
        </w:rPr>
        <w:t>bal office footprint and approved the abandonment of certain office leases, including the transition of select offices to smaller or more cost-effective locations. While demand showed some moderate improvement during the second half of 2020, our results re</w:t>
      </w:r>
      <w:r>
        <w:rPr>
          <w:rFonts w:ascii="Arial" w:eastAsia="Times New Roman" w:hAnsi="Arial" w:cs="Arial"/>
          <w:color w:val="000000"/>
          <w:sz w:val="20"/>
          <w:szCs w:val="20"/>
        </w:rPr>
        <w:t>mained well below pre-pandemic levels.</w:t>
      </w:r>
    </w:p>
    <w:p w14:paraId="657A660F" w14:textId="77777777" w:rsidR="00000000" w:rsidRDefault="00C01C43">
      <w:pPr>
        <w:jc w:val="both"/>
        <w:rPr>
          <w:rFonts w:eastAsia="Times New Roman"/>
        </w:rPr>
      </w:pPr>
    </w:p>
    <w:p w14:paraId="23AA35FA" w14:textId="77777777" w:rsidR="00000000" w:rsidRDefault="00C01C43">
      <w:pPr>
        <w:jc w:val="center"/>
        <w:divId w:val="594824785"/>
        <w:rPr>
          <w:rFonts w:eastAsia="Times New Roman"/>
        </w:rPr>
      </w:pPr>
      <w:r>
        <w:rPr>
          <w:rFonts w:ascii="Arial" w:eastAsia="Times New Roman" w:hAnsi="Arial" w:cs="Arial"/>
          <w:color w:val="000000"/>
          <w:sz w:val="16"/>
          <w:szCs w:val="16"/>
        </w:rPr>
        <w:t>53</w:t>
      </w:r>
    </w:p>
    <w:p w14:paraId="53E57A35" w14:textId="77777777" w:rsidR="00000000" w:rsidRDefault="00C01C43">
      <w:pPr>
        <w:rPr>
          <w:rFonts w:eastAsia="Times New Roman"/>
        </w:rPr>
      </w:pPr>
      <w:r>
        <w:rPr>
          <w:rFonts w:eastAsia="Times New Roman"/>
        </w:rPr>
        <w:pict w14:anchorId="23A2252A">
          <v:rect id="_x0000_i1082" style="width:0;height:1.5pt" o:hralign="center" o:hrstd="t" o:hr="t" fillcolor="#a0a0a0" stroked="f"/>
        </w:pict>
      </w:r>
    </w:p>
    <w:p w14:paraId="258E1A8C" w14:textId="77777777" w:rsidR="00000000" w:rsidRDefault="00C01C43">
      <w:pPr>
        <w:divId w:val="727147258"/>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579D37C9" w14:textId="77777777" w:rsidR="00000000" w:rsidRDefault="00C01C43">
      <w:pPr>
        <w:jc w:val="both"/>
        <w:divId w:val="218170389"/>
        <w:rPr>
          <w:rFonts w:eastAsia="Times New Roman"/>
        </w:rPr>
      </w:pPr>
      <w:r>
        <w:rPr>
          <w:rFonts w:ascii="Arial" w:eastAsia="Times New Roman" w:hAnsi="Arial" w:cs="Arial"/>
          <w:color w:val="000000"/>
          <w:sz w:val="20"/>
          <w:szCs w:val="20"/>
        </w:rPr>
        <w:t>We make estimates and assumptions that affect the reported amounts within our Consolidated Financial Statements and accompanying Notes as of the date of the Consolidated Financial Statements. We assessed accounting estimates that require consideration of f</w:t>
      </w:r>
      <w:r>
        <w:rPr>
          <w:rFonts w:ascii="Arial" w:eastAsia="Times New Roman" w:hAnsi="Arial" w:cs="Arial"/>
          <w:color w:val="000000"/>
          <w:sz w:val="20"/>
          <w:szCs w:val="20"/>
        </w:rPr>
        <w:t>orecasted financial information, including, but not limited to, our allowance for credit losses, the recoverability of the carrying value of our goodwill and long-lived assets. These assessments were conducted in the context of information reasonably avail</w:t>
      </w:r>
      <w:r>
        <w:rPr>
          <w:rFonts w:ascii="Arial" w:eastAsia="Times New Roman" w:hAnsi="Arial" w:cs="Arial"/>
          <w:color w:val="000000"/>
          <w:sz w:val="20"/>
          <w:szCs w:val="20"/>
        </w:rPr>
        <w:t>able to us, as well as our consideration of the future potential impacts of COVID-19 on our business as of December 31, 2020. At this time, we are unable to predict with specificity the ultimate impact of the crisis, as it will depend on the magnitude, sev</w:t>
      </w:r>
      <w:r>
        <w:rPr>
          <w:rFonts w:ascii="Arial" w:eastAsia="Times New Roman" w:hAnsi="Arial" w:cs="Arial"/>
          <w:color w:val="000000"/>
          <w:sz w:val="20"/>
          <w:szCs w:val="20"/>
        </w:rPr>
        <w:t>erity and duration of the pandemic, as well as how quickly, and to what extent, normal economic and operating conditions resume on a sustainable basis globally. Accordingly, if the impact is more severe or longer in duration than we have assumed, such impa</w:t>
      </w:r>
      <w:r>
        <w:rPr>
          <w:rFonts w:ascii="Arial" w:eastAsia="Times New Roman" w:hAnsi="Arial" w:cs="Arial"/>
          <w:color w:val="000000"/>
          <w:sz w:val="20"/>
          <w:szCs w:val="20"/>
        </w:rPr>
        <w:t>ct could potentially result in additional impairments or increases in credit allowances.</w:t>
      </w:r>
    </w:p>
    <w:p w14:paraId="45720C6F" w14:textId="77777777" w:rsidR="00000000" w:rsidRDefault="00C01C43">
      <w:pPr>
        <w:jc w:val="both"/>
        <w:rPr>
          <w:rFonts w:eastAsia="Times New Roman"/>
        </w:rPr>
      </w:pPr>
    </w:p>
    <w:p w14:paraId="4353E62D" w14:textId="77777777" w:rsidR="00000000" w:rsidRDefault="00C01C43">
      <w:pPr>
        <w:jc w:val="both"/>
        <w:divId w:val="275868065"/>
        <w:rPr>
          <w:rFonts w:eastAsia="Times New Roman"/>
        </w:rPr>
      </w:pPr>
      <w:r>
        <w:rPr>
          <w:rFonts w:ascii="Arial" w:eastAsia="Times New Roman" w:hAnsi="Arial" w:cs="Arial"/>
          <w:b/>
          <w:bCs/>
          <w:color w:val="000000"/>
          <w:sz w:val="20"/>
          <w:szCs w:val="20"/>
        </w:rPr>
        <w:t>A. Basis of Presentation</w:t>
      </w:r>
    </w:p>
    <w:p w14:paraId="04B21CC0" w14:textId="77777777" w:rsidR="00000000" w:rsidRDefault="00C01C43">
      <w:pPr>
        <w:jc w:val="both"/>
        <w:divId w:val="2004313297"/>
        <w:rPr>
          <w:rFonts w:eastAsia="Times New Roman"/>
        </w:rPr>
      </w:pPr>
      <w:r>
        <w:rPr>
          <w:rFonts w:ascii="Arial" w:eastAsia="Times New Roman" w:hAnsi="Arial" w:cs="Arial"/>
          <w:color w:val="000000"/>
          <w:sz w:val="20"/>
          <w:szCs w:val="20"/>
        </w:rPr>
        <w:t>The Consolidated Financial Statements and related Notes include our parent company and all wholly-owned and majority-owned subsidiaries and joint ventures where we exercise control. Our Consolidated Financial Statements include the operations of acquired b</w:t>
      </w:r>
      <w:r>
        <w:rPr>
          <w:rFonts w:ascii="Arial" w:eastAsia="Times New Roman" w:hAnsi="Arial" w:cs="Arial"/>
          <w:color w:val="000000"/>
          <w:sz w:val="20"/>
          <w:szCs w:val="20"/>
        </w:rPr>
        <w:t>usinesses after the completion of their acquisition. The decision of whether or not to consolidate an entity requires consideration of majority voting interests, as well as effective economic or other control over the entity. The Consolidated Financial Sta</w:t>
      </w:r>
      <w:r>
        <w:rPr>
          <w:rFonts w:ascii="Arial" w:eastAsia="Times New Roman" w:hAnsi="Arial" w:cs="Arial"/>
          <w:color w:val="000000"/>
          <w:sz w:val="20"/>
          <w:szCs w:val="20"/>
        </w:rPr>
        <w:t>tements are prepared in accordance with accounting principles generally accepted in the United States of America (“U.S. GAAP”). Our fiscal year-end is as of and for the year ended December 31 for each year presented. All intercompany transactions among our</w:t>
      </w:r>
      <w:r>
        <w:rPr>
          <w:rFonts w:ascii="Arial" w:eastAsia="Times New Roman" w:hAnsi="Arial" w:cs="Arial"/>
          <w:color w:val="000000"/>
          <w:sz w:val="20"/>
          <w:szCs w:val="20"/>
        </w:rPr>
        <w:t xml:space="preserve"> businesses have been eliminated.</w:t>
      </w:r>
    </w:p>
    <w:p w14:paraId="4005A168" w14:textId="77777777" w:rsidR="00000000" w:rsidRDefault="00C01C43">
      <w:pPr>
        <w:jc w:val="both"/>
        <w:divId w:val="1432968932"/>
        <w:rPr>
          <w:rFonts w:eastAsia="Times New Roman"/>
        </w:rPr>
      </w:pPr>
      <w:r>
        <w:rPr>
          <w:rFonts w:ascii="Arial" w:eastAsia="Times New Roman" w:hAnsi="Arial" w:cs="Arial"/>
          <w:color w:val="000000"/>
          <w:sz w:val="20"/>
          <w:szCs w:val="20"/>
        </w:rPr>
        <w:t>For additional information pertaining to our acquisitions, refer to "Note 3. Acquisitions and Divestitures."</w:t>
      </w:r>
    </w:p>
    <w:p w14:paraId="330DDA57" w14:textId="77777777" w:rsidR="00000000" w:rsidRDefault="00C01C43">
      <w:pPr>
        <w:jc w:val="both"/>
        <w:divId w:val="1932424392"/>
        <w:rPr>
          <w:rFonts w:eastAsia="Times New Roman"/>
        </w:rPr>
      </w:pPr>
      <w:r>
        <w:rPr>
          <w:rFonts w:ascii="Arial" w:eastAsia="Times New Roman" w:hAnsi="Arial" w:cs="Arial"/>
          <w:color w:val="000000"/>
          <w:sz w:val="20"/>
          <w:szCs w:val="20"/>
        </w:rPr>
        <w:t xml:space="preserve">Certain amounts in the Consolidated Financial Statements and accompanying Notes may not add due to rounding. All </w:t>
      </w:r>
      <w:r>
        <w:rPr>
          <w:rFonts w:ascii="Arial" w:eastAsia="Times New Roman" w:hAnsi="Arial" w:cs="Arial"/>
          <w:color w:val="000000"/>
          <w:sz w:val="20"/>
          <w:szCs w:val="20"/>
        </w:rPr>
        <w:t>percentages have been calculated using unrounded amounts.</w:t>
      </w:r>
    </w:p>
    <w:p w14:paraId="357E00FD" w14:textId="77777777" w:rsidR="00000000" w:rsidRDefault="00C01C43">
      <w:pPr>
        <w:jc w:val="both"/>
        <w:divId w:val="1196581640"/>
        <w:rPr>
          <w:rFonts w:eastAsia="Times New Roman"/>
        </w:rPr>
      </w:pPr>
      <w:r>
        <w:rPr>
          <w:rFonts w:ascii="Arial" w:eastAsia="Times New Roman" w:hAnsi="Arial" w:cs="Arial"/>
          <w:b/>
          <w:bCs/>
          <w:color w:val="000000"/>
          <w:sz w:val="20"/>
          <w:szCs w:val="20"/>
        </w:rPr>
        <w:t>B. New Accounting Standards</w:t>
      </w:r>
    </w:p>
    <w:p w14:paraId="3DF8CB64" w14:textId="77777777" w:rsidR="00000000" w:rsidRDefault="00C01C43">
      <w:pPr>
        <w:jc w:val="both"/>
        <w:rPr>
          <w:rFonts w:eastAsia="Times New Roman"/>
        </w:rPr>
      </w:pPr>
      <w:r>
        <w:rPr>
          <w:rFonts w:ascii="Arial" w:eastAsia="Times New Roman" w:hAnsi="Arial" w:cs="Arial"/>
          <w:color w:val="000000"/>
          <w:sz w:val="20"/>
          <w:szCs w:val="20"/>
          <w:u w:val="single"/>
        </w:rPr>
        <w:t>Adoption of New Accounting Standards</w:t>
      </w:r>
    </w:p>
    <w:p w14:paraId="0C9FA13C" w14:textId="77777777" w:rsidR="00000000" w:rsidRDefault="00C01C43">
      <w:pPr>
        <w:jc w:val="both"/>
        <w:rPr>
          <w:rFonts w:eastAsia="Times New Roman"/>
        </w:rPr>
      </w:pPr>
    </w:p>
    <w:p w14:paraId="62F92F78" w14:textId="77777777" w:rsidR="00000000" w:rsidRDefault="00C01C43">
      <w:pPr>
        <w:jc w:val="both"/>
        <w:rPr>
          <w:rFonts w:eastAsia="Times New Roman"/>
        </w:rPr>
      </w:pPr>
      <w:r>
        <w:rPr>
          <w:rFonts w:ascii="Arial" w:eastAsia="Times New Roman" w:hAnsi="Arial" w:cs="Arial"/>
          <w:color w:val="000000"/>
          <w:sz w:val="20"/>
          <w:szCs w:val="20"/>
        </w:rPr>
        <w:t>We included below a description of recent new accounting standards that had an impact on the Company’s Consolidated Financial State</w:t>
      </w:r>
      <w:r>
        <w:rPr>
          <w:rFonts w:ascii="Arial" w:eastAsia="Times New Roman" w:hAnsi="Arial" w:cs="Arial"/>
          <w:color w:val="000000"/>
          <w:sz w:val="20"/>
          <w:szCs w:val="20"/>
        </w:rPr>
        <w:t>ments. New accounting standards or accounting standards updates not listed below were assessed and determined to be either not applicable or did not have a material impact on the Company’s Consolidated Financial Statements or processes.</w:t>
      </w:r>
    </w:p>
    <w:p w14:paraId="0C9F0309" w14:textId="77777777" w:rsidR="00000000" w:rsidRDefault="00C01C43">
      <w:pPr>
        <w:jc w:val="both"/>
        <w:rPr>
          <w:rFonts w:eastAsia="Times New Roman"/>
        </w:rPr>
      </w:pPr>
    </w:p>
    <w:p w14:paraId="4B442E16" w14:textId="77777777" w:rsidR="00000000" w:rsidRDefault="00C01C43">
      <w:pPr>
        <w:jc w:val="both"/>
        <w:rPr>
          <w:rFonts w:eastAsia="Times New Roman"/>
        </w:rPr>
      </w:pPr>
      <w:r>
        <w:rPr>
          <w:rFonts w:ascii="Arial" w:eastAsia="Times New Roman" w:hAnsi="Arial" w:cs="Arial"/>
          <w:i/>
          <w:iCs/>
          <w:color w:val="000000"/>
          <w:sz w:val="20"/>
          <w:szCs w:val="20"/>
        </w:rPr>
        <w:t>Financial Instrum</w:t>
      </w:r>
      <w:r>
        <w:rPr>
          <w:rFonts w:ascii="Arial" w:eastAsia="Times New Roman" w:hAnsi="Arial" w:cs="Arial"/>
          <w:i/>
          <w:iCs/>
          <w:color w:val="000000"/>
          <w:sz w:val="20"/>
          <w:szCs w:val="20"/>
        </w:rPr>
        <w:t>ents-Credit Losses (Topic 326): Measurement of Credit Losses on Financial Instruments.</w:t>
      </w:r>
      <w:r>
        <w:rPr>
          <w:rFonts w:ascii="Arial" w:eastAsia="Times New Roman" w:hAnsi="Arial" w:cs="Arial"/>
          <w:color w:val="000000"/>
          <w:sz w:val="20"/>
          <w:szCs w:val="20"/>
        </w:rPr>
        <w:t xml:space="preserve"> In June 2016, Accounting Standards Update ("ASU") 2016-13 was issued, which replaced the incurred loss impairment model with a model that reflects expected credit losses</w:t>
      </w:r>
      <w:r>
        <w:rPr>
          <w:rFonts w:ascii="Arial" w:eastAsia="Times New Roman" w:hAnsi="Arial" w:cs="Arial"/>
          <w:color w:val="000000"/>
          <w:sz w:val="20"/>
          <w:szCs w:val="20"/>
        </w:rPr>
        <w:t xml:space="preserve"> over the lifetime of the asset and requires consideration of a broader range of reasonable and supportable information to determine credit loss estimates. The guidance in this update, including the subsequent related codification amendments, changed how e</w:t>
      </w:r>
      <w:r>
        <w:rPr>
          <w:rFonts w:ascii="Arial" w:eastAsia="Times New Roman" w:hAnsi="Arial" w:cs="Arial"/>
          <w:color w:val="000000"/>
          <w:sz w:val="20"/>
          <w:szCs w:val="20"/>
        </w:rPr>
        <w:t>ntities account for credit impairment from trade and other receivables, net investments arising from sales-type and direct financing leases, debt securities, purchased-credit impaired financial assets and other instruments in addition to loans. For receiva</w:t>
      </w:r>
      <w:r>
        <w:rPr>
          <w:rFonts w:ascii="Arial" w:eastAsia="Times New Roman" w:hAnsi="Arial" w:cs="Arial"/>
          <w:color w:val="000000"/>
          <w:sz w:val="20"/>
          <w:szCs w:val="20"/>
        </w:rPr>
        <w:t>bles and certain other instruments that are not measured at fair value, entities are required to estimate expected credit losses. Under the expected loss model, an entity recognizes a loss upon initial recognition of the asset that reflects all future even</w:t>
      </w:r>
      <w:r>
        <w:rPr>
          <w:rFonts w:ascii="Arial" w:eastAsia="Times New Roman" w:hAnsi="Arial" w:cs="Arial"/>
          <w:color w:val="000000"/>
          <w:sz w:val="20"/>
          <w:szCs w:val="20"/>
        </w:rPr>
        <w:t>ts that could lead to a loss being realized, regardless of whether it is probable that the future event will occur.</w:t>
      </w:r>
    </w:p>
    <w:p w14:paraId="11A8D637" w14:textId="77777777" w:rsidR="00000000" w:rsidRDefault="00C01C43">
      <w:pPr>
        <w:jc w:val="both"/>
        <w:rPr>
          <w:rFonts w:eastAsia="Times New Roman"/>
        </w:rPr>
      </w:pPr>
    </w:p>
    <w:p w14:paraId="152EB5C1" w14:textId="77777777" w:rsidR="00000000" w:rsidRDefault="00C01C43">
      <w:pPr>
        <w:jc w:val="both"/>
        <w:divId w:val="1161198240"/>
        <w:rPr>
          <w:rFonts w:eastAsia="Times New Roman"/>
        </w:rPr>
      </w:pPr>
      <w:r>
        <w:rPr>
          <w:rFonts w:ascii="Arial" w:eastAsia="Times New Roman" w:hAnsi="Arial" w:cs="Arial"/>
          <w:color w:val="000000"/>
          <w:sz w:val="20"/>
          <w:szCs w:val="20"/>
        </w:rPr>
        <w:t>The Company adopted ASU 2016-13, including the related codification amendments, in the first quarter of 2020 utilizing the modified retros</w:t>
      </w:r>
      <w:r>
        <w:rPr>
          <w:rFonts w:ascii="Arial" w:eastAsia="Times New Roman" w:hAnsi="Arial" w:cs="Arial"/>
          <w:color w:val="000000"/>
          <w:sz w:val="20"/>
          <w:szCs w:val="20"/>
        </w:rPr>
        <w:t>pective transition method and applying the transition provisions at the effective date.</w:t>
      </w:r>
    </w:p>
    <w:p w14:paraId="3BFF6250" w14:textId="77777777" w:rsidR="00000000" w:rsidRDefault="00C01C43">
      <w:pPr>
        <w:jc w:val="both"/>
        <w:divId w:val="2101366467"/>
        <w:rPr>
          <w:rFonts w:eastAsia="Times New Roman"/>
        </w:rPr>
      </w:pPr>
      <w:r>
        <w:rPr>
          <w:rFonts w:ascii="Arial" w:eastAsia="Times New Roman" w:hAnsi="Arial" w:cs="Arial"/>
          <w:color w:val="000000"/>
          <w:sz w:val="20"/>
          <w:szCs w:val="20"/>
        </w:rPr>
        <w:t>The Company implemented changes to business processes and internal controls that support the new standard. As of the date of implementation on January 1, 2020, the Comp</w:t>
      </w:r>
      <w:r>
        <w:rPr>
          <w:rFonts w:ascii="Arial" w:eastAsia="Times New Roman" w:hAnsi="Arial" w:cs="Arial"/>
          <w:color w:val="000000"/>
          <w:sz w:val="20"/>
          <w:szCs w:val="20"/>
        </w:rPr>
        <w:t>any recognized $11.1 million as a reduction to the opening retained earnings balance. The main drivers of the consolidated impact at transition are related to the inclusion of future economic conditions, the exclusion of freestanding credit enhancements wh</w:t>
      </w:r>
      <w:r>
        <w:rPr>
          <w:rFonts w:ascii="Arial" w:eastAsia="Times New Roman" w:hAnsi="Arial" w:cs="Arial"/>
          <w:color w:val="000000"/>
          <w:sz w:val="20"/>
          <w:szCs w:val="20"/>
        </w:rPr>
        <w:t>en estimating the expected credit loss and estimating the lifetime credit losses of notes receivable.</w:t>
      </w:r>
    </w:p>
    <w:p w14:paraId="4F6B6F8D" w14:textId="77777777" w:rsidR="00000000" w:rsidRDefault="00C01C43">
      <w:pPr>
        <w:jc w:val="both"/>
        <w:rPr>
          <w:rFonts w:eastAsia="Times New Roman"/>
        </w:rPr>
      </w:pPr>
    </w:p>
    <w:p w14:paraId="67A361EA" w14:textId="77777777" w:rsidR="00000000" w:rsidRDefault="00C01C43">
      <w:pPr>
        <w:jc w:val="center"/>
        <w:divId w:val="749812008"/>
        <w:rPr>
          <w:rFonts w:eastAsia="Times New Roman"/>
        </w:rPr>
      </w:pPr>
      <w:r>
        <w:rPr>
          <w:rFonts w:ascii="Arial" w:eastAsia="Times New Roman" w:hAnsi="Arial" w:cs="Arial"/>
          <w:color w:val="000000"/>
          <w:sz w:val="16"/>
          <w:szCs w:val="16"/>
        </w:rPr>
        <w:t>54</w:t>
      </w:r>
    </w:p>
    <w:p w14:paraId="01F04B38" w14:textId="77777777" w:rsidR="00000000" w:rsidRDefault="00C01C43">
      <w:pPr>
        <w:rPr>
          <w:rFonts w:eastAsia="Times New Roman"/>
        </w:rPr>
      </w:pPr>
      <w:r>
        <w:rPr>
          <w:rFonts w:eastAsia="Times New Roman"/>
        </w:rPr>
        <w:pict w14:anchorId="1E7882B1">
          <v:rect id="_x0000_i1083" style="width:0;height:1.5pt" o:hralign="center" o:hrstd="t" o:hr="t" fillcolor="#a0a0a0" stroked="f"/>
        </w:pict>
      </w:r>
    </w:p>
    <w:p w14:paraId="7A824475" w14:textId="77777777" w:rsidR="00000000" w:rsidRDefault="00C01C43">
      <w:pPr>
        <w:divId w:val="747651907"/>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28947A5" w14:textId="77777777" w:rsidR="00000000" w:rsidRDefault="00C01C43">
      <w:pPr>
        <w:jc w:val="both"/>
        <w:rPr>
          <w:rFonts w:eastAsia="Times New Roman"/>
        </w:rPr>
      </w:pPr>
      <w:r>
        <w:rPr>
          <w:rFonts w:ascii="Arial" w:eastAsia="Times New Roman" w:hAnsi="Arial" w:cs="Arial"/>
          <w:color w:val="000000"/>
          <w:sz w:val="20"/>
          <w:szCs w:val="20"/>
          <w:u w:val="single"/>
        </w:rPr>
        <w:t>Accounting Standards Issued But Not Yet Adopted</w:t>
      </w:r>
    </w:p>
    <w:p w14:paraId="178E818D" w14:textId="77777777" w:rsidR="00000000" w:rsidRDefault="00C01C43">
      <w:pPr>
        <w:jc w:val="both"/>
        <w:rPr>
          <w:rFonts w:eastAsia="Times New Roman"/>
        </w:rPr>
      </w:pPr>
    </w:p>
    <w:p w14:paraId="510CB465" w14:textId="77777777" w:rsidR="00000000" w:rsidRDefault="00C01C43">
      <w:pPr>
        <w:jc w:val="both"/>
        <w:divId w:val="2111074981"/>
        <w:rPr>
          <w:rFonts w:eastAsia="Times New Roman"/>
        </w:rPr>
      </w:pPr>
      <w:r>
        <w:rPr>
          <w:rFonts w:ascii="Arial" w:eastAsia="Times New Roman" w:hAnsi="Arial" w:cs="Arial"/>
          <w:i/>
          <w:iCs/>
          <w:color w:val="000000"/>
          <w:sz w:val="20"/>
          <w:szCs w:val="20"/>
        </w:rPr>
        <w:t>Reference Rate Reform (Topic 848): Facilitation of the Effects of Reference Rate Reform on Financial Reporting and Scope.</w:t>
      </w:r>
      <w:r>
        <w:rPr>
          <w:rFonts w:ascii="Arial" w:eastAsia="Times New Roman" w:hAnsi="Arial" w:cs="Arial"/>
          <w:color w:val="000000"/>
          <w:sz w:val="20"/>
          <w:szCs w:val="20"/>
        </w:rPr>
        <w:t xml:space="preserve"> In March 2020 and January 2021, ASU 2020-04 and ASU 2021-01 were issued, respectivel</w:t>
      </w:r>
      <w:r>
        <w:rPr>
          <w:rFonts w:ascii="Arial" w:eastAsia="Times New Roman" w:hAnsi="Arial" w:cs="Arial"/>
          <w:color w:val="000000"/>
          <w:sz w:val="20"/>
          <w:szCs w:val="20"/>
        </w:rPr>
        <w:t xml:space="preserve">y. The amendments provide temporary optional expedients and exceptions to the guidance on contract modifications and hedge accounting to ease the financial reporting burden in accounting for (or recognizing the effects of) contracts, hedging relationships </w:t>
      </w:r>
      <w:r>
        <w:rPr>
          <w:rFonts w:ascii="Arial" w:eastAsia="Times New Roman" w:hAnsi="Arial" w:cs="Arial"/>
          <w:color w:val="000000"/>
          <w:sz w:val="20"/>
          <w:szCs w:val="20"/>
        </w:rPr>
        <w:t>and other transactions that reference the London Interbank Offered Rate ("LIBOR") or other interbank offered rates expected to be discontinued because of reference rate reform. The ASU’s were effective upon issuance and may be applied prospectively to cont</w:t>
      </w:r>
      <w:r>
        <w:rPr>
          <w:rFonts w:ascii="Arial" w:eastAsia="Times New Roman" w:hAnsi="Arial" w:cs="Arial"/>
          <w:color w:val="000000"/>
          <w:sz w:val="20"/>
          <w:szCs w:val="20"/>
        </w:rPr>
        <w:t xml:space="preserve">ract modifications made and hedging relationships entered into or evaluated on or before December 31, 2022. The Company is evaluating the contracts that could be affected by an alternative reference rate and assessing the potential effects of the ASU’s on </w:t>
      </w:r>
      <w:r>
        <w:rPr>
          <w:rFonts w:ascii="Arial" w:eastAsia="Times New Roman" w:hAnsi="Arial" w:cs="Arial"/>
          <w:color w:val="000000"/>
          <w:sz w:val="20"/>
          <w:szCs w:val="20"/>
        </w:rPr>
        <w:t>the consolidated financial statements but does not anticipate a material impact to its Consolidated Financial Statements or processes. Additionally, LIBOR fallback language has been included, when applicable, in new and renewed contracts entered into by th</w:t>
      </w:r>
      <w:r>
        <w:rPr>
          <w:rFonts w:ascii="Arial" w:eastAsia="Times New Roman" w:hAnsi="Arial" w:cs="Arial"/>
          <w:color w:val="000000"/>
          <w:sz w:val="20"/>
          <w:szCs w:val="20"/>
        </w:rPr>
        <w:t>e Company in preparation for transition from LIBOR to alternative reference rates when such transition occurs.</w:t>
      </w:r>
    </w:p>
    <w:p w14:paraId="6F716D0A" w14:textId="77777777" w:rsidR="00000000" w:rsidRDefault="00C01C43">
      <w:pPr>
        <w:jc w:val="both"/>
        <w:rPr>
          <w:rFonts w:eastAsia="Times New Roman"/>
        </w:rPr>
      </w:pPr>
      <w:r>
        <w:rPr>
          <w:rFonts w:ascii="Arial" w:eastAsia="Times New Roman" w:hAnsi="Arial" w:cs="Arial"/>
          <w:color w:val="000000"/>
          <w:sz w:val="20"/>
          <w:szCs w:val="20"/>
        </w:rPr>
        <w:t>Other recently issued accounting standards not yet adopted by us are not expected, upon adoption, to have a material impact on the Company’s Cons</w:t>
      </w:r>
      <w:r>
        <w:rPr>
          <w:rFonts w:ascii="Arial" w:eastAsia="Times New Roman" w:hAnsi="Arial" w:cs="Arial"/>
          <w:color w:val="000000"/>
          <w:sz w:val="20"/>
          <w:szCs w:val="20"/>
        </w:rPr>
        <w:t>olidated Financial Statements or processes.</w:t>
      </w:r>
    </w:p>
    <w:p w14:paraId="6D711D7A" w14:textId="77777777" w:rsidR="00000000" w:rsidRDefault="00C01C43">
      <w:pPr>
        <w:jc w:val="both"/>
        <w:rPr>
          <w:rFonts w:eastAsia="Times New Roman"/>
        </w:rPr>
      </w:pPr>
    </w:p>
    <w:p w14:paraId="2784D379" w14:textId="77777777" w:rsidR="00000000" w:rsidRDefault="00C01C43">
      <w:pPr>
        <w:jc w:val="both"/>
        <w:divId w:val="1006979212"/>
        <w:rPr>
          <w:rFonts w:eastAsia="Times New Roman"/>
        </w:rPr>
      </w:pPr>
      <w:r>
        <w:rPr>
          <w:rFonts w:ascii="Arial" w:eastAsia="Times New Roman" w:hAnsi="Arial" w:cs="Arial"/>
          <w:b/>
          <w:bCs/>
          <w:color w:val="000000"/>
          <w:sz w:val="20"/>
          <w:szCs w:val="20"/>
        </w:rPr>
        <w:t>C. Estimates and Assumptions</w:t>
      </w:r>
    </w:p>
    <w:p w14:paraId="2DB19011" w14:textId="77777777" w:rsidR="00000000" w:rsidRDefault="00C01C43">
      <w:pPr>
        <w:jc w:val="both"/>
        <w:divId w:val="1090349343"/>
        <w:rPr>
          <w:rFonts w:eastAsia="Times New Roman"/>
        </w:rPr>
      </w:pPr>
      <w:r>
        <w:rPr>
          <w:rFonts w:ascii="Arial" w:eastAsia="Times New Roman" w:hAnsi="Arial" w:cs="Arial"/>
          <w:color w:val="000000"/>
          <w:sz w:val="20"/>
          <w:szCs w:val="20"/>
        </w:rPr>
        <w:t>The preparation of Consolidated Financial Statements in conformity with U.S. GAAP requires us to make certain estimates and assumptions that affect the reported amounts of assets an</w:t>
      </w:r>
      <w:r>
        <w:rPr>
          <w:rFonts w:ascii="Arial" w:eastAsia="Times New Roman" w:hAnsi="Arial" w:cs="Arial"/>
          <w:color w:val="000000"/>
          <w:sz w:val="20"/>
          <w:szCs w:val="20"/>
        </w:rPr>
        <w:t>d liabilities, disclosure of contingent assets and liabilities at the date of the financial statements and the reported amounts of revenue and expenses during the reporting period. Accordingly, actual results could materially differ from estimated amounts.</w:t>
      </w:r>
      <w:r>
        <w:rPr>
          <w:rFonts w:ascii="Arial" w:eastAsia="Times New Roman" w:hAnsi="Arial" w:cs="Arial"/>
          <w:color w:val="000000"/>
          <w:sz w:val="20"/>
          <w:szCs w:val="20"/>
        </w:rPr>
        <w:t xml:space="preserve"> We evaluate our estimated assumptions based on historical experience and on various other assumptions that are believed to be reasonable, the results of which form the basis for making judgments about the carrying values of assets and liabilities.</w:t>
      </w:r>
    </w:p>
    <w:p w14:paraId="0FF09E1E" w14:textId="77777777" w:rsidR="00000000" w:rsidRDefault="00C01C43">
      <w:pPr>
        <w:jc w:val="both"/>
        <w:divId w:val="2038584513"/>
        <w:rPr>
          <w:rFonts w:eastAsia="Times New Roman"/>
        </w:rPr>
      </w:pPr>
      <w:r>
        <w:rPr>
          <w:rFonts w:ascii="Arial" w:eastAsia="Times New Roman" w:hAnsi="Arial" w:cs="Arial"/>
          <w:b/>
          <w:bCs/>
          <w:color w:val="000000"/>
          <w:sz w:val="20"/>
          <w:szCs w:val="20"/>
        </w:rPr>
        <w:t>D. Cash</w:t>
      </w:r>
      <w:r>
        <w:rPr>
          <w:rFonts w:ascii="Arial" w:eastAsia="Times New Roman" w:hAnsi="Arial" w:cs="Arial"/>
          <w:b/>
          <w:bCs/>
          <w:color w:val="000000"/>
          <w:sz w:val="20"/>
          <w:szCs w:val="20"/>
        </w:rPr>
        <w:t xml:space="preserve"> and Cash Equivalents</w:t>
      </w:r>
    </w:p>
    <w:p w14:paraId="1CEE9262" w14:textId="77777777" w:rsidR="00000000" w:rsidRDefault="00C01C43">
      <w:pPr>
        <w:jc w:val="both"/>
        <w:divId w:val="371539282"/>
        <w:rPr>
          <w:rFonts w:eastAsia="Times New Roman"/>
        </w:rPr>
      </w:pPr>
      <w:r>
        <w:rPr>
          <w:rFonts w:ascii="Arial" w:eastAsia="Times New Roman" w:hAnsi="Arial" w:cs="Arial"/>
          <w:color w:val="000000"/>
          <w:sz w:val="20"/>
          <w:szCs w:val="20"/>
        </w:rPr>
        <w:t>Our cash equivalents consist principally of overnight investments, bank money market accounts and bank time deposits which have an original maturity date of less than 90 days. These securities are carried at cost, which approximates m</w:t>
      </w:r>
      <w:r>
        <w:rPr>
          <w:rFonts w:ascii="Arial" w:eastAsia="Times New Roman" w:hAnsi="Arial" w:cs="Arial"/>
          <w:color w:val="000000"/>
          <w:sz w:val="20"/>
          <w:szCs w:val="20"/>
        </w:rPr>
        <w:t>arket value.</w:t>
      </w:r>
    </w:p>
    <w:p w14:paraId="077276E6" w14:textId="77777777" w:rsidR="00000000" w:rsidRDefault="00C01C43">
      <w:pPr>
        <w:jc w:val="both"/>
        <w:divId w:val="53967652"/>
        <w:rPr>
          <w:rFonts w:eastAsia="Times New Roman"/>
        </w:rPr>
      </w:pPr>
      <w:r>
        <w:rPr>
          <w:rFonts w:ascii="Arial" w:eastAsia="Times New Roman" w:hAnsi="Arial" w:cs="Arial"/>
          <w:b/>
          <w:bCs/>
          <w:color w:val="000000"/>
          <w:sz w:val="20"/>
          <w:szCs w:val="20"/>
        </w:rPr>
        <w:t>E. Accounts Receivable and Allowance for Credit Losses</w:t>
      </w:r>
    </w:p>
    <w:p w14:paraId="4D47F8FF" w14:textId="77777777" w:rsidR="00000000" w:rsidRDefault="00C01C43">
      <w:pPr>
        <w:jc w:val="both"/>
        <w:divId w:val="1157651683"/>
        <w:rPr>
          <w:rFonts w:eastAsia="Times New Roman"/>
        </w:rPr>
      </w:pPr>
      <w:r>
        <w:rPr>
          <w:rFonts w:ascii="Arial" w:eastAsia="Times New Roman" w:hAnsi="Arial" w:cs="Arial"/>
          <w:color w:val="000000"/>
          <w:sz w:val="20"/>
          <w:szCs w:val="20"/>
        </w:rPr>
        <w:t xml:space="preserve">Accounts receivable are measured at amortized cost. The health of our accounts receivable is continuously monitored using a risk-based model, taking into consideration both the timeliness and predictability of collections from our customers. We maintain a </w:t>
      </w:r>
      <w:r>
        <w:rPr>
          <w:rFonts w:ascii="Arial" w:eastAsia="Times New Roman" w:hAnsi="Arial" w:cs="Arial"/>
          <w:color w:val="000000"/>
          <w:sz w:val="20"/>
          <w:szCs w:val="20"/>
        </w:rPr>
        <w:t>provision for estimated credit losses based upon our historical experience with our customers, along with any specific customer collection issues that we have identified from current financial information and business prospects, as well as any political or</w:t>
      </w:r>
      <w:r>
        <w:rPr>
          <w:rFonts w:ascii="Arial" w:eastAsia="Times New Roman" w:hAnsi="Arial" w:cs="Arial"/>
          <w:color w:val="000000"/>
          <w:sz w:val="20"/>
          <w:szCs w:val="20"/>
        </w:rPr>
        <w:t xml:space="preserve"> economic conditions or other market factors, including certain assumptions based on reasonable forward-looking information from market sources. Principally based on these credit risk factors, portfolio segments are defined and an internally derived risk-b</w:t>
      </w:r>
      <w:r>
        <w:rPr>
          <w:rFonts w:ascii="Arial" w:eastAsia="Times New Roman" w:hAnsi="Arial" w:cs="Arial"/>
          <w:color w:val="000000"/>
          <w:sz w:val="20"/>
          <w:szCs w:val="20"/>
        </w:rPr>
        <w:t>ased credit loss reserve is established and applied to each portfolio segment. Customer account balances that are deemed to be at high risk of collectability are reserved at higher rates than customer account balances which we expect to collect without dif</w:t>
      </w:r>
      <w:r>
        <w:rPr>
          <w:rFonts w:ascii="Arial" w:eastAsia="Times New Roman" w:hAnsi="Arial" w:cs="Arial"/>
          <w:color w:val="000000"/>
          <w:sz w:val="20"/>
          <w:szCs w:val="20"/>
        </w:rPr>
        <w:t>ficulty.</w:t>
      </w:r>
    </w:p>
    <w:p w14:paraId="5D282541" w14:textId="77777777" w:rsidR="00000000" w:rsidRDefault="00C01C43">
      <w:pPr>
        <w:jc w:val="both"/>
        <w:divId w:val="294722936"/>
        <w:rPr>
          <w:rFonts w:eastAsia="Times New Roman"/>
        </w:rPr>
      </w:pPr>
      <w:r>
        <w:rPr>
          <w:rFonts w:ascii="Arial" w:eastAsia="Times New Roman" w:hAnsi="Arial" w:cs="Arial"/>
          <w:b/>
          <w:bCs/>
          <w:color w:val="000000"/>
          <w:sz w:val="20"/>
          <w:szCs w:val="20"/>
        </w:rPr>
        <w:t>F. Inventories</w:t>
      </w:r>
    </w:p>
    <w:p w14:paraId="682A078D" w14:textId="77777777" w:rsidR="00000000" w:rsidRDefault="00C01C43">
      <w:pPr>
        <w:jc w:val="both"/>
        <w:divId w:val="671178595"/>
        <w:rPr>
          <w:rFonts w:eastAsia="Times New Roman"/>
        </w:rPr>
      </w:pPr>
      <w:r>
        <w:rPr>
          <w:rFonts w:ascii="Arial" w:eastAsia="Times New Roman" w:hAnsi="Arial" w:cs="Arial"/>
          <w:color w:val="000000"/>
          <w:sz w:val="20"/>
          <w:szCs w:val="20"/>
        </w:rPr>
        <w:t>Inventories are valued primarily using weighted average cost and first-in-first-out in certain limited locations. Inventory is stated at the lower of average cost or net realizable value. When evidence exists that the net realizable</w:t>
      </w:r>
      <w:r>
        <w:rPr>
          <w:rFonts w:ascii="Arial" w:eastAsia="Times New Roman" w:hAnsi="Arial" w:cs="Arial"/>
          <w:color w:val="000000"/>
          <w:sz w:val="20"/>
          <w:szCs w:val="20"/>
        </w:rPr>
        <w:t xml:space="preserve"> value of inventory is lower than its cost, the difference is recognized as a loss in the Consolidated Statements of Income and Comprehensive Income in the period in which it occurs. We utilize a variety of fuel indices and other indicators to calculate th</w:t>
      </w:r>
      <w:r>
        <w:rPr>
          <w:rFonts w:ascii="Arial" w:eastAsia="Times New Roman" w:hAnsi="Arial" w:cs="Arial"/>
          <w:color w:val="000000"/>
          <w:sz w:val="20"/>
          <w:szCs w:val="20"/>
        </w:rPr>
        <w:t>e net realizable value. Components of inventory include fuel purchase costs, any related transportation or distribution costs and changes in the estimated fair market values for inventories included in a fair value hedge relationship.</w:t>
      </w:r>
    </w:p>
    <w:p w14:paraId="2F709D5E" w14:textId="77777777" w:rsidR="00000000" w:rsidRDefault="00C01C43">
      <w:pPr>
        <w:jc w:val="center"/>
        <w:divId w:val="2023126965"/>
        <w:rPr>
          <w:rFonts w:eastAsia="Times New Roman"/>
        </w:rPr>
      </w:pPr>
      <w:r>
        <w:rPr>
          <w:rFonts w:ascii="Arial" w:eastAsia="Times New Roman" w:hAnsi="Arial" w:cs="Arial"/>
          <w:color w:val="000000"/>
          <w:sz w:val="16"/>
          <w:szCs w:val="16"/>
        </w:rPr>
        <w:t>55</w:t>
      </w:r>
    </w:p>
    <w:p w14:paraId="0E51DD44" w14:textId="77777777" w:rsidR="00000000" w:rsidRDefault="00C01C43">
      <w:pPr>
        <w:rPr>
          <w:rFonts w:eastAsia="Times New Roman"/>
        </w:rPr>
      </w:pPr>
      <w:r>
        <w:rPr>
          <w:rFonts w:eastAsia="Times New Roman"/>
        </w:rPr>
        <w:pict w14:anchorId="103A9041">
          <v:rect id="_x0000_i1084" style="width:0;height:1.5pt" o:hralign="center" o:hrstd="t" o:hr="t" fillcolor="#a0a0a0" stroked="f"/>
        </w:pict>
      </w:r>
    </w:p>
    <w:p w14:paraId="75A2436E" w14:textId="77777777" w:rsidR="00000000" w:rsidRDefault="00C01C43">
      <w:pPr>
        <w:divId w:val="308631448"/>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6D01C8F8" w14:textId="77777777" w:rsidR="00000000" w:rsidRDefault="00C01C43">
      <w:pPr>
        <w:jc w:val="both"/>
        <w:divId w:val="2134442710"/>
        <w:rPr>
          <w:rFonts w:eastAsia="Times New Roman"/>
        </w:rPr>
      </w:pPr>
      <w:r>
        <w:rPr>
          <w:rFonts w:ascii="Arial" w:eastAsia="Times New Roman" w:hAnsi="Arial" w:cs="Arial"/>
          <w:b/>
          <w:bCs/>
          <w:color w:val="000000"/>
          <w:sz w:val="20"/>
          <w:szCs w:val="20"/>
        </w:rPr>
        <w:t>G. Business Combinations</w:t>
      </w:r>
    </w:p>
    <w:p w14:paraId="7887D597" w14:textId="77777777" w:rsidR="00000000" w:rsidRDefault="00C01C43">
      <w:pPr>
        <w:jc w:val="both"/>
        <w:divId w:val="1523982121"/>
        <w:rPr>
          <w:rFonts w:eastAsia="Times New Roman"/>
        </w:rPr>
      </w:pPr>
      <w:r>
        <w:rPr>
          <w:rFonts w:ascii="Arial" w:eastAsia="Times New Roman" w:hAnsi="Arial" w:cs="Arial"/>
          <w:color w:val="000000"/>
          <w:sz w:val="20"/>
          <w:szCs w:val="20"/>
        </w:rPr>
        <w:t>A business combination occurs when an entity obtains control of a business by acquiring its net assets, or some or all of its equity interests.</w:t>
      </w:r>
    </w:p>
    <w:p w14:paraId="0E19F9AB" w14:textId="77777777" w:rsidR="00000000" w:rsidRDefault="00C01C43">
      <w:pPr>
        <w:jc w:val="both"/>
        <w:divId w:val="1867719091"/>
        <w:rPr>
          <w:rFonts w:eastAsia="Times New Roman"/>
        </w:rPr>
      </w:pPr>
      <w:r>
        <w:rPr>
          <w:rFonts w:ascii="Arial" w:eastAsia="Times New Roman" w:hAnsi="Arial" w:cs="Arial"/>
          <w:color w:val="000000"/>
          <w:sz w:val="20"/>
          <w:szCs w:val="20"/>
        </w:rPr>
        <w:t>Before applying the acquisition method, we determine whether a transaction meets the definition of a business co</w:t>
      </w:r>
      <w:r>
        <w:rPr>
          <w:rFonts w:ascii="Arial" w:eastAsia="Times New Roman" w:hAnsi="Arial" w:cs="Arial"/>
          <w:color w:val="000000"/>
          <w:sz w:val="20"/>
          <w:szCs w:val="20"/>
        </w:rPr>
        <w:t>mbination. For a transaction to be accounted for as a business combination, the entity or net assets acquired must meet the definition of a business as defined in ASC 805. Under the acquisition method, the purchase price is allocated to all identifiable as</w:t>
      </w:r>
      <w:r>
        <w:rPr>
          <w:rFonts w:ascii="Arial" w:eastAsia="Times New Roman" w:hAnsi="Arial" w:cs="Arial"/>
          <w:color w:val="000000"/>
          <w:sz w:val="20"/>
          <w:szCs w:val="20"/>
        </w:rPr>
        <w:t>sets acquired, all liabilities assumed and any noncontrolling interest at the fair value as of the acquisition date. Any residual difference with the consideration transferred is recognized as Goodwill. Goodwill arises because the purchase price paid refle</w:t>
      </w:r>
      <w:r>
        <w:rPr>
          <w:rFonts w:ascii="Arial" w:eastAsia="Times New Roman" w:hAnsi="Arial" w:cs="Arial"/>
          <w:color w:val="000000"/>
          <w:sz w:val="20"/>
          <w:szCs w:val="20"/>
        </w:rPr>
        <w:t>cts numerous factors, including the strategic value and expected synergies that the acquisition would bring to our existing operations. Acquisition-related costs incurred in connection with a business combination are expensed as incurred.</w:t>
      </w:r>
    </w:p>
    <w:p w14:paraId="158BD9AF" w14:textId="77777777" w:rsidR="00000000" w:rsidRDefault="00C01C43">
      <w:pPr>
        <w:jc w:val="both"/>
        <w:divId w:val="1877303977"/>
        <w:rPr>
          <w:rFonts w:eastAsia="Times New Roman"/>
        </w:rPr>
      </w:pPr>
      <w:r>
        <w:rPr>
          <w:rFonts w:ascii="Arial" w:eastAsia="Times New Roman" w:hAnsi="Arial" w:cs="Arial"/>
          <w:color w:val="000000"/>
          <w:sz w:val="20"/>
          <w:szCs w:val="20"/>
        </w:rPr>
        <w:t>If the assets acq</w:t>
      </w:r>
      <w:r>
        <w:rPr>
          <w:rFonts w:ascii="Arial" w:eastAsia="Times New Roman" w:hAnsi="Arial" w:cs="Arial"/>
          <w:color w:val="000000"/>
          <w:sz w:val="20"/>
          <w:szCs w:val="20"/>
        </w:rPr>
        <w:t>uired do not meet the definition of a business, we account for the transaction as an asset acquisition and goodwill is not recognized but rather any residual difference with the consideration transferred is allocated on a relative fair value basis to all q</w:t>
      </w:r>
      <w:r>
        <w:rPr>
          <w:rFonts w:ascii="Arial" w:eastAsia="Times New Roman" w:hAnsi="Arial" w:cs="Arial"/>
          <w:color w:val="000000"/>
          <w:sz w:val="20"/>
          <w:szCs w:val="20"/>
        </w:rPr>
        <w:t>ualifying identifiable net assets acquired.</w:t>
      </w:r>
    </w:p>
    <w:p w14:paraId="312AC9C5" w14:textId="77777777" w:rsidR="00000000" w:rsidRDefault="00C01C43">
      <w:pPr>
        <w:jc w:val="both"/>
        <w:divId w:val="377972602"/>
        <w:rPr>
          <w:rFonts w:eastAsia="Times New Roman"/>
        </w:rPr>
      </w:pPr>
      <w:r>
        <w:rPr>
          <w:rFonts w:ascii="Arial" w:eastAsia="Times New Roman" w:hAnsi="Arial" w:cs="Arial"/>
          <w:b/>
          <w:bCs/>
          <w:color w:val="000000"/>
          <w:sz w:val="20"/>
          <w:szCs w:val="20"/>
        </w:rPr>
        <w:t xml:space="preserve">H. Fair Value </w:t>
      </w:r>
    </w:p>
    <w:p w14:paraId="518B5113" w14:textId="77777777" w:rsidR="00000000" w:rsidRDefault="00C01C43">
      <w:pPr>
        <w:jc w:val="both"/>
        <w:divId w:val="1654405561"/>
        <w:rPr>
          <w:rFonts w:eastAsia="Times New Roman"/>
        </w:rPr>
      </w:pPr>
      <w:r>
        <w:rPr>
          <w:rFonts w:ascii="Arial" w:eastAsia="Times New Roman" w:hAnsi="Arial" w:cs="Arial"/>
          <w:color w:val="000000"/>
          <w:sz w:val="20"/>
          <w:szCs w:val="20"/>
        </w:rPr>
        <w:t>Fair value is the price to sell an asset or transfer a liability and therefore represents an exit price in the principal market (or in the absence of a principal market, the most advantageous marke</w:t>
      </w:r>
      <w:r>
        <w:rPr>
          <w:rFonts w:ascii="Arial" w:eastAsia="Times New Roman" w:hAnsi="Arial" w:cs="Arial"/>
          <w:color w:val="000000"/>
          <w:sz w:val="20"/>
          <w:szCs w:val="20"/>
        </w:rPr>
        <w:t>t). It represents a market-based measurement that contemplates a hypothetical transaction between market participants at the measurement date.</w:t>
      </w:r>
    </w:p>
    <w:p w14:paraId="68B21CD1" w14:textId="77777777" w:rsidR="00000000" w:rsidRDefault="00C01C43">
      <w:pPr>
        <w:jc w:val="both"/>
        <w:divId w:val="387920383"/>
        <w:rPr>
          <w:rFonts w:eastAsia="Times New Roman"/>
        </w:rPr>
      </w:pPr>
      <w:r>
        <w:rPr>
          <w:rFonts w:ascii="Arial" w:eastAsia="Times New Roman" w:hAnsi="Arial" w:cs="Arial"/>
          <w:color w:val="000000"/>
          <w:sz w:val="20"/>
          <w:szCs w:val="20"/>
        </w:rPr>
        <w:t>Depending on the type of assets, we calculate the fair value using the income approach (e.g., based on the presen</w:t>
      </w:r>
      <w:r>
        <w:rPr>
          <w:rFonts w:ascii="Arial" w:eastAsia="Times New Roman" w:hAnsi="Arial" w:cs="Arial"/>
          <w:color w:val="000000"/>
          <w:sz w:val="20"/>
          <w:szCs w:val="20"/>
        </w:rPr>
        <w:t xml:space="preserve">t value of estimated future cash flows), the market approach or a combination of both. The unique characteristics of an asset or liability and the availability of observable prices affect the number of valuation approaches and/or techniques used in a fair </w:t>
      </w:r>
      <w:r>
        <w:rPr>
          <w:rFonts w:ascii="Arial" w:eastAsia="Times New Roman" w:hAnsi="Arial" w:cs="Arial"/>
          <w:color w:val="000000"/>
          <w:sz w:val="20"/>
          <w:szCs w:val="20"/>
        </w:rPr>
        <w:t>value analysis. We measure fair value using observable and unobservable inputs. We give the highest priority to quoted prices (unadjusted) in active markets for identical assets or liabilities (Level 1 inputs) and the lowest priority to unobservable inputs</w:t>
      </w:r>
      <w:r>
        <w:rPr>
          <w:rFonts w:ascii="Arial" w:eastAsia="Times New Roman" w:hAnsi="Arial" w:cs="Arial"/>
          <w:color w:val="000000"/>
          <w:sz w:val="20"/>
          <w:szCs w:val="20"/>
        </w:rPr>
        <w:t xml:space="preserve"> (Level 3 inputs).</w:t>
      </w:r>
    </w:p>
    <w:p w14:paraId="140872BE" w14:textId="77777777" w:rsidR="00000000" w:rsidRDefault="00C01C43">
      <w:pPr>
        <w:jc w:val="both"/>
        <w:rPr>
          <w:rFonts w:eastAsia="Times New Roman"/>
        </w:rPr>
      </w:pPr>
      <w:r>
        <w:rPr>
          <w:rFonts w:ascii="Arial" w:eastAsia="Times New Roman" w:hAnsi="Arial" w:cs="Arial"/>
          <w:color w:val="000000"/>
          <w:sz w:val="20"/>
          <w:szCs w:val="20"/>
        </w:rPr>
        <w:t>We apply the following fair value hierarchy:</w:t>
      </w:r>
    </w:p>
    <w:p w14:paraId="23269D52" w14:textId="77777777" w:rsidR="00000000" w:rsidRDefault="00C01C43">
      <w:pPr>
        <w:jc w:val="both"/>
        <w:rPr>
          <w:rFonts w:eastAsia="Times New Roman"/>
        </w:rPr>
      </w:pPr>
    </w:p>
    <w:p w14:paraId="1B6E1268" w14:textId="77777777" w:rsidR="00000000" w:rsidRDefault="00C01C43">
      <w:pPr>
        <w:ind w:hanging="360"/>
        <w:jc w:val="both"/>
        <w:rPr>
          <w:rFonts w:eastAsia="Times New Roman"/>
        </w:rPr>
      </w:pPr>
      <w:r>
        <w:rPr>
          <w:rFonts w:ascii="Arial" w:eastAsia="Times New Roman" w:hAnsi="Arial" w:cs="Arial"/>
          <w:color w:val="000000"/>
          <w:sz w:val="20"/>
          <w:szCs w:val="20"/>
        </w:rPr>
        <w:t>•Level 1 - Quoted prices (unadjusted) in active markets for identical assets and liabilities.</w:t>
      </w:r>
    </w:p>
    <w:p w14:paraId="68C4DB6C" w14:textId="77777777" w:rsidR="00000000" w:rsidRDefault="00C01C43">
      <w:pPr>
        <w:ind w:hanging="360"/>
        <w:jc w:val="both"/>
        <w:rPr>
          <w:rFonts w:eastAsia="Times New Roman"/>
        </w:rPr>
      </w:pPr>
      <w:r>
        <w:rPr>
          <w:rFonts w:ascii="Arial" w:eastAsia="Times New Roman" w:hAnsi="Arial" w:cs="Arial"/>
          <w:color w:val="000000"/>
          <w:sz w:val="20"/>
          <w:szCs w:val="20"/>
        </w:rPr>
        <w:t>•Level 2 - Quoted prices in non-active markets or in active markets for similar assets or liabil</w:t>
      </w:r>
      <w:r>
        <w:rPr>
          <w:rFonts w:ascii="Arial" w:eastAsia="Times New Roman" w:hAnsi="Arial" w:cs="Arial"/>
          <w:color w:val="000000"/>
          <w:sz w:val="20"/>
          <w:szCs w:val="20"/>
        </w:rPr>
        <w:t>ities, observable inputs other than quoted prices; and inputs that are not directly observable but are corroborated by observable market data.</w:t>
      </w:r>
    </w:p>
    <w:p w14:paraId="6322AE8D" w14:textId="77777777" w:rsidR="00000000" w:rsidRDefault="00C01C43">
      <w:pPr>
        <w:ind w:hanging="360"/>
        <w:jc w:val="both"/>
        <w:divId w:val="215553584"/>
        <w:rPr>
          <w:rFonts w:eastAsia="Times New Roman"/>
        </w:rPr>
      </w:pPr>
      <w:r>
        <w:rPr>
          <w:rFonts w:ascii="Arial" w:eastAsia="Times New Roman" w:hAnsi="Arial" w:cs="Arial"/>
          <w:color w:val="000000"/>
          <w:sz w:val="20"/>
          <w:szCs w:val="20"/>
        </w:rPr>
        <w:t>•Level 3 - Inputs that are unobservable.</w:t>
      </w:r>
    </w:p>
    <w:p w14:paraId="448F3BC7" w14:textId="77777777" w:rsidR="00000000" w:rsidRDefault="00C01C43">
      <w:pPr>
        <w:jc w:val="both"/>
        <w:divId w:val="799226783"/>
        <w:rPr>
          <w:rFonts w:eastAsia="Times New Roman"/>
        </w:rPr>
      </w:pPr>
      <w:r>
        <w:rPr>
          <w:rFonts w:ascii="Arial" w:eastAsia="Times New Roman" w:hAnsi="Arial" w:cs="Arial"/>
          <w:color w:val="000000"/>
          <w:sz w:val="20"/>
          <w:szCs w:val="20"/>
        </w:rPr>
        <w:t>For additional information pertaining to our fair value measurements, se</w:t>
      </w:r>
      <w:r>
        <w:rPr>
          <w:rFonts w:ascii="Arial" w:eastAsia="Times New Roman" w:hAnsi="Arial" w:cs="Arial"/>
          <w:color w:val="000000"/>
          <w:sz w:val="20"/>
          <w:szCs w:val="20"/>
        </w:rPr>
        <w:t>e "Note 12. Fair Value Measurements."</w:t>
      </w:r>
    </w:p>
    <w:p w14:paraId="45F511FE" w14:textId="77777777" w:rsidR="00000000" w:rsidRDefault="00C01C43">
      <w:pPr>
        <w:jc w:val="both"/>
        <w:divId w:val="1347948970"/>
        <w:rPr>
          <w:rFonts w:eastAsia="Times New Roman"/>
        </w:rPr>
      </w:pPr>
      <w:r>
        <w:rPr>
          <w:rFonts w:ascii="Arial" w:eastAsia="Times New Roman" w:hAnsi="Arial" w:cs="Arial"/>
          <w:b/>
          <w:bCs/>
          <w:color w:val="000000"/>
          <w:sz w:val="20"/>
          <w:szCs w:val="20"/>
        </w:rPr>
        <w:t>I. Derivatives</w:t>
      </w:r>
    </w:p>
    <w:p w14:paraId="65C008CD" w14:textId="77777777" w:rsidR="00000000" w:rsidRDefault="00C01C43">
      <w:pPr>
        <w:jc w:val="both"/>
        <w:divId w:val="1191720912"/>
        <w:rPr>
          <w:rFonts w:eastAsia="Times New Roman"/>
        </w:rPr>
      </w:pPr>
      <w:r>
        <w:rPr>
          <w:rFonts w:ascii="Arial" w:eastAsia="Times New Roman" w:hAnsi="Arial" w:cs="Arial"/>
          <w:color w:val="000000"/>
          <w:sz w:val="20"/>
          <w:szCs w:val="20"/>
        </w:rPr>
        <w:t>Our derivative contracts are recognized at their estimated fair market value. The fair value of our derivatives is derived using observable and certain unobservable inputs, such as basis differentials, w</w:t>
      </w:r>
      <w:r>
        <w:rPr>
          <w:rFonts w:ascii="Arial" w:eastAsia="Times New Roman" w:hAnsi="Arial" w:cs="Arial"/>
          <w:color w:val="000000"/>
          <w:sz w:val="20"/>
          <w:szCs w:val="20"/>
        </w:rPr>
        <w:t>hich are based on the difference between the historical prices of our prior transactions and underlying observable data; and incorporates the effect of nonperformance risk.</w:t>
      </w:r>
    </w:p>
    <w:p w14:paraId="131E7DE9" w14:textId="77777777" w:rsidR="00000000" w:rsidRDefault="00C01C43">
      <w:pPr>
        <w:jc w:val="center"/>
        <w:divId w:val="1145123414"/>
        <w:rPr>
          <w:rFonts w:eastAsia="Times New Roman"/>
        </w:rPr>
      </w:pPr>
      <w:r>
        <w:rPr>
          <w:rFonts w:ascii="Arial" w:eastAsia="Times New Roman" w:hAnsi="Arial" w:cs="Arial"/>
          <w:color w:val="000000"/>
          <w:sz w:val="16"/>
          <w:szCs w:val="16"/>
        </w:rPr>
        <w:t>56</w:t>
      </w:r>
    </w:p>
    <w:p w14:paraId="13D11A88" w14:textId="77777777" w:rsidR="00000000" w:rsidRDefault="00C01C43">
      <w:pPr>
        <w:rPr>
          <w:rFonts w:eastAsia="Times New Roman"/>
        </w:rPr>
      </w:pPr>
      <w:r>
        <w:rPr>
          <w:rFonts w:eastAsia="Times New Roman"/>
        </w:rPr>
        <w:pict w14:anchorId="31BCB9D2">
          <v:rect id="_x0000_i1085" style="width:0;height:1.5pt" o:hralign="center" o:hrstd="t" o:hr="t" fillcolor="#a0a0a0" stroked="f"/>
        </w:pict>
      </w:r>
    </w:p>
    <w:p w14:paraId="57F38070" w14:textId="77777777" w:rsidR="00000000" w:rsidRDefault="00C01C43">
      <w:pPr>
        <w:divId w:val="1256476703"/>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339328E6" w14:textId="77777777" w:rsidR="00000000" w:rsidRDefault="00C01C43">
      <w:pPr>
        <w:jc w:val="both"/>
        <w:divId w:val="2136636594"/>
        <w:rPr>
          <w:rFonts w:eastAsia="Times New Roman"/>
        </w:rPr>
      </w:pPr>
      <w:r>
        <w:rPr>
          <w:rFonts w:ascii="Arial" w:eastAsia="Times New Roman" w:hAnsi="Arial" w:cs="Arial"/>
          <w:color w:val="000000"/>
          <w:sz w:val="20"/>
          <w:szCs w:val="20"/>
        </w:rPr>
        <w:t>If the derivative instrument is not designated as a hedge, changes in the estimated fair market value are recognized as a component of Revenue, Cost of revenue or Other income (expense), net (based on the underlying transact</w:t>
      </w:r>
      <w:r>
        <w:rPr>
          <w:rFonts w:ascii="Arial" w:eastAsia="Times New Roman" w:hAnsi="Arial" w:cs="Arial"/>
          <w:color w:val="000000"/>
          <w:sz w:val="20"/>
          <w:szCs w:val="20"/>
        </w:rPr>
        <w:t>ion type) in the Consolidated Statements of Income and Comprehensive Income. Derivatives that qualify for hedge accounting may be designated as either a fair value or cash flow hedge. At the inception, and on an ongoing basis, we assess the hedging relatio</w:t>
      </w:r>
      <w:r>
        <w:rPr>
          <w:rFonts w:ascii="Arial" w:eastAsia="Times New Roman" w:hAnsi="Arial" w:cs="Arial"/>
          <w:color w:val="000000"/>
          <w:sz w:val="20"/>
          <w:szCs w:val="20"/>
        </w:rPr>
        <w:t>nship to determine its effectiveness in offsetting changes in cash flows or fair value attributable to the hedged risk. For our fair value hedges, changes in the estimated fair market value of the hedging instrument and the hedged item are recognized in th</w:t>
      </w:r>
      <w:r>
        <w:rPr>
          <w:rFonts w:ascii="Arial" w:eastAsia="Times New Roman" w:hAnsi="Arial" w:cs="Arial"/>
          <w:color w:val="000000"/>
          <w:sz w:val="20"/>
          <w:szCs w:val="20"/>
        </w:rPr>
        <w:t xml:space="preserve">e same line item as the underlying transaction type in the Consolidated Statements of Income and Comprehensive Income. For our cash flow hedges, the changes in the fair market value of the hedging instrument are initially recognized in other comprehensive </w:t>
      </w:r>
      <w:r>
        <w:rPr>
          <w:rFonts w:ascii="Arial" w:eastAsia="Times New Roman" w:hAnsi="Arial" w:cs="Arial"/>
          <w:color w:val="000000"/>
          <w:sz w:val="20"/>
          <w:szCs w:val="20"/>
        </w:rPr>
        <w:t>income as a separate component of shareholders’ equity and subsequently reclassified into the same line item as the underlying forecasted transaction in the Consolidated Statements of Income and Comprehensive Income when both are settled or deemed probable</w:t>
      </w:r>
      <w:r>
        <w:rPr>
          <w:rFonts w:ascii="Arial" w:eastAsia="Times New Roman" w:hAnsi="Arial" w:cs="Arial"/>
          <w:color w:val="000000"/>
          <w:sz w:val="20"/>
          <w:szCs w:val="20"/>
        </w:rPr>
        <w:t xml:space="preserve"> of not occurring. Cash flows for our hedging instruments used in our hedges are classified in the same category as the cash flow from the hedged items. If for any reason hedge accounting is discontinued, then any cash flows subsequent to the date of disco</w:t>
      </w:r>
      <w:r>
        <w:rPr>
          <w:rFonts w:ascii="Arial" w:eastAsia="Times New Roman" w:hAnsi="Arial" w:cs="Arial"/>
          <w:color w:val="000000"/>
          <w:sz w:val="20"/>
          <w:szCs w:val="20"/>
        </w:rPr>
        <w:t>ntinuance will be classified in a manner consistent with the nature of the instrument. For more information on our derivatives, see "Note 4. Derivatives Instruments."</w:t>
      </w:r>
    </w:p>
    <w:p w14:paraId="2F94BBB9" w14:textId="77777777" w:rsidR="00000000" w:rsidRDefault="00C01C43">
      <w:pPr>
        <w:jc w:val="both"/>
        <w:divId w:val="1932884073"/>
        <w:rPr>
          <w:rFonts w:eastAsia="Times New Roman"/>
        </w:rPr>
      </w:pPr>
      <w:r>
        <w:rPr>
          <w:rFonts w:ascii="Arial" w:eastAsia="Times New Roman" w:hAnsi="Arial" w:cs="Arial"/>
          <w:b/>
          <w:bCs/>
          <w:color w:val="000000"/>
          <w:sz w:val="20"/>
          <w:szCs w:val="20"/>
        </w:rPr>
        <w:t>J. Property and Equipment</w:t>
      </w:r>
    </w:p>
    <w:p w14:paraId="77F27C93" w14:textId="77777777" w:rsidR="00000000" w:rsidRDefault="00C01C43">
      <w:pPr>
        <w:jc w:val="both"/>
        <w:divId w:val="2006743563"/>
        <w:rPr>
          <w:rFonts w:eastAsia="Times New Roman"/>
        </w:rPr>
      </w:pPr>
      <w:r>
        <w:rPr>
          <w:rFonts w:ascii="Arial" w:eastAsia="Times New Roman" w:hAnsi="Arial" w:cs="Arial"/>
          <w:color w:val="000000"/>
          <w:sz w:val="20"/>
          <w:szCs w:val="20"/>
        </w:rPr>
        <w:t>Property and equipment are carried at cost less accumulated dep</w:t>
      </w:r>
      <w:r>
        <w:rPr>
          <w:rFonts w:ascii="Arial" w:eastAsia="Times New Roman" w:hAnsi="Arial" w:cs="Arial"/>
          <w:color w:val="000000"/>
          <w:sz w:val="20"/>
          <w:szCs w:val="20"/>
        </w:rPr>
        <w:t>reciation and amortization. Depreciation and amortization are calculated primarily by using the straight-line method over the estimated useful lives of the assets. Costs of major additions and improvements are capitalized while expenditures for maintenance</w:t>
      </w:r>
      <w:r>
        <w:rPr>
          <w:rFonts w:ascii="Arial" w:eastAsia="Times New Roman" w:hAnsi="Arial" w:cs="Arial"/>
          <w:color w:val="000000"/>
          <w:sz w:val="20"/>
          <w:szCs w:val="20"/>
        </w:rPr>
        <w:t xml:space="preserve"> and repairs, which do not extend the life of the asset, are expensed. Upon sale or disposition of property and equipment, the cost and related accumulated depreciation and amortization are eliminated from the accounts and any resulting gain or loss is cre</w:t>
      </w:r>
      <w:r>
        <w:rPr>
          <w:rFonts w:ascii="Arial" w:eastAsia="Times New Roman" w:hAnsi="Arial" w:cs="Arial"/>
          <w:color w:val="000000"/>
          <w:sz w:val="20"/>
          <w:szCs w:val="20"/>
        </w:rPr>
        <w:t>dited or charged to income. Long-lived assets held and used by us (including property and equipment) are assessed for impairment whenever events or changes in circumstances indicate that the carrying amount of an asset may not be recoverable.</w:t>
      </w:r>
    </w:p>
    <w:p w14:paraId="2CA20179" w14:textId="77777777" w:rsidR="00000000" w:rsidRDefault="00C01C43">
      <w:pPr>
        <w:jc w:val="both"/>
        <w:divId w:val="345595759"/>
        <w:rPr>
          <w:rFonts w:eastAsia="Times New Roman"/>
        </w:rPr>
      </w:pPr>
      <w:r>
        <w:rPr>
          <w:rFonts w:ascii="Arial" w:eastAsia="Times New Roman" w:hAnsi="Arial" w:cs="Arial"/>
          <w:color w:val="000000"/>
          <w:sz w:val="20"/>
          <w:szCs w:val="20"/>
        </w:rPr>
        <w:t>Purchases of computer software and external costs and certain internal costs directly associated with developing significant computer software applications for internal use are capitalized within property and equipment, which also includes hosting arrangem</w:t>
      </w:r>
      <w:r>
        <w:rPr>
          <w:rFonts w:ascii="Arial" w:eastAsia="Times New Roman" w:hAnsi="Arial" w:cs="Arial"/>
          <w:color w:val="000000"/>
          <w:sz w:val="20"/>
          <w:szCs w:val="20"/>
        </w:rPr>
        <w:t>ents when we have the contractual right to take possession of the software at any time during the hosting period and it is feasible for us to either run the software in our own hardware or contract with another unrelated party to host the software. Amortiz</w:t>
      </w:r>
      <w:r>
        <w:rPr>
          <w:rFonts w:ascii="Arial" w:eastAsia="Times New Roman" w:hAnsi="Arial" w:cs="Arial"/>
          <w:color w:val="000000"/>
          <w:sz w:val="20"/>
          <w:szCs w:val="20"/>
        </w:rPr>
        <w:t>ation of such costs is calculated primarily by using the straight-line method over the estimated useful life of the software.</w:t>
      </w:r>
    </w:p>
    <w:p w14:paraId="5E1F525A" w14:textId="77777777" w:rsidR="00000000" w:rsidRDefault="00C01C43">
      <w:pPr>
        <w:jc w:val="both"/>
        <w:divId w:val="949505370"/>
        <w:rPr>
          <w:rFonts w:eastAsia="Times New Roman"/>
        </w:rPr>
      </w:pPr>
      <w:r>
        <w:rPr>
          <w:rFonts w:ascii="Arial" w:eastAsia="Times New Roman" w:hAnsi="Arial" w:cs="Arial"/>
          <w:b/>
          <w:bCs/>
          <w:color w:val="000000"/>
          <w:sz w:val="20"/>
          <w:szCs w:val="20"/>
        </w:rPr>
        <w:t>K. Goodwill</w:t>
      </w:r>
    </w:p>
    <w:p w14:paraId="72A726E7" w14:textId="77777777" w:rsidR="00000000" w:rsidRDefault="00C01C43">
      <w:pPr>
        <w:jc w:val="both"/>
        <w:divId w:val="481703649"/>
        <w:rPr>
          <w:rFonts w:eastAsia="Times New Roman"/>
        </w:rPr>
      </w:pPr>
      <w:r>
        <w:rPr>
          <w:rFonts w:ascii="Arial" w:eastAsia="Times New Roman" w:hAnsi="Arial" w:cs="Arial"/>
          <w:color w:val="000000"/>
          <w:sz w:val="20"/>
          <w:szCs w:val="20"/>
        </w:rPr>
        <w:t>Goodwill is evaluated for impairment at the reporting unit level, initially based on an assessment of qualitative fact</w:t>
      </w:r>
      <w:r>
        <w:rPr>
          <w:rFonts w:ascii="Arial" w:eastAsia="Times New Roman" w:hAnsi="Arial" w:cs="Arial"/>
          <w:color w:val="000000"/>
          <w:sz w:val="20"/>
          <w:szCs w:val="20"/>
        </w:rPr>
        <w:t>ors to determine whether it is more likely than not that the fair value of any individual reporting unit is less than its carrying amount. Management conducts an impairment assessment as of December 31 of each year, or more frequently if events or circumst</w:t>
      </w:r>
      <w:r>
        <w:rPr>
          <w:rFonts w:ascii="Arial" w:eastAsia="Times New Roman" w:hAnsi="Arial" w:cs="Arial"/>
          <w:color w:val="000000"/>
          <w:sz w:val="20"/>
          <w:szCs w:val="20"/>
        </w:rPr>
        <w:t>ances indicate that the carrying value of goodwill may be impaired.</w:t>
      </w:r>
    </w:p>
    <w:p w14:paraId="118C4E74" w14:textId="77777777" w:rsidR="00000000" w:rsidRDefault="00C01C43">
      <w:pPr>
        <w:jc w:val="both"/>
        <w:divId w:val="1980765796"/>
        <w:rPr>
          <w:rFonts w:eastAsia="Times New Roman"/>
        </w:rPr>
      </w:pPr>
      <w:r>
        <w:rPr>
          <w:rFonts w:ascii="Arial" w:eastAsia="Times New Roman" w:hAnsi="Arial" w:cs="Arial"/>
          <w:color w:val="000000"/>
          <w:sz w:val="20"/>
          <w:szCs w:val="20"/>
        </w:rPr>
        <w:t>To determine whether goodwill is impaired, we compare the fair value of the reporting units to which goodwill was assigned to their respective carrying values. In calculating fair value, w</w:t>
      </w:r>
      <w:r>
        <w:rPr>
          <w:rFonts w:ascii="Arial" w:eastAsia="Times New Roman" w:hAnsi="Arial" w:cs="Arial"/>
          <w:color w:val="000000"/>
          <w:sz w:val="20"/>
          <w:szCs w:val="20"/>
        </w:rPr>
        <w:t>e use a combination of both an income and market approach as our primary indicator of fair value. Under the market approach, we use a selection of global companies that correspond to each reporting unit to derive a market-based multiple. Under the income a</w:t>
      </w:r>
      <w:r>
        <w:rPr>
          <w:rFonts w:ascii="Arial" w:eastAsia="Times New Roman" w:hAnsi="Arial" w:cs="Arial"/>
          <w:color w:val="000000"/>
          <w:sz w:val="20"/>
          <w:szCs w:val="20"/>
        </w:rPr>
        <w:t>pproach, we calculate the fair value of a reporting unit based on the present value of estimated future cash flows. The estimated future cash flows are based on the best information available as of the testing date, including our annual operating plan, whi</w:t>
      </w:r>
      <w:r>
        <w:rPr>
          <w:rFonts w:ascii="Arial" w:eastAsia="Times New Roman" w:hAnsi="Arial" w:cs="Arial"/>
          <w:color w:val="000000"/>
          <w:sz w:val="20"/>
          <w:szCs w:val="20"/>
        </w:rPr>
        <w:t>ch is completed annually during the fourth quarter and is approved by our Board of Directors. The estimated cash flows are discounted using rates that correspond to a weighted-average cost of capital consistent with those used internally for investment dec</w:t>
      </w:r>
      <w:r>
        <w:rPr>
          <w:rFonts w:ascii="Arial" w:eastAsia="Times New Roman" w:hAnsi="Arial" w:cs="Arial"/>
          <w:color w:val="000000"/>
          <w:sz w:val="20"/>
          <w:szCs w:val="20"/>
        </w:rPr>
        <w:t>isions. All our estimates are considered supportable assumptions that we believe are reasonable and are based on a number of factors including industry experience, internal benchmarks, and the economic environment.</w:t>
      </w:r>
    </w:p>
    <w:p w14:paraId="4EAA6639" w14:textId="77777777" w:rsidR="00000000" w:rsidRDefault="00C01C43">
      <w:pPr>
        <w:jc w:val="center"/>
        <w:divId w:val="291715975"/>
        <w:rPr>
          <w:rFonts w:eastAsia="Times New Roman"/>
        </w:rPr>
      </w:pPr>
      <w:r>
        <w:rPr>
          <w:rFonts w:ascii="Arial" w:eastAsia="Times New Roman" w:hAnsi="Arial" w:cs="Arial"/>
          <w:color w:val="000000"/>
          <w:sz w:val="16"/>
          <w:szCs w:val="16"/>
        </w:rPr>
        <w:t>57</w:t>
      </w:r>
    </w:p>
    <w:p w14:paraId="7A206761" w14:textId="77777777" w:rsidR="00000000" w:rsidRDefault="00C01C43">
      <w:pPr>
        <w:rPr>
          <w:rFonts w:eastAsia="Times New Roman"/>
        </w:rPr>
      </w:pPr>
      <w:r>
        <w:rPr>
          <w:rFonts w:eastAsia="Times New Roman"/>
        </w:rPr>
        <w:pict w14:anchorId="30318D93">
          <v:rect id="_x0000_i1086" style="width:0;height:1.5pt" o:hralign="center" o:hrstd="t" o:hr="t" fillcolor="#a0a0a0" stroked="f"/>
        </w:pict>
      </w:r>
    </w:p>
    <w:p w14:paraId="482AE9CD" w14:textId="77777777" w:rsidR="00000000" w:rsidRDefault="00C01C43">
      <w:pPr>
        <w:divId w:val="827864405"/>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3158372A" w14:textId="77777777" w:rsidR="00000000" w:rsidRDefault="00C01C43">
      <w:pPr>
        <w:jc w:val="both"/>
        <w:rPr>
          <w:rFonts w:eastAsia="Times New Roman"/>
        </w:rPr>
      </w:pPr>
    </w:p>
    <w:p w14:paraId="204909FF" w14:textId="77777777" w:rsidR="00000000" w:rsidRDefault="00C01C43">
      <w:pPr>
        <w:jc w:val="both"/>
        <w:divId w:val="1445494610"/>
        <w:rPr>
          <w:rFonts w:eastAsia="Times New Roman"/>
        </w:rPr>
      </w:pPr>
      <w:r>
        <w:rPr>
          <w:rFonts w:ascii="Arial" w:eastAsia="Times New Roman" w:hAnsi="Arial" w:cs="Arial"/>
          <w:b/>
          <w:bCs/>
          <w:color w:val="000000"/>
          <w:sz w:val="20"/>
          <w:szCs w:val="20"/>
        </w:rPr>
        <w:t>L. Identifiable Intangible Assets</w:t>
      </w:r>
    </w:p>
    <w:p w14:paraId="2D1136E8" w14:textId="77777777" w:rsidR="00000000" w:rsidRDefault="00C01C43">
      <w:pPr>
        <w:jc w:val="both"/>
        <w:divId w:val="313724440"/>
        <w:rPr>
          <w:rFonts w:eastAsia="Times New Roman"/>
        </w:rPr>
      </w:pPr>
      <w:r>
        <w:rPr>
          <w:rFonts w:ascii="Arial" w:eastAsia="Times New Roman" w:hAnsi="Arial" w:cs="Arial"/>
          <w:color w:val="000000"/>
          <w:sz w:val="20"/>
          <w:szCs w:val="20"/>
        </w:rPr>
        <w:t>In connection with our acquisitions, we record identifiable intangible assets at fair value. Identifiable intangible assets subject to amortizat</w:t>
      </w:r>
      <w:r>
        <w:rPr>
          <w:rFonts w:ascii="Arial" w:eastAsia="Times New Roman" w:hAnsi="Arial" w:cs="Arial"/>
          <w:color w:val="000000"/>
          <w:sz w:val="20"/>
          <w:szCs w:val="20"/>
        </w:rPr>
        <w:t>ion are amortized over their estimated useful lives and are assessed for impairment whenever events or changes in circumstances indicate that the carrying amount of an asset may not be recoverable. We assess identifiable intangible assets not subject to am</w:t>
      </w:r>
      <w:r>
        <w:rPr>
          <w:rFonts w:ascii="Arial" w:eastAsia="Times New Roman" w:hAnsi="Arial" w:cs="Arial"/>
          <w:color w:val="000000"/>
          <w:sz w:val="20"/>
          <w:szCs w:val="20"/>
        </w:rPr>
        <w:t>ortization at least annually during the fourth quarter of each year for potential impairment. This analysis generally involves the use of qualitative and quantitative analyses to estimate whether the estimated future cash flows generated as a result of the</w:t>
      </w:r>
      <w:r>
        <w:rPr>
          <w:rFonts w:ascii="Arial" w:eastAsia="Times New Roman" w:hAnsi="Arial" w:cs="Arial"/>
          <w:color w:val="000000"/>
          <w:sz w:val="20"/>
          <w:szCs w:val="20"/>
        </w:rPr>
        <w:t>se assets will be greater than or equal to the carrying value assigned to such assets.</w:t>
      </w:r>
    </w:p>
    <w:p w14:paraId="08742FC3" w14:textId="77777777" w:rsidR="00000000" w:rsidRDefault="00C01C43">
      <w:pPr>
        <w:jc w:val="both"/>
        <w:divId w:val="1225338986"/>
        <w:rPr>
          <w:rFonts w:eastAsia="Times New Roman"/>
        </w:rPr>
      </w:pPr>
      <w:r>
        <w:rPr>
          <w:rFonts w:ascii="Arial" w:eastAsia="Times New Roman" w:hAnsi="Arial" w:cs="Arial"/>
          <w:b/>
          <w:bCs/>
          <w:color w:val="000000"/>
          <w:sz w:val="20"/>
          <w:szCs w:val="20"/>
        </w:rPr>
        <w:t>M. Investments</w:t>
      </w:r>
    </w:p>
    <w:p w14:paraId="6C58F845" w14:textId="77777777" w:rsidR="00000000" w:rsidRDefault="00C01C43">
      <w:pPr>
        <w:jc w:val="both"/>
        <w:divId w:val="1674793421"/>
        <w:rPr>
          <w:rFonts w:eastAsia="Times New Roman"/>
        </w:rPr>
      </w:pPr>
      <w:r>
        <w:rPr>
          <w:rFonts w:ascii="Arial" w:eastAsia="Times New Roman" w:hAnsi="Arial" w:cs="Arial"/>
          <w:color w:val="000000"/>
          <w:sz w:val="20"/>
          <w:szCs w:val="20"/>
        </w:rPr>
        <w:t>We held investments where we own less than 50% of the outstanding voting shares of the company. We account for investments primarily under the equity meth</w:t>
      </w:r>
      <w:r>
        <w:rPr>
          <w:rFonts w:ascii="Arial" w:eastAsia="Times New Roman" w:hAnsi="Arial" w:cs="Arial"/>
          <w:color w:val="000000"/>
          <w:sz w:val="20"/>
          <w:szCs w:val="20"/>
        </w:rPr>
        <w:t>od as we have the ability to exercise significant influence over the operating and financial policies of the investee, but do not have control.</w:t>
      </w:r>
    </w:p>
    <w:p w14:paraId="2C396441" w14:textId="77777777" w:rsidR="00000000" w:rsidRDefault="00C01C43">
      <w:pPr>
        <w:jc w:val="both"/>
        <w:divId w:val="1197737639"/>
        <w:rPr>
          <w:rFonts w:eastAsia="Times New Roman"/>
        </w:rPr>
      </w:pPr>
      <w:r>
        <w:rPr>
          <w:rFonts w:ascii="Arial" w:eastAsia="Times New Roman" w:hAnsi="Arial" w:cs="Arial"/>
          <w:color w:val="000000"/>
          <w:sz w:val="20"/>
          <w:szCs w:val="20"/>
        </w:rPr>
        <w:t>The carrying amount of an equity method investment is increased to reflect our share of income and is reduced to</w:t>
      </w:r>
      <w:r>
        <w:rPr>
          <w:rFonts w:ascii="Arial" w:eastAsia="Times New Roman" w:hAnsi="Arial" w:cs="Arial"/>
          <w:color w:val="000000"/>
          <w:sz w:val="20"/>
          <w:szCs w:val="20"/>
        </w:rPr>
        <w:t xml:space="preserve"> reflect our share of losses of the investee, dividends received and other-than-temporary impairments. Investments accounted for under the equity method are assessed whenever events or changes in circumstances indicate that the carrying amount of an invest</w:t>
      </w:r>
      <w:r>
        <w:rPr>
          <w:rFonts w:ascii="Arial" w:eastAsia="Times New Roman" w:hAnsi="Arial" w:cs="Arial"/>
          <w:color w:val="000000"/>
          <w:sz w:val="20"/>
          <w:szCs w:val="20"/>
        </w:rPr>
        <w:t>ment may not be recoverable.</w:t>
      </w:r>
    </w:p>
    <w:p w14:paraId="30C7EEC0" w14:textId="77777777" w:rsidR="00000000" w:rsidRDefault="00C01C43">
      <w:pPr>
        <w:jc w:val="both"/>
        <w:divId w:val="890922655"/>
        <w:rPr>
          <w:rFonts w:eastAsia="Times New Roman"/>
        </w:rPr>
      </w:pPr>
      <w:r>
        <w:rPr>
          <w:rFonts w:ascii="Arial" w:eastAsia="Times New Roman" w:hAnsi="Arial" w:cs="Arial"/>
          <w:color w:val="000000"/>
          <w:sz w:val="20"/>
          <w:szCs w:val="20"/>
        </w:rPr>
        <w:t xml:space="preserve">We assess our intent and/or ability to recover the carrying amount of the investment over a long period. However, if the fair value of the investment is less than its carrying amount, and the investment will not recover in the </w:t>
      </w:r>
      <w:r>
        <w:rPr>
          <w:rFonts w:ascii="Arial" w:eastAsia="Times New Roman" w:hAnsi="Arial" w:cs="Arial"/>
          <w:color w:val="000000"/>
          <w:sz w:val="20"/>
          <w:szCs w:val="20"/>
        </w:rPr>
        <w:t>near term, then an other-than-temporary impairment is recognized. Impairments are classified as Impairments within the Consolidated Statements of Income and Comprehensive Income.</w:t>
      </w:r>
    </w:p>
    <w:p w14:paraId="011F0D20" w14:textId="77777777" w:rsidR="00000000" w:rsidRDefault="00C01C43">
      <w:pPr>
        <w:jc w:val="both"/>
        <w:divId w:val="107167378"/>
        <w:rPr>
          <w:rFonts w:eastAsia="Times New Roman"/>
        </w:rPr>
      </w:pPr>
      <w:r>
        <w:rPr>
          <w:rFonts w:ascii="Arial" w:eastAsia="Times New Roman" w:hAnsi="Arial" w:cs="Arial"/>
          <w:b/>
          <w:bCs/>
          <w:color w:val="000000"/>
          <w:sz w:val="20"/>
          <w:szCs w:val="20"/>
        </w:rPr>
        <w:t>N. Revenue Recognition</w:t>
      </w:r>
    </w:p>
    <w:p w14:paraId="1F474225" w14:textId="77777777" w:rsidR="00000000" w:rsidRDefault="00C01C43">
      <w:pPr>
        <w:jc w:val="both"/>
        <w:divId w:val="2120488085"/>
        <w:rPr>
          <w:rFonts w:eastAsia="Times New Roman"/>
        </w:rPr>
      </w:pPr>
      <w:r>
        <w:rPr>
          <w:rFonts w:ascii="Arial" w:eastAsia="Times New Roman" w:hAnsi="Arial" w:cs="Arial"/>
          <w:color w:val="000000"/>
          <w:sz w:val="20"/>
          <w:szCs w:val="20"/>
        </w:rPr>
        <w:t>The majority of our consolidated revenues are generate</w:t>
      </w:r>
      <w:r>
        <w:rPr>
          <w:rFonts w:ascii="Arial" w:eastAsia="Times New Roman" w:hAnsi="Arial" w:cs="Arial"/>
          <w:color w:val="000000"/>
          <w:sz w:val="20"/>
          <w:szCs w:val="20"/>
        </w:rPr>
        <w:t>d through the sale of fuel and fuel-related products. We generally recognize fuel sales and services revenue on a gross basis as we have control of the products or services before they are delivered to our customers. In drawing this conclusion, we consider</w:t>
      </w:r>
      <w:r>
        <w:rPr>
          <w:rFonts w:ascii="Arial" w:eastAsia="Times New Roman" w:hAnsi="Arial" w:cs="Arial"/>
          <w:color w:val="000000"/>
          <w:sz w:val="20"/>
          <w:szCs w:val="20"/>
        </w:rPr>
        <w:t xml:space="preserve">ed various factors, including inventory risk management, latitude in establishing the sales price, discretion in the supplier selection and that we are normally the primary obligor in our sales arrangements. </w:t>
      </w:r>
    </w:p>
    <w:p w14:paraId="0BC13DCB" w14:textId="77777777" w:rsidR="00000000" w:rsidRDefault="00C01C43">
      <w:pPr>
        <w:jc w:val="both"/>
        <w:divId w:val="550921880"/>
        <w:rPr>
          <w:rFonts w:eastAsia="Times New Roman"/>
        </w:rPr>
      </w:pPr>
      <w:r>
        <w:rPr>
          <w:rFonts w:ascii="Arial" w:eastAsia="Times New Roman" w:hAnsi="Arial" w:cs="Arial"/>
          <w:color w:val="000000"/>
          <w:sz w:val="20"/>
          <w:szCs w:val="20"/>
        </w:rPr>
        <w:t>Revenue from the sale of fuel is recognized whe</w:t>
      </w:r>
      <w:r>
        <w:rPr>
          <w:rFonts w:ascii="Arial" w:eastAsia="Times New Roman" w:hAnsi="Arial" w:cs="Arial"/>
          <w:color w:val="000000"/>
          <w:sz w:val="20"/>
          <w:szCs w:val="20"/>
        </w:rPr>
        <w:t xml:space="preserve">n our customers obtain control of the fuel, which is typically upon delivery of each promised gallon or barrel to an agreed-upon delivery point. Revenue from services, including energy procurement advisory services and international trip planning support, </w:t>
      </w:r>
      <w:r>
        <w:rPr>
          <w:rFonts w:ascii="Arial" w:eastAsia="Times New Roman" w:hAnsi="Arial" w:cs="Arial"/>
          <w:color w:val="000000"/>
          <w:sz w:val="20"/>
          <w:szCs w:val="20"/>
        </w:rPr>
        <w:t>and transaction and payment management processing, are recognized over the contract period when services have been performed and we have the right to invoice for those services.</w:t>
      </w:r>
    </w:p>
    <w:p w14:paraId="0F6C4424" w14:textId="77777777" w:rsidR="00000000" w:rsidRDefault="00C01C43">
      <w:pPr>
        <w:jc w:val="both"/>
        <w:divId w:val="2029016654"/>
        <w:rPr>
          <w:rFonts w:eastAsia="Times New Roman"/>
        </w:rPr>
      </w:pPr>
      <w:r>
        <w:rPr>
          <w:rFonts w:ascii="Arial" w:eastAsia="Times New Roman" w:hAnsi="Arial" w:cs="Arial"/>
          <w:color w:val="000000"/>
          <w:sz w:val="20"/>
          <w:szCs w:val="20"/>
        </w:rPr>
        <w:t>We have elected not to adjust the contract consideration for the effect of a s</w:t>
      </w:r>
      <w:r>
        <w:rPr>
          <w:rFonts w:ascii="Arial" w:eastAsia="Times New Roman" w:hAnsi="Arial" w:cs="Arial"/>
          <w:color w:val="000000"/>
          <w:sz w:val="20"/>
          <w:szCs w:val="20"/>
        </w:rPr>
        <w:t xml:space="preserve">ignificant financing component for any contract in which the period between when the Company transfers the promises in the contract and when the customer pays is a year or less. In addition, we have elected to exclude from the transaction price the amount </w:t>
      </w:r>
      <w:r>
        <w:rPr>
          <w:rFonts w:ascii="Arial" w:eastAsia="Times New Roman" w:hAnsi="Arial" w:cs="Arial"/>
          <w:color w:val="000000"/>
          <w:sz w:val="20"/>
          <w:szCs w:val="20"/>
        </w:rPr>
        <w:t>of certain taxes assessed by a government authority that we collect (or recover) from our customer and remit in connection with our sales transactions, such as certain sales or excise taxes.</w:t>
      </w:r>
    </w:p>
    <w:p w14:paraId="477EDB6D" w14:textId="77777777" w:rsidR="00000000" w:rsidRDefault="00C01C43">
      <w:pPr>
        <w:jc w:val="both"/>
        <w:divId w:val="90977955"/>
        <w:rPr>
          <w:rFonts w:eastAsia="Times New Roman"/>
        </w:rPr>
      </w:pPr>
      <w:r>
        <w:rPr>
          <w:rFonts w:ascii="Arial" w:eastAsia="Times New Roman" w:hAnsi="Arial" w:cs="Arial"/>
          <w:b/>
          <w:bCs/>
          <w:color w:val="000000"/>
          <w:sz w:val="20"/>
          <w:szCs w:val="20"/>
        </w:rPr>
        <w:t>O. Share-Based Payment Awards</w:t>
      </w:r>
    </w:p>
    <w:p w14:paraId="68B4CB96" w14:textId="77777777" w:rsidR="00000000" w:rsidRDefault="00C01C43">
      <w:pPr>
        <w:jc w:val="both"/>
        <w:rPr>
          <w:rFonts w:eastAsia="Times New Roman"/>
        </w:rPr>
      </w:pPr>
      <w:r>
        <w:rPr>
          <w:rFonts w:ascii="Arial" w:eastAsia="Times New Roman" w:hAnsi="Arial" w:cs="Arial"/>
          <w:color w:val="000000"/>
          <w:sz w:val="20"/>
          <w:szCs w:val="20"/>
        </w:rPr>
        <w:t xml:space="preserve">We account for share-based payment </w:t>
      </w:r>
      <w:r>
        <w:rPr>
          <w:rFonts w:ascii="Arial" w:eastAsia="Times New Roman" w:hAnsi="Arial" w:cs="Arial"/>
          <w:color w:val="000000"/>
          <w:sz w:val="20"/>
          <w:szCs w:val="20"/>
        </w:rPr>
        <w:t>awards on a fair value basis of the equity instrument issued. Under fair value accounting, the grant-date fair value of the share-based payment award is amortized as compensation expense, on a straight-line basis, over the service period (generally, the ve</w:t>
      </w:r>
      <w:r>
        <w:rPr>
          <w:rFonts w:ascii="Arial" w:eastAsia="Times New Roman" w:hAnsi="Arial" w:cs="Arial"/>
          <w:color w:val="000000"/>
          <w:sz w:val="20"/>
          <w:szCs w:val="20"/>
        </w:rPr>
        <w:t>sting period) for both graded and cliff vesting awards. We have elected to account for forfeitures as they occur.</w:t>
      </w:r>
    </w:p>
    <w:p w14:paraId="7AF319B2" w14:textId="77777777" w:rsidR="00000000" w:rsidRDefault="00C01C43">
      <w:pPr>
        <w:jc w:val="both"/>
        <w:rPr>
          <w:rFonts w:eastAsia="Times New Roman"/>
        </w:rPr>
      </w:pPr>
    </w:p>
    <w:p w14:paraId="5B2DCA8F" w14:textId="77777777" w:rsidR="00000000" w:rsidRDefault="00C01C43">
      <w:pPr>
        <w:jc w:val="center"/>
        <w:divId w:val="814109641"/>
        <w:rPr>
          <w:rFonts w:eastAsia="Times New Roman"/>
        </w:rPr>
      </w:pPr>
      <w:r>
        <w:rPr>
          <w:rFonts w:ascii="Arial" w:eastAsia="Times New Roman" w:hAnsi="Arial" w:cs="Arial"/>
          <w:color w:val="000000"/>
          <w:sz w:val="16"/>
          <w:szCs w:val="16"/>
        </w:rPr>
        <w:t>58</w:t>
      </w:r>
    </w:p>
    <w:p w14:paraId="06C0A466" w14:textId="77777777" w:rsidR="00000000" w:rsidRDefault="00C01C43">
      <w:pPr>
        <w:rPr>
          <w:rFonts w:eastAsia="Times New Roman"/>
        </w:rPr>
      </w:pPr>
      <w:r>
        <w:rPr>
          <w:rFonts w:eastAsia="Times New Roman"/>
        </w:rPr>
        <w:pict w14:anchorId="78110389">
          <v:rect id="_x0000_i1087" style="width:0;height:1.5pt" o:hralign="center" o:hrstd="t" o:hr="t" fillcolor="#a0a0a0" stroked="f"/>
        </w:pict>
      </w:r>
    </w:p>
    <w:p w14:paraId="276F855E" w14:textId="77777777" w:rsidR="00000000" w:rsidRDefault="00C01C43">
      <w:pPr>
        <w:divId w:val="961224343"/>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C5C3658" w14:textId="77777777" w:rsidR="00000000" w:rsidRDefault="00C01C43">
      <w:pPr>
        <w:jc w:val="both"/>
        <w:divId w:val="1754007200"/>
        <w:rPr>
          <w:rFonts w:eastAsia="Times New Roman"/>
        </w:rPr>
      </w:pPr>
      <w:r>
        <w:rPr>
          <w:rFonts w:ascii="Arial" w:eastAsia="Times New Roman" w:hAnsi="Arial" w:cs="Arial"/>
          <w:b/>
          <w:bCs/>
          <w:color w:val="000000"/>
          <w:sz w:val="20"/>
          <w:szCs w:val="20"/>
        </w:rPr>
        <w:t>P. Foreign Currency</w:t>
      </w:r>
    </w:p>
    <w:p w14:paraId="789DCDF1" w14:textId="77777777" w:rsidR="00000000" w:rsidRDefault="00C01C43">
      <w:pPr>
        <w:jc w:val="both"/>
        <w:divId w:val="968974859"/>
        <w:rPr>
          <w:rFonts w:eastAsia="Times New Roman"/>
        </w:rPr>
      </w:pPr>
      <w:r>
        <w:rPr>
          <w:rFonts w:ascii="Arial" w:eastAsia="Times New Roman" w:hAnsi="Arial" w:cs="Arial"/>
          <w:color w:val="000000"/>
          <w:sz w:val="20"/>
          <w:szCs w:val="20"/>
        </w:rPr>
        <w:t xml:space="preserve">The </w:t>
      </w:r>
      <w:r>
        <w:rPr>
          <w:rFonts w:ascii="Arial" w:eastAsia="Times New Roman" w:hAnsi="Arial" w:cs="Arial"/>
          <w:color w:val="000000"/>
          <w:sz w:val="20"/>
          <w:szCs w:val="20"/>
        </w:rPr>
        <w:t>functional currency of our U.S. and foreign subsidiaries is the U.S. dollar, except for certain subsidiaries which utilize their respective local currency as their functional currency. Foreign currency transaction gains and losses are recognized upon settl</w:t>
      </w:r>
      <w:r>
        <w:rPr>
          <w:rFonts w:ascii="Arial" w:eastAsia="Times New Roman" w:hAnsi="Arial" w:cs="Arial"/>
          <w:color w:val="000000"/>
          <w:sz w:val="20"/>
          <w:szCs w:val="20"/>
        </w:rPr>
        <w:t>ement of foreign currency transactions. In addition, for unsettled foreign currency transactions, foreign currency transaction gains and losses are recognized for changes between the transaction exchange rates and month-end exchange rates. Foreign currency</w:t>
      </w:r>
      <w:r>
        <w:rPr>
          <w:rFonts w:ascii="Arial" w:eastAsia="Times New Roman" w:hAnsi="Arial" w:cs="Arial"/>
          <w:color w:val="000000"/>
          <w:sz w:val="20"/>
          <w:szCs w:val="20"/>
        </w:rPr>
        <w:t xml:space="preserve"> transaction gains and losses are included in other income (expense), net, in the accompanying Consolidated Statements of Income and Comprehensive Income in the period incurred. </w:t>
      </w:r>
    </w:p>
    <w:p w14:paraId="58F2A00B" w14:textId="77777777" w:rsidR="00000000" w:rsidRDefault="00C01C43">
      <w:pPr>
        <w:jc w:val="both"/>
        <w:divId w:val="1935701625"/>
        <w:rPr>
          <w:rFonts w:eastAsia="Times New Roman"/>
        </w:rPr>
      </w:pPr>
      <w:r>
        <w:rPr>
          <w:rFonts w:ascii="Arial" w:eastAsia="Times New Roman" w:hAnsi="Arial" w:cs="Arial"/>
          <w:color w:val="000000"/>
          <w:sz w:val="20"/>
          <w:szCs w:val="20"/>
        </w:rPr>
        <w:t>Revenues and expenses of the subsidiaries that have a functional currency oth</w:t>
      </w:r>
      <w:r>
        <w:rPr>
          <w:rFonts w:ascii="Arial" w:eastAsia="Times New Roman" w:hAnsi="Arial" w:cs="Arial"/>
          <w:color w:val="000000"/>
          <w:sz w:val="20"/>
          <w:szCs w:val="20"/>
        </w:rPr>
        <w:t xml:space="preserve">er than the U.S. dollar have been translated into U.S. dollars at average exchange rates prevailing during the period. The assets and liabilities of these subsidiaries have been translated at the rates of exchange on the balance sheet dates. The resulting </w:t>
      </w:r>
      <w:r>
        <w:rPr>
          <w:rFonts w:ascii="Arial" w:eastAsia="Times New Roman" w:hAnsi="Arial" w:cs="Arial"/>
          <w:color w:val="000000"/>
          <w:sz w:val="20"/>
          <w:szCs w:val="20"/>
        </w:rPr>
        <w:t>translation gain and loss adjustments are recorded in accumulated other comprehensive income as a separate component of shareholders’ equity. </w:t>
      </w:r>
    </w:p>
    <w:p w14:paraId="6EF2ABD2" w14:textId="77777777" w:rsidR="00000000" w:rsidRDefault="00C01C43">
      <w:pPr>
        <w:jc w:val="both"/>
        <w:divId w:val="620309311"/>
        <w:rPr>
          <w:rFonts w:eastAsia="Times New Roman"/>
        </w:rPr>
      </w:pPr>
      <w:r>
        <w:rPr>
          <w:rFonts w:ascii="Arial" w:eastAsia="Times New Roman" w:hAnsi="Arial" w:cs="Arial"/>
          <w:b/>
          <w:bCs/>
          <w:color w:val="000000"/>
          <w:sz w:val="20"/>
          <w:szCs w:val="20"/>
        </w:rPr>
        <w:t>Q. Income Taxes</w:t>
      </w:r>
    </w:p>
    <w:p w14:paraId="6EB691B8" w14:textId="77777777" w:rsidR="00000000" w:rsidRDefault="00C01C43">
      <w:pPr>
        <w:jc w:val="both"/>
        <w:rPr>
          <w:rFonts w:eastAsia="Times New Roman"/>
        </w:rPr>
      </w:pPr>
      <w:r>
        <w:rPr>
          <w:rFonts w:ascii="Arial" w:eastAsia="Times New Roman" w:hAnsi="Arial" w:cs="Arial"/>
          <w:color w:val="000000"/>
          <w:sz w:val="20"/>
          <w:szCs w:val="20"/>
        </w:rPr>
        <w:t>Income taxes are accounted for under the asset and liability method. Under this method, deferred tax assets and liabilities are recognized for the future tax consequences attributable to differences between the financial statement carrying amounts of exist</w:t>
      </w:r>
      <w:r>
        <w:rPr>
          <w:rFonts w:ascii="Arial" w:eastAsia="Times New Roman" w:hAnsi="Arial" w:cs="Arial"/>
          <w:color w:val="000000"/>
          <w:sz w:val="20"/>
          <w:szCs w:val="20"/>
        </w:rPr>
        <w:t>ing assets and liabilities and their respective tax bases, and operating loss and income tax credit carryforwards. Deferred tax assets and liabilities are measured using enacted income tax rates expected to apply to taxable income in the years in which tho</w:t>
      </w:r>
      <w:r>
        <w:rPr>
          <w:rFonts w:ascii="Arial" w:eastAsia="Times New Roman" w:hAnsi="Arial" w:cs="Arial"/>
          <w:color w:val="000000"/>
          <w:sz w:val="20"/>
          <w:szCs w:val="20"/>
        </w:rPr>
        <w:t>se temporary differences are expected to be recovered or settled. The effect on deferred tax assets and liabilities of a change in income tax rates is recorded as a component of the income tax provision in the period that includes the enactment date.</w:t>
      </w:r>
    </w:p>
    <w:p w14:paraId="6D01388D" w14:textId="77777777" w:rsidR="00000000" w:rsidRDefault="00C01C43">
      <w:pPr>
        <w:jc w:val="both"/>
        <w:rPr>
          <w:rFonts w:eastAsia="Times New Roman"/>
        </w:rPr>
      </w:pPr>
    </w:p>
    <w:p w14:paraId="62E36B09" w14:textId="77777777" w:rsidR="00000000" w:rsidRDefault="00C01C43">
      <w:pPr>
        <w:jc w:val="both"/>
        <w:rPr>
          <w:rFonts w:eastAsia="Times New Roman"/>
        </w:rPr>
      </w:pPr>
      <w:r>
        <w:rPr>
          <w:rFonts w:ascii="Arial" w:eastAsia="Times New Roman" w:hAnsi="Arial" w:cs="Arial"/>
          <w:color w:val="000000"/>
          <w:sz w:val="20"/>
          <w:szCs w:val="20"/>
        </w:rPr>
        <w:t>Regular assessments are made on the likelihood that our deferred tax assets will be recovered from our future taxable income. Our evaluation is based on estimates, assumptions, and includes an analysis of available positive and negative evidence, giving we</w:t>
      </w:r>
      <w:r>
        <w:rPr>
          <w:rFonts w:ascii="Arial" w:eastAsia="Times New Roman" w:hAnsi="Arial" w:cs="Arial"/>
          <w:color w:val="000000"/>
          <w:sz w:val="20"/>
          <w:szCs w:val="20"/>
        </w:rPr>
        <w:t>ight based on the evidence’s relative objectivity. Sources of positive evidence include estimates of future taxable income, future reversal of existing taxable temporary differences, taxable income in carryback years, and available tax planning strategies.</w:t>
      </w:r>
      <w:r>
        <w:rPr>
          <w:rFonts w:ascii="Arial" w:eastAsia="Times New Roman" w:hAnsi="Arial" w:cs="Arial"/>
          <w:color w:val="000000"/>
          <w:sz w:val="20"/>
          <w:szCs w:val="20"/>
        </w:rPr>
        <w:t xml:space="preserve"> Sources of negative evidence include current and cumulative losses in recent years, losses expected in early future years, any history of operating losses or tax credit carryforwards expiring unused, and unsettled circumstances that, if unfavorably resolv</w:t>
      </w:r>
      <w:r>
        <w:rPr>
          <w:rFonts w:ascii="Arial" w:eastAsia="Times New Roman" w:hAnsi="Arial" w:cs="Arial"/>
          <w:color w:val="000000"/>
          <w:sz w:val="20"/>
          <w:szCs w:val="20"/>
        </w:rPr>
        <w:t>ed, would adversely affect future profit levels.</w:t>
      </w:r>
    </w:p>
    <w:p w14:paraId="498E352D" w14:textId="77777777" w:rsidR="00000000" w:rsidRDefault="00C01C43">
      <w:pPr>
        <w:jc w:val="both"/>
        <w:rPr>
          <w:rFonts w:eastAsia="Times New Roman"/>
        </w:rPr>
      </w:pPr>
    </w:p>
    <w:p w14:paraId="6F9AD151" w14:textId="77777777" w:rsidR="00000000" w:rsidRDefault="00C01C43">
      <w:pPr>
        <w:jc w:val="both"/>
        <w:rPr>
          <w:rFonts w:eastAsia="Times New Roman"/>
        </w:rPr>
      </w:pPr>
      <w:r>
        <w:rPr>
          <w:rFonts w:ascii="Arial" w:eastAsia="Times New Roman" w:hAnsi="Arial" w:cs="Arial"/>
          <w:color w:val="000000"/>
          <w:sz w:val="20"/>
          <w:szCs w:val="20"/>
        </w:rPr>
        <w:t>The remaining carrying value of our deferred tax assets, after recording the valuation allowance on our deferred tax assets, is based on our present belief that it is more likely than not that we will be a</w:t>
      </w:r>
      <w:r>
        <w:rPr>
          <w:rFonts w:ascii="Arial" w:eastAsia="Times New Roman" w:hAnsi="Arial" w:cs="Arial"/>
          <w:color w:val="000000"/>
          <w:sz w:val="20"/>
          <w:szCs w:val="20"/>
        </w:rPr>
        <w:t>ble to generate sufficient future taxable income in certain tax jurisdictions to utilize such deferred tax assets. The amount of the remaining deferred tax assets considered recoverable could be adjusted if our estimates of future taxable income during the</w:t>
      </w:r>
      <w:r>
        <w:rPr>
          <w:rFonts w:ascii="Arial" w:eastAsia="Times New Roman" w:hAnsi="Arial" w:cs="Arial"/>
          <w:color w:val="000000"/>
          <w:sz w:val="20"/>
          <w:szCs w:val="20"/>
        </w:rPr>
        <w:t xml:space="preserve"> carryforward period change favorably or unfavorably. To the extent we believe that it is more likely than not that some or all of the remaining deferred tax assets will not be realized, we must establish a valuation allowance against those deferred tax as</w:t>
      </w:r>
      <w:r>
        <w:rPr>
          <w:rFonts w:ascii="Arial" w:eastAsia="Times New Roman" w:hAnsi="Arial" w:cs="Arial"/>
          <w:color w:val="000000"/>
          <w:sz w:val="20"/>
          <w:szCs w:val="20"/>
        </w:rPr>
        <w:t>sets, resulting in additional income tax expense in the period such determination is made. To the extent a valuation allowance currently exists, we will continue to monitor all positive and negative evidence until we believe it is more likely than not that</w:t>
      </w:r>
      <w:r>
        <w:rPr>
          <w:rFonts w:ascii="Arial" w:eastAsia="Times New Roman" w:hAnsi="Arial" w:cs="Arial"/>
          <w:color w:val="000000"/>
          <w:sz w:val="20"/>
          <w:szCs w:val="20"/>
        </w:rPr>
        <w:t xml:space="preserve"> it is no longer necessary, resulting in an income tax benefit in the period such determination is made.</w:t>
      </w:r>
    </w:p>
    <w:p w14:paraId="215D05B1" w14:textId="77777777" w:rsidR="00000000" w:rsidRDefault="00C01C43">
      <w:pPr>
        <w:divId w:val="483086516"/>
        <w:rPr>
          <w:rFonts w:eastAsia="Times New Roman"/>
        </w:rPr>
      </w:pPr>
    </w:p>
    <w:p w14:paraId="08B0151F" w14:textId="77777777" w:rsidR="00000000" w:rsidRDefault="00C01C43">
      <w:pPr>
        <w:jc w:val="both"/>
        <w:divId w:val="753824223"/>
        <w:rPr>
          <w:rFonts w:eastAsia="Times New Roman"/>
        </w:rPr>
      </w:pPr>
      <w:r>
        <w:rPr>
          <w:rFonts w:ascii="Arial" w:eastAsia="Times New Roman" w:hAnsi="Arial" w:cs="Arial"/>
          <w:color w:val="000000"/>
          <w:sz w:val="20"/>
          <w:szCs w:val="20"/>
        </w:rPr>
        <w:t>Significant judgment is required in evaluating our tax positions, and in determining our provisions for income taxes, our deferred tax assets and lia</w:t>
      </w:r>
      <w:r>
        <w:rPr>
          <w:rFonts w:ascii="Arial" w:eastAsia="Times New Roman" w:hAnsi="Arial" w:cs="Arial"/>
          <w:color w:val="000000"/>
          <w:sz w:val="20"/>
          <w:szCs w:val="20"/>
        </w:rPr>
        <w:t>bilities and any valuation allowance recorded against our net deferred tax assets. We establish reserves when, despite our belief that the income tax return positions are fully supportable, certain positions are likely to be challenged and we may ultimatel</w:t>
      </w:r>
      <w:r>
        <w:rPr>
          <w:rFonts w:ascii="Arial" w:eastAsia="Times New Roman" w:hAnsi="Arial" w:cs="Arial"/>
          <w:color w:val="000000"/>
          <w:sz w:val="20"/>
          <w:szCs w:val="20"/>
        </w:rPr>
        <w:t>y not prevail in defending those positions.</w:t>
      </w:r>
    </w:p>
    <w:p w14:paraId="6626F41E" w14:textId="77777777" w:rsidR="00000000" w:rsidRDefault="00C01C43">
      <w:pPr>
        <w:jc w:val="center"/>
        <w:divId w:val="785925189"/>
        <w:rPr>
          <w:rFonts w:eastAsia="Times New Roman"/>
        </w:rPr>
      </w:pPr>
      <w:r>
        <w:rPr>
          <w:rFonts w:ascii="Arial" w:eastAsia="Times New Roman" w:hAnsi="Arial" w:cs="Arial"/>
          <w:color w:val="000000"/>
          <w:sz w:val="16"/>
          <w:szCs w:val="16"/>
        </w:rPr>
        <w:t>59</w:t>
      </w:r>
    </w:p>
    <w:p w14:paraId="7F700307" w14:textId="77777777" w:rsidR="00000000" w:rsidRDefault="00C01C43">
      <w:pPr>
        <w:rPr>
          <w:rFonts w:eastAsia="Times New Roman"/>
        </w:rPr>
      </w:pPr>
      <w:r>
        <w:rPr>
          <w:rFonts w:eastAsia="Times New Roman"/>
        </w:rPr>
        <w:pict w14:anchorId="3FC19562">
          <v:rect id="_x0000_i1088" style="width:0;height:1.5pt" o:hralign="center" o:hrstd="t" o:hr="t" fillcolor="#a0a0a0" stroked="f"/>
        </w:pict>
      </w:r>
    </w:p>
    <w:p w14:paraId="07312579" w14:textId="77777777" w:rsidR="00000000" w:rsidRDefault="00C01C43">
      <w:pPr>
        <w:divId w:val="1377923515"/>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0377453D" w14:textId="77777777" w:rsidR="00000000" w:rsidRDefault="00C01C43">
      <w:pPr>
        <w:jc w:val="both"/>
        <w:divId w:val="1929926064"/>
        <w:rPr>
          <w:rFonts w:eastAsia="Times New Roman"/>
        </w:rPr>
      </w:pPr>
      <w:r>
        <w:rPr>
          <w:rFonts w:ascii="Arial" w:eastAsia="Times New Roman" w:hAnsi="Arial" w:cs="Arial"/>
          <w:b/>
          <w:bCs/>
          <w:color w:val="000000"/>
          <w:sz w:val="20"/>
          <w:szCs w:val="20"/>
        </w:rPr>
        <w:t>R. Earnings per Common Share</w:t>
      </w:r>
    </w:p>
    <w:p w14:paraId="11A7E412" w14:textId="77777777" w:rsidR="00000000" w:rsidRDefault="00C01C43">
      <w:pPr>
        <w:jc w:val="both"/>
        <w:rPr>
          <w:rFonts w:eastAsia="Times New Roman"/>
        </w:rPr>
      </w:pPr>
      <w:r>
        <w:rPr>
          <w:rFonts w:ascii="Arial" w:eastAsia="Times New Roman" w:hAnsi="Arial" w:cs="Arial"/>
          <w:color w:val="000000"/>
          <w:sz w:val="20"/>
          <w:szCs w:val="20"/>
        </w:rPr>
        <w:t xml:space="preserve">Basic earnings per common share is computed by dividing net income </w:t>
      </w:r>
      <w:r>
        <w:rPr>
          <w:rFonts w:ascii="Arial" w:eastAsia="Times New Roman" w:hAnsi="Arial" w:cs="Arial"/>
          <w:color w:val="000000"/>
          <w:sz w:val="20"/>
          <w:szCs w:val="20"/>
        </w:rPr>
        <w:t>attributable to World Fuel and available to common shareholders by the sum of the weighted average number of shares of common stock. Diluted earnings per common share is computed by dividing net income attributable to World Fuel and available to common sha</w:t>
      </w:r>
      <w:r>
        <w:rPr>
          <w:rFonts w:ascii="Arial" w:eastAsia="Times New Roman" w:hAnsi="Arial" w:cs="Arial"/>
          <w:color w:val="000000"/>
          <w:sz w:val="20"/>
          <w:szCs w:val="20"/>
        </w:rPr>
        <w:t>reholders by the sum of the weighted average number of shares of common stock and the number of additional shares of common stock that would have been outstanding if our outstanding potentially dilutive securities had been issued. Potentially dilutive secu</w:t>
      </w:r>
      <w:r>
        <w:rPr>
          <w:rFonts w:ascii="Arial" w:eastAsia="Times New Roman" w:hAnsi="Arial" w:cs="Arial"/>
          <w:color w:val="000000"/>
          <w:sz w:val="20"/>
          <w:szCs w:val="20"/>
        </w:rPr>
        <w:t>rities include awards of restricted stock subject to forfeitable dividends, non-vested restricted stock units ("RSUs"), performance stock units where the performance requirements have been met, and settled stock appreciation rights awards ("SSARs"). The di</w:t>
      </w:r>
      <w:r>
        <w:rPr>
          <w:rFonts w:ascii="Arial" w:eastAsia="Times New Roman" w:hAnsi="Arial" w:cs="Arial"/>
          <w:color w:val="000000"/>
          <w:sz w:val="20"/>
          <w:szCs w:val="20"/>
        </w:rPr>
        <w:t xml:space="preserve">lutive effect of potentially dilutive securities is reflected in diluted earnings per common share by application of the treasury stock method, except if its impact is anti-dilutive. Under the treasury stock method, an increase in the fair market value of </w:t>
      </w:r>
      <w:r>
        <w:rPr>
          <w:rFonts w:ascii="Arial" w:eastAsia="Times New Roman" w:hAnsi="Arial" w:cs="Arial"/>
          <w:color w:val="000000"/>
          <w:sz w:val="20"/>
          <w:szCs w:val="20"/>
        </w:rPr>
        <w:t>our common stock can result in a greater dilutive effect from potentially dilutive securities.</w:t>
      </w:r>
    </w:p>
    <w:p w14:paraId="70E52EC6" w14:textId="77777777" w:rsidR="00000000" w:rsidRDefault="00C01C43">
      <w:pPr>
        <w:jc w:val="both"/>
        <w:rPr>
          <w:rFonts w:eastAsia="Times New Roman"/>
        </w:rPr>
      </w:pPr>
    </w:p>
    <w:p w14:paraId="23405087" w14:textId="77777777" w:rsidR="00000000" w:rsidRDefault="00C01C43">
      <w:pPr>
        <w:jc w:val="both"/>
        <w:divId w:val="1867676652"/>
        <w:rPr>
          <w:rFonts w:eastAsia="Times New Roman"/>
        </w:rPr>
      </w:pPr>
      <w:r>
        <w:rPr>
          <w:rFonts w:ascii="Arial" w:eastAsia="Times New Roman" w:hAnsi="Arial" w:cs="Arial"/>
          <w:b/>
          <w:bCs/>
          <w:color w:val="000000"/>
          <w:sz w:val="20"/>
          <w:szCs w:val="20"/>
        </w:rPr>
        <w:t>S. Leases</w:t>
      </w:r>
    </w:p>
    <w:p w14:paraId="755E0269" w14:textId="77777777" w:rsidR="00000000" w:rsidRDefault="00C01C43">
      <w:pPr>
        <w:jc w:val="both"/>
        <w:divId w:val="1052922742"/>
        <w:rPr>
          <w:rFonts w:eastAsia="Times New Roman"/>
        </w:rPr>
      </w:pPr>
      <w:r>
        <w:rPr>
          <w:rFonts w:ascii="Arial" w:eastAsia="Times New Roman" w:hAnsi="Arial" w:cs="Arial"/>
          <w:color w:val="000000"/>
          <w:sz w:val="20"/>
          <w:szCs w:val="20"/>
        </w:rPr>
        <w:t>We adopted ASU 2016-02, including the related codification amendments, in the first quarter of 2019 utilizing the modified retrospective transition m</w:t>
      </w:r>
      <w:r>
        <w:rPr>
          <w:rFonts w:ascii="Arial" w:eastAsia="Times New Roman" w:hAnsi="Arial" w:cs="Arial"/>
          <w:color w:val="000000"/>
          <w:sz w:val="20"/>
          <w:szCs w:val="20"/>
        </w:rPr>
        <w:t xml:space="preserve">ethod and applying the transition provisions at the effective date. </w:t>
      </w:r>
    </w:p>
    <w:p w14:paraId="328F7F44" w14:textId="77777777" w:rsidR="00000000" w:rsidRDefault="00C01C43">
      <w:pPr>
        <w:jc w:val="both"/>
        <w:divId w:val="1957444729"/>
        <w:rPr>
          <w:rFonts w:eastAsia="Times New Roman"/>
        </w:rPr>
      </w:pPr>
      <w:r>
        <w:rPr>
          <w:rFonts w:ascii="Arial" w:eastAsia="Times New Roman" w:hAnsi="Arial" w:cs="Arial"/>
          <w:color w:val="000000"/>
          <w:sz w:val="20"/>
          <w:szCs w:val="20"/>
        </w:rPr>
        <w:t>We determine if an arrangement is a lease at inception. Determining whether a contract contains a lease includes judgment regarding whether the contract conveys the right to control the u</w:t>
      </w:r>
      <w:r>
        <w:rPr>
          <w:rFonts w:ascii="Arial" w:eastAsia="Times New Roman" w:hAnsi="Arial" w:cs="Arial"/>
          <w:color w:val="000000"/>
          <w:sz w:val="20"/>
          <w:szCs w:val="20"/>
        </w:rPr>
        <w:t xml:space="preserve">se of identified property or equipment for a period of time in exchange for consideration. </w:t>
      </w:r>
    </w:p>
    <w:p w14:paraId="461216C4" w14:textId="77777777" w:rsidR="00000000" w:rsidRDefault="00C01C43">
      <w:pPr>
        <w:jc w:val="both"/>
        <w:divId w:val="205607956"/>
        <w:rPr>
          <w:rFonts w:eastAsia="Times New Roman"/>
        </w:rPr>
      </w:pPr>
      <w:r>
        <w:rPr>
          <w:rFonts w:ascii="Arial" w:eastAsia="Times New Roman" w:hAnsi="Arial" w:cs="Arial"/>
          <w:color w:val="000000"/>
          <w:sz w:val="20"/>
          <w:szCs w:val="20"/>
        </w:rPr>
        <w:t>We account for our lease-related assets and liabilities based on their classification as operating leases or finance leases, following the relevant accounting guida</w:t>
      </w:r>
      <w:r>
        <w:rPr>
          <w:rFonts w:ascii="Arial" w:eastAsia="Times New Roman" w:hAnsi="Arial" w:cs="Arial"/>
          <w:color w:val="000000"/>
          <w:sz w:val="20"/>
          <w:szCs w:val="20"/>
        </w:rPr>
        <w:t>nce. For all the lessee arrangements, we have elected an accounting policy to combine non-lease components with the related-lease components and treat the combined items as a lease for accounting purposes. We measure lease related assets and liabilities ba</w:t>
      </w:r>
      <w:r>
        <w:rPr>
          <w:rFonts w:ascii="Arial" w:eastAsia="Times New Roman" w:hAnsi="Arial" w:cs="Arial"/>
          <w:color w:val="000000"/>
          <w:sz w:val="20"/>
          <w:szCs w:val="20"/>
        </w:rPr>
        <w:t>sed on the present value of lease payments, including in-substance fixed payments, variable payments that depend on an index or rate measured at the commencement date, and the amount we believe is probable we will pay the lessor under residual value guaran</w:t>
      </w:r>
      <w:r>
        <w:rPr>
          <w:rFonts w:ascii="Arial" w:eastAsia="Times New Roman" w:hAnsi="Arial" w:cs="Arial"/>
          <w:color w:val="000000"/>
          <w:sz w:val="20"/>
          <w:szCs w:val="20"/>
        </w:rPr>
        <w:t>tees when applicable. We discount lease payments based on our estimated incremental borrowing rate at lease commencement (or modification), which is primarily based on our estimated credit rating, the lease term at commencement, and the contract currency o</w:t>
      </w:r>
      <w:r>
        <w:rPr>
          <w:rFonts w:ascii="Arial" w:eastAsia="Times New Roman" w:hAnsi="Arial" w:cs="Arial"/>
          <w:color w:val="000000"/>
          <w:sz w:val="20"/>
          <w:szCs w:val="20"/>
        </w:rPr>
        <w:t>f the lease arrangement. We have elected to exclude short term leases (leases with an original lease term less than one year) from the measurement of lease-related assets and liabilities.</w:t>
      </w:r>
    </w:p>
    <w:p w14:paraId="3F00267C" w14:textId="77777777" w:rsidR="00000000" w:rsidRDefault="00C01C43">
      <w:pPr>
        <w:jc w:val="both"/>
        <w:divId w:val="603462153"/>
        <w:rPr>
          <w:rFonts w:eastAsia="Times New Roman"/>
        </w:rPr>
      </w:pPr>
      <w:r>
        <w:rPr>
          <w:rFonts w:ascii="Arial" w:eastAsia="Times New Roman" w:hAnsi="Arial" w:cs="Arial"/>
          <w:color w:val="000000"/>
          <w:sz w:val="20"/>
          <w:szCs w:val="20"/>
        </w:rPr>
        <w:t>We test right-of-use asset in an operating or finance lease at the a</w:t>
      </w:r>
      <w:r>
        <w:rPr>
          <w:rFonts w:ascii="Arial" w:eastAsia="Times New Roman" w:hAnsi="Arial" w:cs="Arial"/>
          <w:color w:val="000000"/>
          <w:sz w:val="20"/>
          <w:szCs w:val="20"/>
        </w:rPr>
        <w:t>sset group level (because these assets are long-lived nonfinancial assets and should be accounted for the same way as other long-lived nonfinancial assets) whenever events or changes in circumstances indicate that the carrying amount of an asset may not be</w:t>
      </w:r>
      <w:r>
        <w:rPr>
          <w:rFonts w:ascii="Arial" w:eastAsia="Times New Roman" w:hAnsi="Arial" w:cs="Arial"/>
          <w:color w:val="000000"/>
          <w:sz w:val="20"/>
          <w:szCs w:val="20"/>
        </w:rPr>
        <w:t xml:space="preserve"> recoverable.</w:t>
      </w:r>
    </w:p>
    <w:p w14:paraId="03D12F41" w14:textId="77777777" w:rsidR="00000000" w:rsidRDefault="00C01C43">
      <w:pPr>
        <w:jc w:val="both"/>
        <w:divId w:val="1557548164"/>
        <w:rPr>
          <w:rFonts w:eastAsia="Times New Roman"/>
        </w:rPr>
      </w:pPr>
      <w:r>
        <w:rPr>
          <w:rFonts w:ascii="Arial" w:eastAsia="Times New Roman" w:hAnsi="Arial" w:cs="Arial"/>
          <w:b/>
          <w:bCs/>
          <w:color w:val="000000"/>
          <w:sz w:val="20"/>
          <w:szCs w:val="20"/>
        </w:rPr>
        <w:t>T. Loss Contingencies</w:t>
      </w:r>
    </w:p>
    <w:p w14:paraId="0B0E79AD" w14:textId="77777777" w:rsidR="00000000" w:rsidRDefault="00C01C43">
      <w:pPr>
        <w:jc w:val="both"/>
        <w:divId w:val="1971399394"/>
        <w:rPr>
          <w:rFonts w:eastAsia="Times New Roman"/>
        </w:rPr>
      </w:pPr>
      <w:r>
        <w:rPr>
          <w:rFonts w:ascii="Arial" w:eastAsia="Times New Roman" w:hAnsi="Arial" w:cs="Arial"/>
          <w:color w:val="000000"/>
          <w:sz w:val="20"/>
          <w:szCs w:val="20"/>
        </w:rPr>
        <w:t>In determining whether an accrual for a loss contingency is required, we first assess the likelihood of occurrence of the future event or events that will confirm the loss. When a loss is probable (the future event or ev</w:t>
      </w:r>
      <w:r>
        <w:rPr>
          <w:rFonts w:ascii="Arial" w:eastAsia="Times New Roman" w:hAnsi="Arial" w:cs="Arial"/>
          <w:color w:val="000000"/>
          <w:sz w:val="20"/>
          <w:szCs w:val="20"/>
        </w:rPr>
        <w:t>ents are likely to occur) and the amount of the loss can be reasonably estimated, the estimated loss is accrued. If the reasonable estimate of the loss is a range and an amount within the range appears to be a better estimate than any other amount within t</w:t>
      </w:r>
      <w:r>
        <w:rPr>
          <w:rFonts w:ascii="Arial" w:eastAsia="Times New Roman" w:hAnsi="Arial" w:cs="Arial"/>
          <w:color w:val="000000"/>
          <w:sz w:val="20"/>
          <w:szCs w:val="20"/>
        </w:rPr>
        <w:t>he range, that amount should be accrued. However, if no amount within the range is a better estimate, the minimum amount in the range should be accrued.</w:t>
      </w:r>
    </w:p>
    <w:p w14:paraId="455EAA01" w14:textId="77777777" w:rsidR="00000000" w:rsidRDefault="00C01C43">
      <w:pPr>
        <w:divId w:val="1073117247"/>
        <w:rPr>
          <w:rFonts w:eastAsia="Times New Roman"/>
        </w:rPr>
      </w:pPr>
      <w:r>
        <w:rPr>
          <w:rFonts w:ascii="Arial" w:eastAsia="Times New Roman" w:hAnsi="Arial" w:cs="Arial"/>
          <w:color w:val="000000"/>
          <w:sz w:val="20"/>
          <w:szCs w:val="20"/>
        </w:rPr>
        <w:t>When a loss is reasonably possible (the chance of the future event or events occurring is more than rem</w:t>
      </w:r>
      <w:r>
        <w:rPr>
          <w:rFonts w:ascii="Arial" w:eastAsia="Times New Roman" w:hAnsi="Arial" w:cs="Arial"/>
          <w:color w:val="000000"/>
          <w:sz w:val="20"/>
          <w:szCs w:val="20"/>
        </w:rPr>
        <w:t>ote but less than likely), no accrual is recognized.</w:t>
      </w:r>
    </w:p>
    <w:p w14:paraId="5BACBF21" w14:textId="77777777" w:rsidR="00000000" w:rsidRDefault="00C01C43">
      <w:pPr>
        <w:jc w:val="both"/>
        <w:divId w:val="999045103"/>
        <w:rPr>
          <w:rFonts w:eastAsia="Times New Roman"/>
        </w:rPr>
      </w:pPr>
    </w:p>
    <w:p w14:paraId="0D2D3BDE" w14:textId="77777777" w:rsidR="00000000" w:rsidRDefault="00C01C43">
      <w:pPr>
        <w:jc w:val="both"/>
        <w:rPr>
          <w:rFonts w:eastAsia="Times New Roman"/>
        </w:rPr>
      </w:pPr>
    </w:p>
    <w:p w14:paraId="1B5E7630" w14:textId="77777777" w:rsidR="00000000" w:rsidRDefault="00C01C43">
      <w:pPr>
        <w:jc w:val="center"/>
        <w:divId w:val="1823621891"/>
        <w:rPr>
          <w:rFonts w:eastAsia="Times New Roman"/>
        </w:rPr>
      </w:pPr>
      <w:r>
        <w:rPr>
          <w:rFonts w:ascii="Arial" w:eastAsia="Times New Roman" w:hAnsi="Arial" w:cs="Arial"/>
          <w:color w:val="000000"/>
          <w:sz w:val="16"/>
          <w:szCs w:val="16"/>
        </w:rPr>
        <w:t>60</w:t>
      </w:r>
    </w:p>
    <w:p w14:paraId="11E8CE4E" w14:textId="77777777" w:rsidR="00000000" w:rsidRDefault="00C01C43">
      <w:pPr>
        <w:rPr>
          <w:rFonts w:eastAsia="Times New Roman"/>
        </w:rPr>
      </w:pPr>
      <w:r>
        <w:rPr>
          <w:rFonts w:eastAsia="Times New Roman"/>
        </w:rPr>
        <w:pict w14:anchorId="008C98C3">
          <v:rect id="_x0000_i1089" style="width:0;height:1.5pt" o:hralign="center" o:hrstd="t" o:hr="t" fillcolor="#a0a0a0" stroked="f"/>
        </w:pict>
      </w:r>
    </w:p>
    <w:p w14:paraId="2B3F4906" w14:textId="77777777" w:rsidR="00000000" w:rsidRDefault="00C01C43">
      <w:pPr>
        <w:divId w:val="213584126"/>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35E137FB" w14:textId="77777777" w:rsidR="00000000" w:rsidRDefault="00C01C43">
      <w:pPr>
        <w:jc w:val="both"/>
        <w:rPr>
          <w:rFonts w:eastAsia="Times New Roman"/>
        </w:rPr>
      </w:pPr>
      <w:r>
        <w:rPr>
          <w:rFonts w:ascii="Arial" w:eastAsia="Times New Roman" w:hAnsi="Arial" w:cs="Arial"/>
          <w:b/>
          <w:bCs/>
          <w:color w:val="000000"/>
          <w:sz w:val="20"/>
          <w:szCs w:val="20"/>
        </w:rPr>
        <w:t>2. Accounts Receivable</w:t>
      </w:r>
    </w:p>
    <w:p w14:paraId="1C2D78FE" w14:textId="77777777" w:rsidR="00000000" w:rsidRDefault="00C01C43">
      <w:pPr>
        <w:jc w:val="both"/>
        <w:rPr>
          <w:rFonts w:eastAsia="Times New Roman"/>
        </w:rPr>
      </w:pPr>
    </w:p>
    <w:p w14:paraId="178775D4" w14:textId="77777777" w:rsidR="00000000" w:rsidRDefault="00C01C43">
      <w:pPr>
        <w:jc w:val="both"/>
        <w:rPr>
          <w:rFonts w:eastAsia="Times New Roman"/>
        </w:rPr>
      </w:pPr>
      <w:r>
        <w:rPr>
          <w:rFonts w:ascii="Arial" w:eastAsia="Times New Roman" w:hAnsi="Arial" w:cs="Arial"/>
          <w:b/>
          <w:bCs/>
          <w:color w:val="000000"/>
          <w:sz w:val="20"/>
          <w:szCs w:val="20"/>
        </w:rPr>
        <w:t>Accounts receivable and allowance for credit losses</w:t>
      </w:r>
    </w:p>
    <w:p w14:paraId="42BFF96B" w14:textId="77777777" w:rsidR="00000000" w:rsidRDefault="00C01C43">
      <w:pPr>
        <w:jc w:val="both"/>
        <w:divId w:val="926888161"/>
        <w:rPr>
          <w:rFonts w:eastAsia="Times New Roman"/>
        </w:rPr>
      </w:pPr>
      <w:r>
        <w:rPr>
          <w:rFonts w:ascii="Arial" w:eastAsia="Times New Roman" w:hAnsi="Arial" w:cs="Arial"/>
          <w:color w:val="000000"/>
          <w:sz w:val="20"/>
          <w:szCs w:val="20"/>
        </w:rPr>
        <w:t>We extend credit on an unsecured basis to most of our customers. Our exposure to expected credit losses depends on the financial condition of our customers and other macroeconomic factors beyond our control, such as deteriorating conditions in the world ec</w:t>
      </w:r>
      <w:r>
        <w:rPr>
          <w:rFonts w:ascii="Arial" w:eastAsia="Times New Roman" w:hAnsi="Arial" w:cs="Arial"/>
          <w:color w:val="000000"/>
          <w:sz w:val="20"/>
          <w:szCs w:val="20"/>
        </w:rPr>
        <w:t>onomy or in the industries we serve, changes in oil prices and political instability. While we actively manage our credit exposure and work to respond to both changes in our customers’ financial conditions or macroeconomic events, there can be no guarantee</w:t>
      </w:r>
      <w:r>
        <w:rPr>
          <w:rFonts w:ascii="Arial" w:eastAsia="Times New Roman" w:hAnsi="Arial" w:cs="Arial"/>
          <w:color w:val="000000"/>
          <w:sz w:val="20"/>
          <w:szCs w:val="20"/>
        </w:rPr>
        <w:t xml:space="preserve"> we will be able to mitigate all of these risks successfully.</w:t>
      </w:r>
    </w:p>
    <w:p w14:paraId="59D04893" w14:textId="77777777" w:rsidR="00000000" w:rsidRDefault="00C01C43">
      <w:pPr>
        <w:jc w:val="both"/>
        <w:rPr>
          <w:rFonts w:eastAsia="Times New Roman"/>
        </w:rPr>
      </w:pPr>
      <w:r>
        <w:rPr>
          <w:rFonts w:ascii="Arial" w:eastAsia="Times New Roman" w:hAnsi="Arial" w:cs="Arial"/>
          <w:color w:val="000000"/>
          <w:sz w:val="20"/>
          <w:szCs w:val="20"/>
        </w:rPr>
        <w:t>We perform ongoing credit evaluations of our customers and adjust credit limits based upon payment history and the customer’s current creditworthiness based on expected exposure. Our payment ter</w:t>
      </w:r>
      <w:r>
        <w:rPr>
          <w:rFonts w:ascii="Arial" w:eastAsia="Times New Roman" w:hAnsi="Arial" w:cs="Arial"/>
          <w:color w:val="000000"/>
          <w:sz w:val="20"/>
          <w:szCs w:val="20"/>
        </w:rPr>
        <w:t xml:space="preserve">ms with customers are based on each customers' creditworthiness and are generally 30-60 days, although certain markets and other customer-specific factors may warrant longer payment terms. Accounts receivable balances that are not paid within the terms of </w:t>
      </w:r>
      <w:r>
        <w:rPr>
          <w:rFonts w:ascii="Arial" w:eastAsia="Times New Roman" w:hAnsi="Arial" w:cs="Arial"/>
          <w:color w:val="000000"/>
          <w:sz w:val="20"/>
          <w:szCs w:val="20"/>
        </w:rPr>
        <w:t>the sales agreement may be subject to finance fees based on the outstanding balance. Although we analyze customers’ payment history and expected creditworthiness, since we extend credit on an unsecured basis to most of our customers, there is a possibility</w:t>
      </w:r>
      <w:r>
        <w:rPr>
          <w:rFonts w:ascii="Arial" w:eastAsia="Times New Roman" w:hAnsi="Arial" w:cs="Arial"/>
          <w:color w:val="000000"/>
          <w:sz w:val="20"/>
          <w:szCs w:val="20"/>
        </w:rPr>
        <w:t xml:space="preserve"> that any accounts receivable not collected may ultimately need to be written off.</w:t>
      </w:r>
    </w:p>
    <w:p w14:paraId="267D0CEA" w14:textId="77777777" w:rsidR="00000000" w:rsidRDefault="00C01C43">
      <w:pPr>
        <w:ind w:firstLine="360"/>
        <w:jc w:val="both"/>
        <w:rPr>
          <w:rFonts w:eastAsia="Times New Roman"/>
        </w:rPr>
      </w:pPr>
    </w:p>
    <w:p w14:paraId="26653ADC" w14:textId="77777777" w:rsidR="00000000" w:rsidRDefault="00C01C43">
      <w:pPr>
        <w:jc w:val="both"/>
        <w:divId w:val="1164127377"/>
        <w:rPr>
          <w:rFonts w:eastAsia="Times New Roman"/>
        </w:rPr>
      </w:pPr>
      <w:r>
        <w:rPr>
          <w:rFonts w:ascii="Arial" w:eastAsia="Times New Roman" w:hAnsi="Arial" w:cs="Arial"/>
          <w:color w:val="000000"/>
          <w:sz w:val="20"/>
          <w:szCs w:val="20"/>
        </w:rPr>
        <w:t>We had accounts receivable of $1.2 billion and $2.9 billion as of December 31, 2020 and 2019, respectively. We also had an allowance for credit losses, primarily related t</w:t>
      </w:r>
      <w:r>
        <w:rPr>
          <w:rFonts w:ascii="Arial" w:eastAsia="Times New Roman" w:hAnsi="Arial" w:cs="Arial"/>
          <w:color w:val="000000"/>
          <w:sz w:val="20"/>
          <w:szCs w:val="20"/>
        </w:rPr>
        <w:t>o accounts receivable, of $57.3 million and $35.5 million, as of December 31, 2020 and 2019, respectively. Changes to the expected credit loss provision during the year ended December 31, 2020 include global economic outlook considerations as a result of t</w:t>
      </w:r>
      <w:r>
        <w:rPr>
          <w:rFonts w:ascii="Arial" w:eastAsia="Times New Roman" w:hAnsi="Arial" w:cs="Arial"/>
          <w:color w:val="000000"/>
          <w:sz w:val="20"/>
          <w:szCs w:val="20"/>
        </w:rPr>
        <w:t>he Company’s assessment of reasonable and supportable forward-looking information including the expected overall impact of the pandemic mainly to the aviation segment.  Write-off of uncollectible receivables during the year ended December 31, 2020 resulted</w:t>
      </w:r>
      <w:r>
        <w:rPr>
          <w:rFonts w:ascii="Arial" w:eastAsia="Times New Roman" w:hAnsi="Arial" w:cs="Arial"/>
          <w:color w:val="000000"/>
          <w:sz w:val="20"/>
          <w:szCs w:val="20"/>
        </w:rPr>
        <w:t xml:space="preserve"> from negative impacts of the pandemic combined with pre-existing financial difficulties experienced by certain customers. Based on an aging analysis as of December 31, 2020, 91% of our net accounts receivable were outstanding less than 60 days.</w:t>
      </w:r>
    </w:p>
    <w:p w14:paraId="148FD933" w14:textId="77777777" w:rsidR="00000000" w:rsidRDefault="00C01C43">
      <w:pPr>
        <w:jc w:val="both"/>
        <w:divId w:val="1153333794"/>
        <w:rPr>
          <w:rFonts w:eastAsia="Times New Roman"/>
        </w:rPr>
      </w:pPr>
      <w:r>
        <w:rPr>
          <w:rFonts w:ascii="Arial" w:eastAsia="Times New Roman" w:hAnsi="Arial" w:cs="Arial"/>
          <w:color w:val="000000"/>
          <w:sz w:val="20"/>
          <w:szCs w:val="20"/>
        </w:rPr>
        <w:t>The follow</w:t>
      </w:r>
      <w:r>
        <w:rPr>
          <w:rFonts w:ascii="Arial" w:eastAsia="Times New Roman" w:hAnsi="Arial" w:cs="Arial"/>
          <w:color w:val="000000"/>
          <w:sz w:val="20"/>
          <w:szCs w:val="20"/>
        </w:rPr>
        <w:t>ing table sets forth activities in our allowance for credit losses (in millions):</w:t>
      </w:r>
    </w:p>
    <w:tbl>
      <w:tblPr>
        <w:tblW w:w="4978" w:type="pct"/>
        <w:tblCellMar>
          <w:top w:w="15" w:type="dxa"/>
          <w:left w:w="15" w:type="dxa"/>
          <w:bottom w:w="15" w:type="dxa"/>
          <w:right w:w="15" w:type="dxa"/>
        </w:tblCellMar>
        <w:tblLook w:val="04A0" w:firstRow="1" w:lastRow="0" w:firstColumn="1" w:lastColumn="0" w:noHBand="0" w:noVBand="1"/>
      </w:tblPr>
      <w:tblGrid>
        <w:gridCol w:w="38"/>
        <w:gridCol w:w="5693"/>
        <w:gridCol w:w="37"/>
        <w:gridCol w:w="132"/>
        <w:gridCol w:w="595"/>
        <w:gridCol w:w="36"/>
        <w:gridCol w:w="36"/>
        <w:gridCol w:w="36"/>
        <w:gridCol w:w="36"/>
        <w:gridCol w:w="132"/>
        <w:gridCol w:w="635"/>
        <w:gridCol w:w="36"/>
        <w:gridCol w:w="36"/>
        <w:gridCol w:w="36"/>
        <w:gridCol w:w="36"/>
        <w:gridCol w:w="132"/>
        <w:gridCol w:w="551"/>
        <w:gridCol w:w="36"/>
      </w:tblGrid>
      <w:tr w:rsidR="00000000" w14:paraId="6857A4E2" w14:textId="77777777">
        <w:trPr>
          <w:divId w:val="1755323669"/>
        </w:trPr>
        <w:tc>
          <w:tcPr>
            <w:tcW w:w="50" w:type="pct"/>
            <w:vAlign w:val="center"/>
            <w:hideMark/>
          </w:tcPr>
          <w:p w14:paraId="6D8C33BF" w14:textId="77777777" w:rsidR="00000000" w:rsidRDefault="00C01C43">
            <w:pPr>
              <w:jc w:val="both"/>
              <w:rPr>
                <w:rFonts w:eastAsia="Times New Roman"/>
              </w:rPr>
            </w:pPr>
          </w:p>
        </w:tc>
        <w:tc>
          <w:tcPr>
            <w:tcW w:w="3476" w:type="pct"/>
            <w:vAlign w:val="center"/>
            <w:hideMark/>
          </w:tcPr>
          <w:p w14:paraId="36AA0566" w14:textId="77777777" w:rsidR="00000000" w:rsidRDefault="00C01C43">
            <w:pPr>
              <w:rPr>
                <w:rFonts w:eastAsia="Times New Roman"/>
                <w:sz w:val="20"/>
                <w:szCs w:val="20"/>
              </w:rPr>
            </w:pPr>
          </w:p>
        </w:tc>
        <w:tc>
          <w:tcPr>
            <w:tcW w:w="5" w:type="pct"/>
            <w:vAlign w:val="center"/>
            <w:hideMark/>
          </w:tcPr>
          <w:p w14:paraId="339DD9D2" w14:textId="77777777" w:rsidR="00000000" w:rsidRDefault="00C01C43">
            <w:pPr>
              <w:rPr>
                <w:rFonts w:eastAsia="Times New Roman"/>
                <w:sz w:val="20"/>
                <w:szCs w:val="20"/>
              </w:rPr>
            </w:pPr>
          </w:p>
        </w:tc>
        <w:tc>
          <w:tcPr>
            <w:tcW w:w="50" w:type="pct"/>
            <w:vAlign w:val="center"/>
            <w:hideMark/>
          </w:tcPr>
          <w:p w14:paraId="49BA16DE" w14:textId="77777777" w:rsidR="00000000" w:rsidRDefault="00C01C43">
            <w:pPr>
              <w:rPr>
                <w:rFonts w:eastAsia="Times New Roman"/>
                <w:sz w:val="20"/>
                <w:szCs w:val="20"/>
              </w:rPr>
            </w:pPr>
          </w:p>
        </w:tc>
        <w:tc>
          <w:tcPr>
            <w:tcW w:w="392" w:type="pct"/>
            <w:vAlign w:val="center"/>
            <w:hideMark/>
          </w:tcPr>
          <w:p w14:paraId="030C2ABA" w14:textId="77777777" w:rsidR="00000000" w:rsidRDefault="00C01C43">
            <w:pPr>
              <w:rPr>
                <w:rFonts w:eastAsia="Times New Roman"/>
                <w:sz w:val="20"/>
                <w:szCs w:val="20"/>
              </w:rPr>
            </w:pPr>
          </w:p>
        </w:tc>
        <w:tc>
          <w:tcPr>
            <w:tcW w:w="5" w:type="pct"/>
            <w:vAlign w:val="center"/>
            <w:hideMark/>
          </w:tcPr>
          <w:p w14:paraId="04CFE084" w14:textId="77777777" w:rsidR="00000000" w:rsidRDefault="00C01C43">
            <w:pPr>
              <w:rPr>
                <w:rFonts w:eastAsia="Times New Roman"/>
                <w:sz w:val="20"/>
                <w:szCs w:val="20"/>
              </w:rPr>
            </w:pPr>
          </w:p>
        </w:tc>
        <w:tc>
          <w:tcPr>
            <w:tcW w:w="5" w:type="pct"/>
            <w:vAlign w:val="center"/>
            <w:hideMark/>
          </w:tcPr>
          <w:p w14:paraId="35E4CB3F" w14:textId="77777777" w:rsidR="00000000" w:rsidRDefault="00C01C43">
            <w:pPr>
              <w:rPr>
                <w:rFonts w:eastAsia="Times New Roman"/>
                <w:sz w:val="20"/>
                <w:szCs w:val="20"/>
              </w:rPr>
            </w:pPr>
          </w:p>
        </w:tc>
        <w:tc>
          <w:tcPr>
            <w:tcW w:w="26" w:type="pct"/>
            <w:vAlign w:val="center"/>
            <w:hideMark/>
          </w:tcPr>
          <w:p w14:paraId="25560F90" w14:textId="77777777" w:rsidR="00000000" w:rsidRDefault="00C01C43">
            <w:pPr>
              <w:rPr>
                <w:rFonts w:eastAsia="Times New Roman"/>
                <w:sz w:val="20"/>
                <w:szCs w:val="20"/>
              </w:rPr>
            </w:pPr>
          </w:p>
        </w:tc>
        <w:tc>
          <w:tcPr>
            <w:tcW w:w="5" w:type="pct"/>
            <w:vAlign w:val="center"/>
            <w:hideMark/>
          </w:tcPr>
          <w:p w14:paraId="719FD024" w14:textId="77777777" w:rsidR="00000000" w:rsidRDefault="00C01C43">
            <w:pPr>
              <w:rPr>
                <w:rFonts w:eastAsia="Times New Roman"/>
                <w:sz w:val="20"/>
                <w:szCs w:val="20"/>
              </w:rPr>
            </w:pPr>
          </w:p>
        </w:tc>
        <w:tc>
          <w:tcPr>
            <w:tcW w:w="50" w:type="pct"/>
            <w:vAlign w:val="center"/>
            <w:hideMark/>
          </w:tcPr>
          <w:p w14:paraId="1B00E433" w14:textId="77777777" w:rsidR="00000000" w:rsidRDefault="00C01C43">
            <w:pPr>
              <w:rPr>
                <w:rFonts w:eastAsia="Times New Roman"/>
                <w:sz w:val="20"/>
                <w:szCs w:val="20"/>
              </w:rPr>
            </w:pPr>
          </w:p>
        </w:tc>
        <w:tc>
          <w:tcPr>
            <w:tcW w:w="444" w:type="pct"/>
            <w:vAlign w:val="center"/>
            <w:hideMark/>
          </w:tcPr>
          <w:p w14:paraId="0C3F3A65" w14:textId="77777777" w:rsidR="00000000" w:rsidRDefault="00C01C43">
            <w:pPr>
              <w:rPr>
                <w:rFonts w:eastAsia="Times New Roman"/>
                <w:sz w:val="20"/>
                <w:szCs w:val="20"/>
              </w:rPr>
            </w:pPr>
          </w:p>
        </w:tc>
        <w:tc>
          <w:tcPr>
            <w:tcW w:w="5" w:type="pct"/>
            <w:vAlign w:val="center"/>
            <w:hideMark/>
          </w:tcPr>
          <w:p w14:paraId="70AFDB34" w14:textId="77777777" w:rsidR="00000000" w:rsidRDefault="00C01C43">
            <w:pPr>
              <w:rPr>
                <w:rFonts w:eastAsia="Times New Roman"/>
                <w:sz w:val="20"/>
                <w:szCs w:val="20"/>
              </w:rPr>
            </w:pPr>
          </w:p>
        </w:tc>
        <w:tc>
          <w:tcPr>
            <w:tcW w:w="5" w:type="pct"/>
            <w:vAlign w:val="center"/>
            <w:hideMark/>
          </w:tcPr>
          <w:p w14:paraId="257941AB" w14:textId="77777777" w:rsidR="00000000" w:rsidRDefault="00C01C43">
            <w:pPr>
              <w:rPr>
                <w:rFonts w:eastAsia="Times New Roman"/>
                <w:sz w:val="20"/>
                <w:szCs w:val="20"/>
              </w:rPr>
            </w:pPr>
          </w:p>
        </w:tc>
        <w:tc>
          <w:tcPr>
            <w:tcW w:w="26" w:type="pct"/>
            <w:vAlign w:val="center"/>
            <w:hideMark/>
          </w:tcPr>
          <w:p w14:paraId="37D906A0" w14:textId="77777777" w:rsidR="00000000" w:rsidRDefault="00C01C43">
            <w:pPr>
              <w:rPr>
                <w:rFonts w:eastAsia="Times New Roman"/>
                <w:sz w:val="20"/>
                <w:szCs w:val="20"/>
              </w:rPr>
            </w:pPr>
          </w:p>
        </w:tc>
        <w:tc>
          <w:tcPr>
            <w:tcW w:w="5" w:type="pct"/>
            <w:vAlign w:val="center"/>
            <w:hideMark/>
          </w:tcPr>
          <w:p w14:paraId="1BE0093C" w14:textId="77777777" w:rsidR="00000000" w:rsidRDefault="00C01C43">
            <w:pPr>
              <w:rPr>
                <w:rFonts w:eastAsia="Times New Roman"/>
                <w:sz w:val="20"/>
                <w:szCs w:val="20"/>
              </w:rPr>
            </w:pPr>
          </w:p>
        </w:tc>
        <w:tc>
          <w:tcPr>
            <w:tcW w:w="50" w:type="pct"/>
            <w:vAlign w:val="center"/>
            <w:hideMark/>
          </w:tcPr>
          <w:p w14:paraId="7CCF05DB" w14:textId="77777777" w:rsidR="00000000" w:rsidRDefault="00C01C43">
            <w:pPr>
              <w:rPr>
                <w:rFonts w:eastAsia="Times New Roman"/>
                <w:sz w:val="20"/>
                <w:szCs w:val="20"/>
              </w:rPr>
            </w:pPr>
          </w:p>
        </w:tc>
        <w:tc>
          <w:tcPr>
            <w:tcW w:w="392" w:type="pct"/>
            <w:vAlign w:val="center"/>
            <w:hideMark/>
          </w:tcPr>
          <w:p w14:paraId="2D209234" w14:textId="77777777" w:rsidR="00000000" w:rsidRDefault="00C01C43">
            <w:pPr>
              <w:rPr>
                <w:rFonts w:eastAsia="Times New Roman"/>
                <w:sz w:val="20"/>
                <w:szCs w:val="20"/>
              </w:rPr>
            </w:pPr>
          </w:p>
        </w:tc>
        <w:tc>
          <w:tcPr>
            <w:tcW w:w="5" w:type="pct"/>
            <w:vAlign w:val="center"/>
            <w:hideMark/>
          </w:tcPr>
          <w:p w14:paraId="5595A13E" w14:textId="77777777" w:rsidR="00000000" w:rsidRDefault="00C01C43">
            <w:pPr>
              <w:rPr>
                <w:rFonts w:eastAsia="Times New Roman"/>
                <w:sz w:val="20"/>
                <w:szCs w:val="20"/>
              </w:rPr>
            </w:pPr>
          </w:p>
        </w:tc>
      </w:tr>
      <w:tr w:rsidR="00000000" w14:paraId="4F4CDC6C" w14:textId="77777777">
        <w:trPr>
          <w:divId w:val="1755323669"/>
        </w:trPr>
        <w:tc>
          <w:tcPr>
            <w:tcW w:w="0" w:type="auto"/>
            <w:gridSpan w:val="3"/>
            <w:tcMar>
              <w:top w:w="0" w:type="dxa"/>
              <w:left w:w="20" w:type="dxa"/>
              <w:bottom w:w="0" w:type="dxa"/>
              <w:right w:w="20" w:type="dxa"/>
            </w:tcMar>
            <w:vAlign w:val="center"/>
            <w:hideMark/>
          </w:tcPr>
          <w:p w14:paraId="055D5862"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691458C1"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4C9DC3F2"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5B7300F7"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65F8ECB4"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199DA197"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644CF971" w14:textId="77777777">
        <w:trPr>
          <w:divId w:val="175532366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2B0E869" w14:textId="77777777" w:rsidR="00000000" w:rsidRDefault="00C01C43">
            <w:pPr>
              <w:rPr>
                <w:rFonts w:eastAsia="Times New Roman"/>
              </w:rPr>
            </w:pPr>
            <w:r>
              <w:rPr>
                <w:rFonts w:ascii="Arial" w:eastAsia="Times New Roman" w:hAnsi="Arial" w:cs="Arial"/>
                <w:color w:val="000000"/>
                <w:sz w:val="20"/>
                <w:szCs w:val="20"/>
              </w:rPr>
              <w:t>Balance as of beginning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D0E16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651845" w14:textId="77777777" w:rsidR="00000000" w:rsidRDefault="00C01C43">
            <w:pPr>
              <w:jc w:val="right"/>
              <w:rPr>
                <w:rFonts w:eastAsia="Times New Roman"/>
              </w:rPr>
            </w:pPr>
            <w:r>
              <w:rPr>
                <w:rFonts w:ascii="Arial" w:eastAsia="Times New Roman" w:hAnsi="Arial" w:cs="Arial"/>
                <w:color w:val="000000"/>
                <w:sz w:val="20"/>
                <w:szCs w:val="20"/>
              </w:rPr>
              <w:t>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60EAB4"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18DAD9"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90A06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668D00" w14:textId="77777777" w:rsidR="00000000" w:rsidRDefault="00C01C43">
            <w:pPr>
              <w:jc w:val="right"/>
              <w:rPr>
                <w:rFonts w:eastAsia="Times New Roman"/>
              </w:rPr>
            </w:pPr>
            <w:r>
              <w:rPr>
                <w:rFonts w:ascii="Arial" w:eastAsia="Times New Roman" w:hAnsi="Arial" w:cs="Arial"/>
                <w:color w:val="000000"/>
                <w:sz w:val="20"/>
                <w:szCs w:val="20"/>
              </w:rPr>
              <w:t>39.4 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3BFCF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64398B"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004A9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3B1697" w14:textId="77777777" w:rsidR="00000000" w:rsidRDefault="00C01C43">
            <w:pPr>
              <w:jc w:val="right"/>
              <w:rPr>
                <w:rFonts w:eastAsia="Times New Roman"/>
              </w:rPr>
            </w:pPr>
            <w:r>
              <w:rPr>
                <w:rFonts w:ascii="Arial" w:eastAsia="Times New Roman" w:hAnsi="Arial" w:cs="Arial"/>
                <w:color w:val="000000"/>
                <w:sz w:val="20"/>
                <w:szCs w:val="20"/>
              </w:rPr>
              <w:t>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DE897B" w14:textId="77777777" w:rsidR="00000000" w:rsidRDefault="00C01C43">
            <w:pPr>
              <w:jc w:val="right"/>
              <w:rPr>
                <w:rFonts w:eastAsia="Times New Roman"/>
              </w:rPr>
            </w:pPr>
          </w:p>
        </w:tc>
      </w:tr>
      <w:tr w:rsidR="00000000" w14:paraId="36F28813" w14:textId="77777777">
        <w:trPr>
          <w:divId w:val="1755323669"/>
        </w:trPr>
        <w:tc>
          <w:tcPr>
            <w:tcW w:w="0" w:type="auto"/>
            <w:gridSpan w:val="3"/>
            <w:shd w:val="clear" w:color="auto" w:fill="FFFFFF"/>
            <w:tcMar>
              <w:top w:w="30" w:type="dxa"/>
              <w:left w:w="20" w:type="dxa"/>
              <w:bottom w:w="30" w:type="dxa"/>
              <w:right w:w="20" w:type="dxa"/>
            </w:tcMar>
            <w:vAlign w:val="bottom"/>
            <w:hideMark/>
          </w:tcPr>
          <w:p w14:paraId="780A4202" w14:textId="77777777" w:rsidR="00000000" w:rsidRDefault="00C01C43">
            <w:pPr>
              <w:rPr>
                <w:rFonts w:eastAsia="Times New Roman"/>
              </w:rPr>
            </w:pPr>
            <w:r>
              <w:rPr>
                <w:rFonts w:ascii="Arial" w:eastAsia="Times New Roman" w:hAnsi="Arial" w:cs="Arial"/>
                <w:color w:val="000000"/>
                <w:sz w:val="20"/>
                <w:szCs w:val="20"/>
              </w:rPr>
              <w:t>Charges to provision for credit losses</w:t>
            </w:r>
          </w:p>
        </w:tc>
        <w:tc>
          <w:tcPr>
            <w:tcW w:w="0" w:type="auto"/>
            <w:gridSpan w:val="2"/>
            <w:shd w:val="clear" w:color="auto" w:fill="FFFFFF"/>
            <w:tcMar>
              <w:top w:w="30" w:type="dxa"/>
              <w:left w:w="20" w:type="dxa"/>
              <w:bottom w:w="30" w:type="dxa"/>
              <w:right w:w="0" w:type="dxa"/>
            </w:tcMar>
            <w:vAlign w:val="bottom"/>
            <w:hideMark/>
          </w:tcPr>
          <w:p w14:paraId="3C933E63" w14:textId="77777777" w:rsidR="00000000" w:rsidRDefault="00C01C43">
            <w:pPr>
              <w:jc w:val="right"/>
              <w:rPr>
                <w:rFonts w:eastAsia="Times New Roman"/>
              </w:rPr>
            </w:pPr>
            <w:r>
              <w:rPr>
                <w:rFonts w:ascii="Arial" w:eastAsia="Times New Roman" w:hAnsi="Arial" w:cs="Arial"/>
                <w:color w:val="000000"/>
                <w:sz w:val="20"/>
                <w:szCs w:val="20"/>
              </w:rPr>
              <w:t>63.7 </w:t>
            </w:r>
          </w:p>
        </w:tc>
        <w:tc>
          <w:tcPr>
            <w:tcW w:w="0" w:type="auto"/>
            <w:shd w:val="clear" w:color="auto" w:fill="FFFFFF"/>
            <w:tcMar>
              <w:top w:w="30" w:type="dxa"/>
              <w:left w:w="0" w:type="dxa"/>
              <w:bottom w:w="30" w:type="dxa"/>
              <w:right w:w="20" w:type="dxa"/>
            </w:tcMar>
            <w:vAlign w:val="bottom"/>
            <w:hideMark/>
          </w:tcPr>
          <w:p w14:paraId="77CD38F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EAC1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EC4107" w14:textId="77777777" w:rsidR="00000000" w:rsidRDefault="00C01C43">
            <w:pPr>
              <w:jc w:val="right"/>
              <w:rPr>
                <w:rFonts w:eastAsia="Times New Roman"/>
              </w:rPr>
            </w:pPr>
            <w:r>
              <w:rPr>
                <w:rFonts w:ascii="Arial" w:eastAsia="Times New Roman" w:hAnsi="Arial" w:cs="Arial"/>
                <w:color w:val="000000"/>
                <w:sz w:val="20"/>
                <w:szCs w:val="20"/>
              </w:rPr>
              <w:t>25.9 </w:t>
            </w:r>
          </w:p>
        </w:tc>
        <w:tc>
          <w:tcPr>
            <w:tcW w:w="0" w:type="auto"/>
            <w:shd w:val="clear" w:color="auto" w:fill="FFFFFF"/>
            <w:tcMar>
              <w:top w:w="30" w:type="dxa"/>
              <w:left w:w="0" w:type="dxa"/>
              <w:bottom w:w="30" w:type="dxa"/>
              <w:right w:w="20" w:type="dxa"/>
            </w:tcMar>
            <w:vAlign w:val="bottom"/>
            <w:hideMark/>
          </w:tcPr>
          <w:p w14:paraId="0A87612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A6736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A506C9" w14:textId="77777777" w:rsidR="00000000" w:rsidRDefault="00C01C43">
            <w:pPr>
              <w:jc w:val="right"/>
              <w:rPr>
                <w:rFonts w:eastAsia="Times New Roman"/>
              </w:rPr>
            </w:pPr>
            <w:r>
              <w:rPr>
                <w:rFonts w:ascii="Arial" w:eastAsia="Times New Roman" w:hAnsi="Arial" w:cs="Arial"/>
                <w:color w:val="000000"/>
                <w:sz w:val="20"/>
                <w:szCs w:val="20"/>
              </w:rPr>
              <w:t>25.1 </w:t>
            </w:r>
          </w:p>
        </w:tc>
        <w:tc>
          <w:tcPr>
            <w:tcW w:w="0" w:type="auto"/>
            <w:shd w:val="clear" w:color="auto" w:fill="FFFFFF"/>
            <w:tcMar>
              <w:top w:w="30" w:type="dxa"/>
              <w:left w:w="0" w:type="dxa"/>
              <w:bottom w:w="30" w:type="dxa"/>
              <w:right w:w="20" w:type="dxa"/>
            </w:tcMar>
            <w:vAlign w:val="bottom"/>
            <w:hideMark/>
          </w:tcPr>
          <w:p w14:paraId="68022FD9" w14:textId="77777777" w:rsidR="00000000" w:rsidRDefault="00C01C43">
            <w:pPr>
              <w:jc w:val="right"/>
              <w:rPr>
                <w:rFonts w:eastAsia="Times New Roman"/>
              </w:rPr>
            </w:pPr>
          </w:p>
        </w:tc>
      </w:tr>
      <w:tr w:rsidR="00000000" w14:paraId="0D2EFDA7" w14:textId="77777777">
        <w:trPr>
          <w:divId w:val="1755323669"/>
        </w:trPr>
        <w:tc>
          <w:tcPr>
            <w:tcW w:w="0" w:type="auto"/>
            <w:gridSpan w:val="3"/>
            <w:shd w:val="clear" w:color="auto" w:fill="CCEEFF"/>
            <w:tcMar>
              <w:top w:w="30" w:type="dxa"/>
              <w:left w:w="20" w:type="dxa"/>
              <w:bottom w:w="30" w:type="dxa"/>
              <w:right w:w="20" w:type="dxa"/>
            </w:tcMar>
            <w:vAlign w:val="bottom"/>
            <w:hideMark/>
          </w:tcPr>
          <w:p w14:paraId="115B1E7E" w14:textId="77777777" w:rsidR="00000000" w:rsidRDefault="00C01C43">
            <w:pPr>
              <w:rPr>
                <w:rFonts w:eastAsia="Times New Roman"/>
              </w:rPr>
            </w:pPr>
            <w:r>
              <w:rPr>
                <w:rFonts w:ascii="Arial" w:eastAsia="Times New Roman" w:hAnsi="Arial" w:cs="Arial"/>
                <w:color w:val="000000"/>
                <w:sz w:val="20"/>
                <w:szCs w:val="20"/>
              </w:rPr>
              <w:t>Write-off of uncollectible receivables</w:t>
            </w:r>
          </w:p>
        </w:tc>
        <w:tc>
          <w:tcPr>
            <w:tcW w:w="0" w:type="auto"/>
            <w:gridSpan w:val="2"/>
            <w:shd w:val="clear" w:color="auto" w:fill="CCEEFF"/>
            <w:tcMar>
              <w:top w:w="30" w:type="dxa"/>
              <w:left w:w="20" w:type="dxa"/>
              <w:bottom w:w="30" w:type="dxa"/>
              <w:right w:w="0" w:type="dxa"/>
            </w:tcMar>
            <w:vAlign w:val="bottom"/>
            <w:hideMark/>
          </w:tcPr>
          <w:p w14:paraId="6FAD763A" w14:textId="77777777" w:rsidR="00000000" w:rsidRDefault="00C01C43">
            <w:pPr>
              <w:jc w:val="right"/>
              <w:rPr>
                <w:rFonts w:eastAsia="Times New Roman"/>
              </w:rPr>
            </w:pPr>
            <w:r>
              <w:rPr>
                <w:rFonts w:ascii="Arial" w:eastAsia="Times New Roman" w:hAnsi="Arial" w:cs="Arial"/>
                <w:color w:val="000000"/>
                <w:sz w:val="20"/>
                <w:szCs w:val="20"/>
              </w:rPr>
              <w:t>(53.7)</w:t>
            </w:r>
          </w:p>
        </w:tc>
        <w:tc>
          <w:tcPr>
            <w:tcW w:w="0" w:type="auto"/>
            <w:shd w:val="clear" w:color="auto" w:fill="CCEEFF"/>
            <w:tcMar>
              <w:top w:w="30" w:type="dxa"/>
              <w:left w:w="0" w:type="dxa"/>
              <w:bottom w:w="30" w:type="dxa"/>
              <w:right w:w="20" w:type="dxa"/>
            </w:tcMar>
            <w:vAlign w:val="bottom"/>
            <w:hideMark/>
          </w:tcPr>
          <w:p w14:paraId="6C9D809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ADB8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A48636" w14:textId="77777777" w:rsidR="00000000" w:rsidRDefault="00C01C43">
            <w:pPr>
              <w:jc w:val="right"/>
              <w:rPr>
                <w:rFonts w:eastAsia="Times New Roman"/>
              </w:rPr>
            </w:pPr>
            <w:r>
              <w:rPr>
                <w:rFonts w:ascii="Arial" w:eastAsia="Times New Roman" w:hAnsi="Arial" w:cs="Arial"/>
                <w:color w:val="000000"/>
                <w:sz w:val="20"/>
                <w:szCs w:val="20"/>
              </w:rPr>
              <w:t>(32.2)</w:t>
            </w:r>
          </w:p>
        </w:tc>
        <w:tc>
          <w:tcPr>
            <w:tcW w:w="0" w:type="auto"/>
            <w:shd w:val="clear" w:color="auto" w:fill="CCEEFF"/>
            <w:tcMar>
              <w:top w:w="30" w:type="dxa"/>
              <w:left w:w="0" w:type="dxa"/>
              <w:bottom w:w="30" w:type="dxa"/>
              <w:right w:w="20" w:type="dxa"/>
            </w:tcMar>
            <w:vAlign w:val="bottom"/>
            <w:hideMark/>
          </w:tcPr>
          <w:p w14:paraId="53BD9A0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C267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ED589C" w14:textId="77777777" w:rsidR="00000000" w:rsidRDefault="00C01C43">
            <w:pPr>
              <w:jc w:val="right"/>
              <w:rPr>
                <w:rFonts w:eastAsia="Times New Roman"/>
              </w:rPr>
            </w:pPr>
            <w:r>
              <w:rPr>
                <w:rFonts w:ascii="Arial" w:eastAsia="Times New Roman" w:hAnsi="Arial" w:cs="Arial"/>
                <w:color w:val="000000"/>
                <w:sz w:val="20"/>
                <w:szCs w:val="20"/>
              </w:rPr>
              <w:t>(16.2)</w:t>
            </w:r>
          </w:p>
        </w:tc>
        <w:tc>
          <w:tcPr>
            <w:tcW w:w="0" w:type="auto"/>
            <w:shd w:val="clear" w:color="auto" w:fill="CCEEFF"/>
            <w:tcMar>
              <w:top w:w="30" w:type="dxa"/>
              <w:left w:w="0" w:type="dxa"/>
              <w:bottom w:w="30" w:type="dxa"/>
              <w:right w:w="20" w:type="dxa"/>
            </w:tcMar>
            <w:vAlign w:val="bottom"/>
            <w:hideMark/>
          </w:tcPr>
          <w:p w14:paraId="196D324A" w14:textId="77777777" w:rsidR="00000000" w:rsidRDefault="00C01C43">
            <w:pPr>
              <w:jc w:val="right"/>
              <w:rPr>
                <w:rFonts w:eastAsia="Times New Roman"/>
              </w:rPr>
            </w:pPr>
          </w:p>
        </w:tc>
      </w:tr>
      <w:tr w:rsidR="00000000" w14:paraId="2E57F555" w14:textId="77777777">
        <w:trPr>
          <w:divId w:val="1755323669"/>
        </w:trPr>
        <w:tc>
          <w:tcPr>
            <w:tcW w:w="0" w:type="auto"/>
            <w:gridSpan w:val="3"/>
            <w:shd w:val="clear" w:color="auto" w:fill="FFFFFF"/>
            <w:tcMar>
              <w:top w:w="30" w:type="dxa"/>
              <w:left w:w="20" w:type="dxa"/>
              <w:bottom w:w="30" w:type="dxa"/>
              <w:right w:w="20" w:type="dxa"/>
            </w:tcMar>
            <w:vAlign w:val="bottom"/>
            <w:hideMark/>
          </w:tcPr>
          <w:p w14:paraId="5EC5AF0E" w14:textId="77777777" w:rsidR="00000000" w:rsidRDefault="00C01C43">
            <w:pPr>
              <w:rPr>
                <w:rFonts w:eastAsia="Times New Roman"/>
              </w:rPr>
            </w:pPr>
            <w:r>
              <w:rPr>
                <w:rFonts w:ascii="Arial" w:eastAsia="Times New Roman" w:hAnsi="Arial" w:cs="Arial"/>
                <w:color w:val="000000"/>
                <w:sz w:val="20"/>
                <w:szCs w:val="20"/>
              </w:rPr>
              <w:t>Recoveries of credit losses</w:t>
            </w:r>
          </w:p>
        </w:tc>
        <w:tc>
          <w:tcPr>
            <w:tcW w:w="0" w:type="auto"/>
            <w:gridSpan w:val="2"/>
            <w:shd w:val="clear" w:color="auto" w:fill="FFFFFF"/>
            <w:tcMar>
              <w:top w:w="30" w:type="dxa"/>
              <w:left w:w="20" w:type="dxa"/>
              <w:bottom w:w="30" w:type="dxa"/>
              <w:right w:w="0" w:type="dxa"/>
            </w:tcMar>
            <w:vAlign w:val="bottom"/>
            <w:hideMark/>
          </w:tcPr>
          <w:p w14:paraId="60D99F8C" w14:textId="77777777" w:rsidR="00000000" w:rsidRDefault="00C01C43">
            <w:pPr>
              <w:jc w:val="right"/>
              <w:rPr>
                <w:rFonts w:eastAsia="Times New Roman"/>
              </w:rPr>
            </w:pPr>
            <w:r>
              <w:rPr>
                <w:rFonts w:ascii="Arial" w:eastAsia="Times New Roman" w:hAnsi="Arial" w:cs="Arial"/>
                <w:color w:val="000000"/>
                <w:sz w:val="20"/>
                <w:szCs w:val="20"/>
              </w:rPr>
              <w:t>1.0 </w:t>
            </w:r>
          </w:p>
        </w:tc>
        <w:tc>
          <w:tcPr>
            <w:tcW w:w="0" w:type="auto"/>
            <w:shd w:val="clear" w:color="auto" w:fill="FFFFFF"/>
            <w:tcMar>
              <w:top w:w="30" w:type="dxa"/>
              <w:left w:w="0" w:type="dxa"/>
              <w:bottom w:w="30" w:type="dxa"/>
              <w:right w:w="20" w:type="dxa"/>
            </w:tcMar>
            <w:vAlign w:val="bottom"/>
            <w:hideMark/>
          </w:tcPr>
          <w:p w14:paraId="17CABA8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63239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582694" w14:textId="77777777" w:rsidR="00000000" w:rsidRDefault="00C01C43">
            <w:pPr>
              <w:jc w:val="right"/>
              <w:rPr>
                <w:rFonts w:eastAsia="Times New Roman"/>
              </w:rPr>
            </w:pPr>
            <w:r>
              <w:rPr>
                <w:rFonts w:ascii="Arial" w:eastAsia="Times New Roman" w:hAnsi="Arial" w:cs="Arial"/>
                <w:color w:val="000000"/>
                <w:sz w:val="20"/>
                <w:szCs w:val="20"/>
              </w:rPr>
              <w:t>2.4 </w:t>
            </w:r>
          </w:p>
        </w:tc>
        <w:tc>
          <w:tcPr>
            <w:tcW w:w="0" w:type="auto"/>
            <w:shd w:val="clear" w:color="auto" w:fill="FFFFFF"/>
            <w:tcMar>
              <w:top w:w="30" w:type="dxa"/>
              <w:left w:w="0" w:type="dxa"/>
              <w:bottom w:w="30" w:type="dxa"/>
              <w:right w:w="20" w:type="dxa"/>
            </w:tcMar>
            <w:vAlign w:val="bottom"/>
            <w:hideMark/>
          </w:tcPr>
          <w:p w14:paraId="7DCCB86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A5F6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BB6137" w14:textId="77777777" w:rsidR="00000000" w:rsidRDefault="00C01C43">
            <w:pPr>
              <w:jc w:val="right"/>
              <w:rPr>
                <w:rFonts w:eastAsia="Times New Roman"/>
              </w:rPr>
            </w:pPr>
            <w:r>
              <w:rPr>
                <w:rFonts w:ascii="Arial" w:eastAsia="Times New Roman" w:hAnsi="Arial" w:cs="Arial"/>
                <w:color w:val="000000"/>
                <w:sz w:val="20"/>
                <w:szCs w:val="20"/>
              </w:rPr>
              <w:t>2.9 </w:t>
            </w:r>
          </w:p>
        </w:tc>
        <w:tc>
          <w:tcPr>
            <w:tcW w:w="0" w:type="auto"/>
            <w:shd w:val="clear" w:color="auto" w:fill="FFFFFF"/>
            <w:tcMar>
              <w:top w:w="30" w:type="dxa"/>
              <w:left w:w="0" w:type="dxa"/>
              <w:bottom w:w="30" w:type="dxa"/>
              <w:right w:w="20" w:type="dxa"/>
            </w:tcMar>
            <w:vAlign w:val="bottom"/>
            <w:hideMark/>
          </w:tcPr>
          <w:p w14:paraId="1E8D508D" w14:textId="77777777" w:rsidR="00000000" w:rsidRDefault="00C01C43">
            <w:pPr>
              <w:jc w:val="right"/>
              <w:rPr>
                <w:rFonts w:eastAsia="Times New Roman"/>
              </w:rPr>
            </w:pPr>
          </w:p>
        </w:tc>
      </w:tr>
      <w:tr w:rsidR="00000000" w14:paraId="55A4DD8A" w14:textId="77777777">
        <w:trPr>
          <w:divId w:val="1755323669"/>
        </w:trPr>
        <w:tc>
          <w:tcPr>
            <w:tcW w:w="0" w:type="auto"/>
            <w:gridSpan w:val="3"/>
            <w:shd w:val="clear" w:color="auto" w:fill="CCEEFF"/>
            <w:tcMar>
              <w:top w:w="30" w:type="dxa"/>
              <w:left w:w="20" w:type="dxa"/>
              <w:bottom w:w="30" w:type="dxa"/>
              <w:right w:w="20" w:type="dxa"/>
            </w:tcMar>
            <w:vAlign w:val="bottom"/>
            <w:hideMark/>
          </w:tcPr>
          <w:p w14:paraId="7F6B9BFC" w14:textId="77777777" w:rsidR="00000000" w:rsidRDefault="00C01C43">
            <w:pPr>
              <w:rPr>
                <w:rFonts w:eastAsia="Times New Roman"/>
              </w:rPr>
            </w:pPr>
            <w:r>
              <w:rPr>
                <w:rFonts w:ascii="Arial" w:eastAsia="Times New Roman" w:hAnsi="Arial" w:cs="Arial"/>
                <w:color w:val="000000"/>
                <w:sz w:val="20"/>
                <w:szCs w:val="20"/>
              </w:rPr>
              <w:t>Translation adjustments</w:t>
            </w:r>
          </w:p>
        </w:tc>
        <w:tc>
          <w:tcPr>
            <w:tcW w:w="0" w:type="auto"/>
            <w:gridSpan w:val="2"/>
            <w:shd w:val="clear" w:color="auto" w:fill="CCEEFF"/>
            <w:tcMar>
              <w:top w:w="30" w:type="dxa"/>
              <w:left w:w="20" w:type="dxa"/>
              <w:bottom w:w="30" w:type="dxa"/>
              <w:right w:w="0" w:type="dxa"/>
            </w:tcMar>
            <w:vAlign w:val="bottom"/>
            <w:hideMark/>
          </w:tcPr>
          <w:p w14:paraId="5E4C1824" w14:textId="77777777" w:rsidR="00000000" w:rsidRDefault="00C01C43">
            <w:pPr>
              <w:jc w:val="right"/>
              <w:rPr>
                <w:rFonts w:eastAsia="Times New Roman"/>
              </w:rPr>
            </w:pPr>
            <w:r>
              <w:rPr>
                <w:rFonts w:ascii="Arial" w:eastAsia="Times New Roman" w:hAnsi="Arial" w:cs="Arial"/>
                <w:color w:val="000000"/>
                <w:sz w:val="20"/>
                <w:szCs w:val="20"/>
              </w:rPr>
              <w:t>(0.3)</w:t>
            </w:r>
          </w:p>
        </w:tc>
        <w:tc>
          <w:tcPr>
            <w:tcW w:w="0" w:type="auto"/>
            <w:shd w:val="clear" w:color="auto" w:fill="CCEEFF"/>
            <w:tcMar>
              <w:top w:w="30" w:type="dxa"/>
              <w:left w:w="0" w:type="dxa"/>
              <w:bottom w:w="30" w:type="dxa"/>
              <w:right w:w="20" w:type="dxa"/>
            </w:tcMar>
            <w:vAlign w:val="bottom"/>
            <w:hideMark/>
          </w:tcPr>
          <w:p w14:paraId="2847183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77AD9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4C91D6"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5083C03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71F96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792B06" w14:textId="77777777" w:rsidR="00000000" w:rsidRDefault="00C01C43">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14:paraId="477459C6" w14:textId="77777777" w:rsidR="00000000" w:rsidRDefault="00C01C43">
            <w:pPr>
              <w:jc w:val="right"/>
              <w:rPr>
                <w:rFonts w:eastAsia="Times New Roman"/>
              </w:rPr>
            </w:pPr>
          </w:p>
        </w:tc>
      </w:tr>
      <w:tr w:rsidR="00000000" w14:paraId="71F20CD9" w14:textId="77777777">
        <w:trPr>
          <w:divId w:val="1755323669"/>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30D3E474" w14:textId="77777777" w:rsidR="00000000" w:rsidRDefault="00C01C43">
            <w:pPr>
              <w:rPr>
                <w:rFonts w:eastAsia="Times New Roman"/>
              </w:rPr>
            </w:pPr>
            <w:r>
              <w:rPr>
                <w:rFonts w:ascii="Arial" w:eastAsia="Times New Roman" w:hAnsi="Arial" w:cs="Arial"/>
                <w:color w:val="000000"/>
                <w:sz w:val="20"/>
                <w:szCs w:val="20"/>
              </w:rPr>
              <w:t>Balance as of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F0108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B600F3" w14:textId="77777777" w:rsidR="00000000" w:rsidRDefault="00C01C43">
            <w:pPr>
              <w:jc w:val="right"/>
              <w:rPr>
                <w:rFonts w:eastAsia="Times New Roman"/>
              </w:rPr>
            </w:pPr>
            <w:r>
              <w:rPr>
                <w:rFonts w:ascii="Arial" w:eastAsia="Times New Roman" w:hAnsi="Arial" w:cs="Arial"/>
                <w:color w:val="000000"/>
                <w:sz w:val="20"/>
                <w:szCs w:val="20"/>
              </w:rPr>
              <w:t>57.3 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4F4D30"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550D4EB"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053B3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BCE8B9" w14:textId="77777777" w:rsidR="00000000" w:rsidRDefault="00C01C43">
            <w:pPr>
              <w:jc w:val="right"/>
              <w:rPr>
                <w:rFonts w:eastAsia="Times New Roman"/>
              </w:rPr>
            </w:pPr>
            <w:r>
              <w:rPr>
                <w:rFonts w:ascii="Arial" w:eastAsia="Times New Roman" w:hAnsi="Arial" w:cs="Arial"/>
                <w:color w:val="000000"/>
                <w:sz w:val="20"/>
                <w:szCs w:val="20"/>
              </w:rPr>
              <w:t>35.5 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38C8D6"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77DAC75"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4DE1D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5DEC190" w14:textId="77777777" w:rsidR="00000000" w:rsidRDefault="00C01C43">
            <w:pPr>
              <w:jc w:val="right"/>
              <w:rPr>
                <w:rFonts w:eastAsia="Times New Roman"/>
              </w:rPr>
            </w:pPr>
            <w:r>
              <w:rPr>
                <w:rFonts w:ascii="Arial" w:eastAsia="Times New Roman" w:hAnsi="Arial" w:cs="Arial"/>
                <w:color w:val="000000"/>
                <w:sz w:val="20"/>
                <w:szCs w:val="20"/>
              </w:rPr>
              <w:t>39.4 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B488D4" w14:textId="77777777" w:rsidR="00000000" w:rsidRDefault="00C01C43">
            <w:pPr>
              <w:jc w:val="right"/>
              <w:rPr>
                <w:rFonts w:eastAsia="Times New Roman"/>
              </w:rPr>
            </w:pPr>
          </w:p>
        </w:tc>
      </w:tr>
    </w:tbl>
    <w:p w14:paraId="6DE3C6E2" w14:textId="77777777" w:rsidR="00000000" w:rsidRDefault="00C01C43">
      <w:pPr>
        <w:jc w:val="both"/>
        <w:rPr>
          <w:rFonts w:eastAsia="Times New Roman"/>
        </w:rPr>
      </w:pPr>
    </w:p>
    <w:p w14:paraId="5651B53A" w14:textId="77777777" w:rsidR="00000000" w:rsidRDefault="00C01C43">
      <w:pPr>
        <w:jc w:val="both"/>
        <w:rPr>
          <w:rFonts w:eastAsia="Times New Roman"/>
        </w:rPr>
      </w:pPr>
      <w:r>
        <w:rPr>
          <w:rFonts w:ascii="Arial" w:eastAsia="Times New Roman" w:hAnsi="Arial" w:cs="Arial"/>
          <w:color w:val="000000"/>
          <w:sz w:val="16"/>
          <w:szCs w:val="16"/>
        </w:rPr>
        <w:t xml:space="preserve">* For 2020, the balance as of the beginning of the period includes the $11.1 </w:t>
      </w:r>
      <w:r>
        <w:rPr>
          <w:rFonts w:ascii="Arial" w:eastAsia="Times New Roman" w:hAnsi="Arial" w:cs="Arial"/>
          <w:color w:val="000000"/>
          <w:sz w:val="16"/>
          <w:szCs w:val="16"/>
        </w:rPr>
        <w:t>million cumulative transition adjustment related to the implementation of ASU 2016-13.</w:t>
      </w:r>
    </w:p>
    <w:p w14:paraId="17A245EB" w14:textId="77777777" w:rsidR="00000000" w:rsidRDefault="00C01C43">
      <w:pPr>
        <w:jc w:val="both"/>
        <w:rPr>
          <w:rFonts w:eastAsia="Times New Roman"/>
        </w:rPr>
      </w:pPr>
    </w:p>
    <w:p w14:paraId="476105AA" w14:textId="77777777" w:rsidR="00000000" w:rsidRDefault="00C01C43">
      <w:pPr>
        <w:jc w:val="both"/>
        <w:rPr>
          <w:rFonts w:eastAsia="Times New Roman"/>
        </w:rPr>
      </w:pPr>
      <w:r>
        <w:rPr>
          <w:rFonts w:ascii="Arial" w:eastAsia="Times New Roman" w:hAnsi="Arial" w:cs="Arial"/>
          <w:b/>
          <w:bCs/>
          <w:color w:val="000000"/>
          <w:sz w:val="20"/>
          <w:szCs w:val="20"/>
        </w:rPr>
        <w:t>Trade Accounts Receivable Sale Programs</w:t>
      </w:r>
    </w:p>
    <w:p w14:paraId="7023148F" w14:textId="77777777" w:rsidR="00000000" w:rsidRDefault="00C01C43">
      <w:pPr>
        <w:jc w:val="both"/>
        <w:rPr>
          <w:rFonts w:eastAsia="Times New Roman"/>
        </w:rPr>
      </w:pPr>
      <w:r>
        <w:rPr>
          <w:rFonts w:ascii="Arial" w:eastAsia="Times New Roman" w:hAnsi="Arial" w:cs="Arial"/>
          <w:color w:val="000000"/>
          <w:sz w:val="20"/>
          <w:szCs w:val="20"/>
        </w:rPr>
        <w:t>We have accounts receivable financing programs under receivables purchase agreements (“RPAs”) with Wells Fargo Bank, N.A. and C</w:t>
      </w:r>
      <w:r>
        <w:rPr>
          <w:rFonts w:ascii="Arial" w:eastAsia="Times New Roman" w:hAnsi="Arial" w:cs="Arial"/>
          <w:color w:val="000000"/>
          <w:sz w:val="20"/>
          <w:szCs w:val="20"/>
        </w:rPr>
        <w:t xml:space="preserve">itibank, N.A. that allow for the sale of our accounts receivable in an amount up to 100% of our outstanding qualifying accounts receivable balances and receive cash consideration equal to the total balance, less a discount margin equal to LIBOR plus 1.00% </w:t>
      </w:r>
      <w:r>
        <w:rPr>
          <w:rFonts w:ascii="Arial" w:eastAsia="Times New Roman" w:hAnsi="Arial" w:cs="Arial"/>
          <w:color w:val="000000"/>
          <w:sz w:val="20"/>
          <w:szCs w:val="20"/>
        </w:rPr>
        <w:t xml:space="preserve">to 3.25%, which varies based on the outstanding accounts receivable at any given time and assumes maximum utilization of the RPA facilities. During the third quarter of 2020, we amended our RPA with Citibank N.A. to, among other things, extend the renewal </w:t>
      </w:r>
      <w:r>
        <w:rPr>
          <w:rFonts w:ascii="Arial" w:eastAsia="Times New Roman" w:hAnsi="Arial" w:cs="Arial"/>
          <w:color w:val="000000"/>
          <w:sz w:val="20"/>
          <w:szCs w:val="20"/>
        </w:rPr>
        <w:t xml:space="preserve">option term of the RPA through 2024. Accounts receivable sold under the RPAs are accounted for as sales, in accordance with ASC Topic 860, </w:t>
      </w:r>
      <w:r>
        <w:rPr>
          <w:rFonts w:ascii="Arial" w:eastAsia="Times New Roman" w:hAnsi="Arial" w:cs="Arial"/>
          <w:i/>
          <w:iCs/>
          <w:color w:val="000000"/>
          <w:sz w:val="20"/>
          <w:szCs w:val="20"/>
        </w:rPr>
        <w:t>Transfers and Servicing</w:t>
      </w:r>
      <w:r>
        <w:rPr>
          <w:rFonts w:ascii="Arial" w:eastAsia="Times New Roman" w:hAnsi="Arial" w:cs="Arial"/>
          <w:color w:val="000000"/>
          <w:sz w:val="20"/>
          <w:szCs w:val="20"/>
        </w:rPr>
        <w:t>, and excluded from Accounts receivable, net of allowance for credit losses on the accompanyin</w:t>
      </w:r>
      <w:r>
        <w:rPr>
          <w:rFonts w:ascii="Arial" w:eastAsia="Times New Roman" w:hAnsi="Arial" w:cs="Arial"/>
          <w:color w:val="000000"/>
          <w:sz w:val="20"/>
          <w:szCs w:val="20"/>
        </w:rPr>
        <w:t>g Consolidated Balance Sheets. Fees and interest paid under the RPAs are recorded within Interest expense and other financing costs, net on the Consolidated Statements of Income and Comprehensive Income.</w:t>
      </w:r>
    </w:p>
    <w:p w14:paraId="0CD8AEEF" w14:textId="77777777" w:rsidR="00000000" w:rsidRDefault="00C01C43">
      <w:pPr>
        <w:jc w:val="both"/>
        <w:rPr>
          <w:rFonts w:eastAsia="Times New Roman"/>
        </w:rPr>
      </w:pPr>
    </w:p>
    <w:p w14:paraId="6FBBB966" w14:textId="77777777" w:rsidR="00000000" w:rsidRDefault="00C01C43">
      <w:pPr>
        <w:jc w:val="center"/>
        <w:divId w:val="1150558373"/>
        <w:rPr>
          <w:rFonts w:eastAsia="Times New Roman"/>
        </w:rPr>
      </w:pPr>
      <w:r>
        <w:rPr>
          <w:rFonts w:ascii="Arial" w:eastAsia="Times New Roman" w:hAnsi="Arial" w:cs="Arial"/>
          <w:color w:val="000000"/>
          <w:sz w:val="16"/>
          <w:szCs w:val="16"/>
        </w:rPr>
        <w:t>61</w:t>
      </w:r>
    </w:p>
    <w:p w14:paraId="0FC46F33" w14:textId="77777777" w:rsidR="00000000" w:rsidRDefault="00C01C43">
      <w:pPr>
        <w:rPr>
          <w:rFonts w:eastAsia="Times New Roman"/>
        </w:rPr>
      </w:pPr>
      <w:r>
        <w:rPr>
          <w:rFonts w:eastAsia="Times New Roman"/>
        </w:rPr>
        <w:pict w14:anchorId="2CCD213F">
          <v:rect id="_x0000_i1090" style="width:0;height:1.5pt" o:hralign="center" o:hrstd="t" o:hr="t" fillcolor="#a0a0a0" stroked="f"/>
        </w:pict>
      </w:r>
    </w:p>
    <w:p w14:paraId="7DEAB5CA" w14:textId="77777777" w:rsidR="00000000" w:rsidRDefault="00C01C43">
      <w:pPr>
        <w:divId w:val="1297562886"/>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304D046A" w14:textId="77777777" w:rsidR="00000000" w:rsidRDefault="00C01C43">
      <w:pPr>
        <w:jc w:val="both"/>
        <w:rPr>
          <w:rFonts w:eastAsia="Times New Roman"/>
        </w:rPr>
      </w:pPr>
      <w:r>
        <w:rPr>
          <w:rFonts w:ascii="Arial" w:eastAsia="Times New Roman" w:hAnsi="Arial" w:cs="Arial"/>
          <w:color w:val="000000"/>
          <w:sz w:val="20"/>
          <w:szCs w:val="20"/>
        </w:rPr>
        <w:t xml:space="preserve">Under the RPAs, sold accounts receivable which remained outstanding at December 31, 2020 and 2019, were $306.9 million and $405.9 </w:t>
      </w:r>
      <w:r>
        <w:rPr>
          <w:rFonts w:ascii="Arial" w:eastAsia="Times New Roman" w:hAnsi="Arial" w:cs="Arial"/>
          <w:color w:val="000000"/>
          <w:sz w:val="20"/>
          <w:szCs w:val="20"/>
        </w:rPr>
        <w:t>million, respectively. The fees and interest paid under the RPA were $11.8 million, $25.9 million, and $19.9 million, for years ended 2020, 2019 and 2018, respectively. For the years ended December 31, 2020, 2019 and 2018, cash payments to the owners of ac</w:t>
      </w:r>
      <w:r>
        <w:rPr>
          <w:rFonts w:ascii="Arial" w:eastAsia="Times New Roman" w:hAnsi="Arial" w:cs="Arial"/>
          <w:color w:val="000000"/>
          <w:sz w:val="20"/>
          <w:szCs w:val="20"/>
        </w:rPr>
        <w:t>count receivables were $4.4 billion, $8.2 billion and $7.9 billion respectively and cash proceeds from the sale of account receivables were $4.3 billion, $8.2 billion and $7.9 billion respectively.</w:t>
      </w:r>
    </w:p>
    <w:p w14:paraId="15AF1E11" w14:textId="77777777" w:rsidR="00000000" w:rsidRDefault="00C01C43">
      <w:pPr>
        <w:jc w:val="both"/>
        <w:rPr>
          <w:rFonts w:eastAsia="Times New Roman"/>
        </w:rPr>
      </w:pPr>
    </w:p>
    <w:p w14:paraId="7A21378E" w14:textId="77777777" w:rsidR="00000000" w:rsidRDefault="00C01C43">
      <w:pPr>
        <w:jc w:val="both"/>
        <w:divId w:val="1368723128"/>
        <w:rPr>
          <w:rFonts w:eastAsia="Times New Roman"/>
        </w:rPr>
      </w:pPr>
      <w:r>
        <w:rPr>
          <w:rFonts w:ascii="Arial" w:eastAsia="Times New Roman" w:hAnsi="Arial" w:cs="Arial"/>
          <w:b/>
          <w:bCs/>
          <w:color w:val="000000"/>
          <w:sz w:val="20"/>
          <w:szCs w:val="20"/>
        </w:rPr>
        <w:t>3. Acquisitions and Divestitures</w:t>
      </w:r>
    </w:p>
    <w:p w14:paraId="675D4A6E" w14:textId="77777777" w:rsidR="00000000" w:rsidRDefault="00C01C43">
      <w:pPr>
        <w:jc w:val="both"/>
        <w:rPr>
          <w:rFonts w:eastAsia="Times New Roman"/>
        </w:rPr>
      </w:pPr>
      <w:r>
        <w:rPr>
          <w:rFonts w:ascii="Arial" w:eastAsia="Times New Roman" w:hAnsi="Arial" w:cs="Arial"/>
          <w:b/>
          <w:bCs/>
          <w:color w:val="000000"/>
          <w:sz w:val="20"/>
          <w:szCs w:val="20"/>
        </w:rPr>
        <w:t>2020 Divestitures</w:t>
      </w:r>
    </w:p>
    <w:p w14:paraId="00FD43F1" w14:textId="77777777" w:rsidR="00000000" w:rsidRDefault="00C01C43">
      <w:pPr>
        <w:jc w:val="both"/>
        <w:rPr>
          <w:rFonts w:eastAsia="Times New Roman"/>
        </w:rPr>
      </w:pPr>
      <w:r>
        <w:rPr>
          <w:rFonts w:ascii="Arial" w:eastAsia="Times New Roman" w:hAnsi="Arial" w:cs="Arial"/>
          <w:color w:val="000000"/>
          <w:sz w:val="20"/>
          <w:szCs w:val="20"/>
        </w:rPr>
        <w:t>On Se</w:t>
      </w:r>
      <w:r>
        <w:rPr>
          <w:rFonts w:ascii="Arial" w:eastAsia="Times New Roman" w:hAnsi="Arial" w:cs="Arial"/>
          <w:color w:val="000000"/>
          <w:sz w:val="20"/>
          <w:szCs w:val="20"/>
        </w:rPr>
        <w:t>ptember 30, 2020, we completed the sale of our Multi Service payment solutions business ("MSTS") pursuant to the definitive agreement signed on July 30, 2020, for gross cash proceeds at closing of $303.5 million (cash proceeds net of post-closing working c</w:t>
      </w:r>
      <w:r>
        <w:rPr>
          <w:rFonts w:ascii="Arial" w:eastAsia="Times New Roman" w:hAnsi="Arial" w:cs="Arial"/>
          <w:color w:val="000000"/>
          <w:sz w:val="20"/>
          <w:szCs w:val="20"/>
        </w:rPr>
        <w:t>apital adjustments and cash sold was $259.6 million), subject to additional deferred payment of $75.0 million of which $50.0 million will be conditioned on MSTS's achievement of certain financial targets in 2021 and 2022. The contingent consideration was m</w:t>
      </w:r>
      <w:r>
        <w:rPr>
          <w:rFonts w:ascii="Arial" w:eastAsia="Times New Roman" w:hAnsi="Arial" w:cs="Arial"/>
          <w:color w:val="000000"/>
          <w:sz w:val="20"/>
          <w:szCs w:val="20"/>
        </w:rPr>
        <w:t>easured at fair value at the day of the closing. The sale resulted in a pre-tax gain of $80.0 million, net of costs to sell, that was included in Other income (expense), net within our Consolidated Statements of Income and Comprehensive Income. The related</w:t>
      </w:r>
      <w:r>
        <w:rPr>
          <w:rFonts w:ascii="Arial" w:eastAsia="Times New Roman" w:hAnsi="Arial" w:cs="Arial"/>
          <w:color w:val="000000"/>
          <w:sz w:val="20"/>
          <w:szCs w:val="20"/>
        </w:rPr>
        <w:t xml:space="preserve"> tax expense of $12.9 million was included in Provision for income taxes within our Consolidated Statements of Income and Comprehensive Income. Prior to the sale, MSTS was a reporting unit mainly reported within the land segment. The sale did not meet the </w:t>
      </w:r>
      <w:r>
        <w:rPr>
          <w:rFonts w:ascii="Arial" w:eastAsia="Times New Roman" w:hAnsi="Arial" w:cs="Arial"/>
          <w:color w:val="000000"/>
          <w:sz w:val="20"/>
          <w:szCs w:val="20"/>
        </w:rPr>
        <w:t>criteria to be reported as a discontinued operation.</w:t>
      </w:r>
    </w:p>
    <w:p w14:paraId="0F243032" w14:textId="77777777" w:rsidR="00000000" w:rsidRDefault="00C01C43">
      <w:pPr>
        <w:jc w:val="both"/>
        <w:rPr>
          <w:rFonts w:eastAsia="Times New Roman"/>
        </w:rPr>
      </w:pPr>
    </w:p>
    <w:p w14:paraId="7A59B81E" w14:textId="77777777" w:rsidR="00000000" w:rsidRDefault="00C01C43">
      <w:pPr>
        <w:jc w:val="both"/>
        <w:rPr>
          <w:rFonts w:eastAsia="Times New Roman"/>
        </w:rPr>
      </w:pPr>
      <w:r>
        <w:rPr>
          <w:rFonts w:ascii="Arial" w:eastAsia="Times New Roman" w:hAnsi="Arial" w:cs="Arial"/>
          <w:b/>
          <w:bCs/>
          <w:color w:val="000000"/>
          <w:sz w:val="20"/>
          <w:szCs w:val="20"/>
        </w:rPr>
        <w:t>2020 Acquisitions</w:t>
      </w:r>
    </w:p>
    <w:p w14:paraId="5EF946F4" w14:textId="77777777" w:rsidR="00000000" w:rsidRDefault="00C01C43">
      <w:pPr>
        <w:jc w:val="both"/>
        <w:rPr>
          <w:rFonts w:eastAsia="Times New Roman"/>
        </w:rPr>
      </w:pPr>
      <w:r>
        <w:rPr>
          <w:rFonts w:ascii="Arial" w:eastAsia="Times New Roman" w:hAnsi="Arial" w:cs="Arial"/>
          <w:color w:val="000000"/>
          <w:sz w:val="20"/>
          <w:szCs w:val="20"/>
        </w:rPr>
        <w:t>During the second quarter of 2020, we acquired an additional interest in a software company in our aviation segment and obtained control. The transaction was accounted for as an asset</w:t>
      </w:r>
      <w:r>
        <w:rPr>
          <w:rFonts w:ascii="Arial" w:eastAsia="Times New Roman" w:hAnsi="Arial" w:cs="Arial"/>
          <w:color w:val="000000"/>
          <w:sz w:val="20"/>
          <w:szCs w:val="20"/>
        </w:rPr>
        <w:t xml:space="preserve"> acquisition and did not have a material impact on our Consolidated Financial Statements.</w:t>
      </w:r>
    </w:p>
    <w:p w14:paraId="1C23DE07" w14:textId="77777777" w:rsidR="00000000" w:rsidRDefault="00C01C43">
      <w:pPr>
        <w:jc w:val="both"/>
        <w:rPr>
          <w:rFonts w:eastAsia="Times New Roman"/>
        </w:rPr>
      </w:pPr>
    </w:p>
    <w:p w14:paraId="27096ECA" w14:textId="77777777" w:rsidR="00000000" w:rsidRDefault="00C01C43">
      <w:pPr>
        <w:jc w:val="both"/>
        <w:rPr>
          <w:rFonts w:eastAsia="Times New Roman"/>
        </w:rPr>
      </w:pPr>
      <w:r>
        <w:rPr>
          <w:rFonts w:ascii="Arial" w:eastAsia="Times New Roman" w:hAnsi="Arial" w:cs="Arial"/>
          <w:color w:val="000000"/>
          <w:sz w:val="20"/>
          <w:szCs w:val="20"/>
        </w:rPr>
        <w:t>During the first quarter of 2020, we completed the acquisition of the aviation fuel business from Universal Weather and Aviation, Inc. (“UVair fuel business”), whic</w:t>
      </w:r>
      <w:r>
        <w:rPr>
          <w:rFonts w:ascii="Arial" w:eastAsia="Times New Roman" w:hAnsi="Arial" w:cs="Arial"/>
          <w:color w:val="000000"/>
          <w:sz w:val="20"/>
          <w:szCs w:val="20"/>
        </w:rPr>
        <w:t>h serves business and general aviation customers worldwide. The acquisition was accounted for as a business combination.</w:t>
      </w:r>
    </w:p>
    <w:p w14:paraId="2FEBF05C" w14:textId="77777777" w:rsidR="00000000" w:rsidRDefault="00C01C43">
      <w:pPr>
        <w:jc w:val="both"/>
        <w:rPr>
          <w:rFonts w:eastAsia="Times New Roman"/>
        </w:rPr>
      </w:pPr>
    </w:p>
    <w:p w14:paraId="0970BD03" w14:textId="77777777" w:rsidR="00000000" w:rsidRDefault="00C01C43">
      <w:pPr>
        <w:jc w:val="both"/>
        <w:rPr>
          <w:rFonts w:eastAsia="Times New Roman"/>
        </w:rPr>
      </w:pPr>
      <w:r>
        <w:rPr>
          <w:rFonts w:ascii="Arial" w:eastAsia="Times New Roman" w:hAnsi="Arial" w:cs="Arial"/>
          <w:color w:val="000000"/>
          <w:sz w:val="20"/>
          <w:szCs w:val="20"/>
        </w:rPr>
        <w:t>The purchase price allocation was finalized in the third quarter of 2020. The following table summarizes the final aggregate consider</w:t>
      </w:r>
      <w:r>
        <w:rPr>
          <w:rFonts w:ascii="Arial" w:eastAsia="Times New Roman" w:hAnsi="Arial" w:cs="Arial"/>
          <w:color w:val="000000"/>
          <w:sz w:val="20"/>
          <w:szCs w:val="20"/>
        </w:rPr>
        <w:t>ation, updated for certain working capital items, and the final fair value of the assets acquired and liabilities assumed. The total consideration includes a deferred payment that is outstanding as of December 31, 2020.</w:t>
      </w:r>
    </w:p>
    <w:tbl>
      <w:tblPr>
        <w:tblW w:w="4985" w:type="pct"/>
        <w:tblCellMar>
          <w:top w:w="15" w:type="dxa"/>
          <w:left w:w="15" w:type="dxa"/>
          <w:bottom w:w="15" w:type="dxa"/>
          <w:right w:w="15" w:type="dxa"/>
        </w:tblCellMar>
        <w:tblLook w:val="04A0" w:firstRow="1" w:lastRow="0" w:firstColumn="1" w:lastColumn="0" w:noHBand="0" w:noVBand="1"/>
      </w:tblPr>
      <w:tblGrid>
        <w:gridCol w:w="43"/>
        <w:gridCol w:w="7217"/>
        <w:gridCol w:w="36"/>
        <w:gridCol w:w="36"/>
        <w:gridCol w:w="36"/>
        <w:gridCol w:w="36"/>
        <w:gridCol w:w="132"/>
        <w:gridCol w:w="709"/>
        <w:gridCol w:w="36"/>
      </w:tblGrid>
      <w:tr w:rsidR="00000000" w14:paraId="2EA8477F" w14:textId="77777777">
        <w:trPr>
          <w:divId w:val="1335306027"/>
        </w:trPr>
        <w:tc>
          <w:tcPr>
            <w:tcW w:w="50" w:type="pct"/>
            <w:vAlign w:val="center"/>
            <w:hideMark/>
          </w:tcPr>
          <w:p w14:paraId="450FC96C" w14:textId="77777777" w:rsidR="00000000" w:rsidRDefault="00C01C43">
            <w:pPr>
              <w:jc w:val="both"/>
              <w:rPr>
                <w:rFonts w:eastAsia="Times New Roman"/>
              </w:rPr>
            </w:pPr>
          </w:p>
        </w:tc>
        <w:tc>
          <w:tcPr>
            <w:tcW w:w="4380" w:type="pct"/>
            <w:vAlign w:val="center"/>
            <w:hideMark/>
          </w:tcPr>
          <w:p w14:paraId="09AF09F5" w14:textId="77777777" w:rsidR="00000000" w:rsidRDefault="00C01C43">
            <w:pPr>
              <w:rPr>
                <w:rFonts w:eastAsia="Times New Roman"/>
                <w:sz w:val="20"/>
                <w:szCs w:val="20"/>
              </w:rPr>
            </w:pPr>
          </w:p>
        </w:tc>
        <w:tc>
          <w:tcPr>
            <w:tcW w:w="5" w:type="pct"/>
            <w:vAlign w:val="center"/>
            <w:hideMark/>
          </w:tcPr>
          <w:p w14:paraId="1B1DA7B1" w14:textId="77777777" w:rsidR="00000000" w:rsidRDefault="00C01C43">
            <w:pPr>
              <w:rPr>
                <w:rFonts w:eastAsia="Times New Roman"/>
                <w:sz w:val="20"/>
                <w:szCs w:val="20"/>
              </w:rPr>
            </w:pPr>
          </w:p>
        </w:tc>
        <w:tc>
          <w:tcPr>
            <w:tcW w:w="5" w:type="pct"/>
            <w:vAlign w:val="center"/>
            <w:hideMark/>
          </w:tcPr>
          <w:p w14:paraId="5BB6E0CE" w14:textId="77777777" w:rsidR="00000000" w:rsidRDefault="00C01C43">
            <w:pPr>
              <w:rPr>
                <w:rFonts w:eastAsia="Times New Roman"/>
                <w:sz w:val="20"/>
                <w:szCs w:val="20"/>
              </w:rPr>
            </w:pPr>
          </w:p>
        </w:tc>
        <w:tc>
          <w:tcPr>
            <w:tcW w:w="26" w:type="pct"/>
            <w:vAlign w:val="center"/>
            <w:hideMark/>
          </w:tcPr>
          <w:p w14:paraId="11DB1ED2" w14:textId="77777777" w:rsidR="00000000" w:rsidRDefault="00C01C43">
            <w:pPr>
              <w:rPr>
                <w:rFonts w:eastAsia="Times New Roman"/>
                <w:sz w:val="20"/>
                <w:szCs w:val="20"/>
              </w:rPr>
            </w:pPr>
          </w:p>
        </w:tc>
        <w:tc>
          <w:tcPr>
            <w:tcW w:w="5" w:type="pct"/>
            <w:vAlign w:val="center"/>
            <w:hideMark/>
          </w:tcPr>
          <w:p w14:paraId="1E3A2BEB" w14:textId="77777777" w:rsidR="00000000" w:rsidRDefault="00C01C43">
            <w:pPr>
              <w:rPr>
                <w:rFonts w:eastAsia="Times New Roman"/>
                <w:sz w:val="20"/>
                <w:szCs w:val="20"/>
              </w:rPr>
            </w:pPr>
          </w:p>
        </w:tc>
        <w:tc>
          <w:tcPr>
            <w:tcW w:w="50" w:type="pct"/>
            <w:vAlign w:val="center"/>
            <w:hideMark/>
          </w:tcPr>
          <w:p w14:paraId="38B390BE" w14:textId="77777777" w:rsidR="00000000" w:rsidRDefault="00C01C43">
            <w:pPr>
              <w:rPr>
                <w:rFonts w:eastAsia="Times New Roman"/>
                <w:sz w:val="20"/>
                <w:szCs w:val="20"/>
              </w:rPr>
            </w:pPr>
          </w:p>
        </w:tc>
        <w:tc>
          <w:tcPr>
            <w:tcW w:w="472" w:type="pct"/>
            <w:vAlign w:val="center"/>
            <w:hideMark/>
          </w:tcPr>
          <w:p w14:paraId="5BC48F9B" w14:textId="77777777" w:rsidR="00000000" w:rsidRDefault="00C01C43">
            <w:pPr>
              <w:rPr>
                <w:rFonts w:eastAsia="Times New Roman"/>
                <w:sz w:val="20"/>
                <w:szCs w:val="20"/>
              </w:rPr>
            </w:pPr>
          </w:p>
        </w:tc>
        <w:tc>
          <w:tcPr>
            <w:tcW w:w="5" w:type="pct"/>
            <w:vAlign w:val="center"/>
            <w:hideMark/>
          </w:tcPr>
          <w:p w14:paraId="1EC60B32" w14:textId="77777777" w:rsidR="00000000" w:rsidRDefault="00C01C43">
            <w:pPr>
              <w:rPr>
                <w:rFonts w:eastAsia="Times New Roman"/>
                <w:sz w:val="20"/>
                <w:szCs w:val="20"/>
              </w:rPr>
            </w:pPr>
          </w:p>
        </w:tc>
      </w:tr>
      <w:tr w:rsidR="00000000" w14:paraId="0F569823" w14:textId="77777777">
        <w:trPr>
          <w:divId w:val="1335306027"/>
        </w:trPr>
        <w:tc>
          <w:tcPr>
            <w:tcW w:w="0" w:type="auto"/>
            <w:gridSpan w:val="3"/>
            <w:tcMar>
              <w:top w:w="30" w:type="dxa"/>
              <w:left w:w="20" w:type="dxa"/>
              <w:bottom w:w="30" w:type="dxa"/>
              <w:right w:w="20" w:type="dxa"/>
            </w:tcMar>
            <w:vAlign w:val="bottom"/>
            <w:hideMark/>
          </w:tcPr>
          <w:p w14:paraId="08CB8DCF" w14:textId="77777777" w:rsidR="00000000" w:rsidRDefault="00C01C43">
            <w:pPr>
              <w:rPr>
                <w:rFonts w:eastAsia="Times New Roman"/>
              </w:rPr>
            </w:pPr>
            <w:r>
              <w:rPr>
                <w:rFonts w:ascii="Arial" w:eastAsia="Times New Roman" w:hAnsi="Arial" w:cs="Arial"/>
                <w:i/>
                <w:iCs/>
                <w:color w:val="000000"/>
                <w:sz w:val="20"/>
                <w:szCs w:val="20"/>
              </w:rPr>
              <w:t>(In millions)</w:t>
            </w:r>
          </w:p>
        </w:tc>
        <w:tc>
          <w:tcPr>
            <w:tcW w:w="0" w:type="auto"/>
            <w:gridSpan w:val="3"/>
            <w:tcMar>
              <w:top w:w="0" w:type="dxa"/>
              <w:left w:w="20" w:type="dxa"/>
              <w:bottom w:w="0" w:type="dxa"/>
              <w:right w:w="20" w:type="dxa"/>
            </w:tcMar>
            <w:vAlign w:val="center"/>
            <w:hideMark/>
          </w:tcPr>
          <w:p w14:paraId="040BFA4C"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5A8DDCA5" w14:textId="77777777" w:rsidR="00000000" w:rsidRDefault="00C01C43">
            <w:pPr>
              <w:jc w:val="center"/>
              <w:rPr>
                <w:rFonts w:eastAsia="Times New Roman"/>
              </w:rPr>
            </w:pPr>
            <w:r>
              <w:rPr>
                <w:rFonts w:ascii="Arial" w:eastAsia="Times New Roman" w:hAnsi="Arial" w:cs="Arial"/>
                <w:b/>
                <w:bCs/>
                <w:color w:val="000000"/>
                <w:sz w:val="20"/>
                <w:szCs w:val="20"/>
              </w:rPr>
              <w:t>Total</w:t>
            </w:r>
          </w:p>
        </w:tc>
      </w:tr>
      <w:tr w:rsidR="00000000" w14:paraId="659E5EDD" w14:textId="77777777">
        <w:trPr>
          <w:divId w:val="1335306027"/>
        </w:trPr>
        <w:tc>
          <w:tcPr>
            <w:tcW w:w="0" w:type="auto"/>
            <w:gridSpan w:val="3"/>
            <w:shd w:val="clear" w:color="auto" w:fill="CCEEFF"/>
            <w:tcMar>
              <w:top w:w="30" w:type="dxa"/>
              <w:left w:w="20" w:type="dxa"/>
              <w:bottom w:w="30" w:type="dxa"/>
              <w:right w:w="20" w:type="dxa"/>
            </w:tcMar>
            <w:vAlign w:val="bottom"/>
            <w:hideMark/>
          </w:tcPr>
          <w:p w14:paraId="0817234D" w14:textId="77777777" w:rsidR="00000000" w:rsidRDefault="00C01C43">
            <w:pPr>
              <w:rPr>
                <w:rFonts w:eastAsia="Times New Roman"/>
              </w:rPr>
            </w:pPr>
            <w:r>
              <w:rPr>
                <w:rFonts w:ascii="Arial" w:eastAsia="Times New Roman" w:hAnsi="Arial" w:cs="Arial"/>
                <w:b/>
                <w:bCs/>
                <w:color w:val="000000"/>
                <w:sz w:val="20"/>
                <w:szCs w:val="20"/>
              </w:rPr>
              <w:t>Cash paid for acquisition of business</w:t>
            </w:r>
          </w:p>
        </w:tc>
        <w:tc>
          <w:tcPr>
            <w:tcW w:w="0" w:type="auto"/>
            <w:gridSpan w:val="3"/>
            <w:shd w:val="clear" w:color="auto" w:fill="CCEEFF"/>
            <w:tcMar>
              <w:top w:w="0" w:type="dxa"/>
              <w:left w:w="20" w:type="dxa"/>
              <w:bottom w:w="0" w:type="dxa"/>
              <w:right w:w="20" w:type="dxa"/>
            </w:tcMar>
            <w:vAlign w:val="center"/>
            <w:hideMark/>
          </w:tcPr>
          <w:p w14:paraId="7AB1F75E" w14:textId="77777777" w:rsidR="00000000" w:rsidRDefault="00C01C4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6BCC6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8D83F9" w14:textId="77777777" w:rsidR="00000000" w:rsidRDefault="00C01C43">
            <w:pPr>
              <w:jc w:val="right"/>
              <w:rPr>
                <w:rFonts w:eastAsia="Times New Roman"/>
              </w:rPr>
            </w:pPr>
            <w:r>
              <w:rPr>
                <w:rFonts w:ascii="Arial" w:eastAsia="Times New Roman" w:hAnsi="Arial" w:cs="Arial"/>
                <w:color w:val="000000"/>
                <w:sz w:val="20"/>
                <w:szCs w:val="20"/>
              </w:rPr>
              <w:t>129.0 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0CF1A0" w14:textId="77777777" w:rsidR="00000000" w:rsidRDefault="00C01C43">
            <w:pPr>
              <w:jc w:val="right"/>
              <w:rPr>
                <w:rFonts w:eastAsia="Times New Roman"/>
              </w:rPr>
            </w:pPr>
          </w:p>
        </w:tc>
      </w:tr>
      <w:tr w:rsidR="00000000" w14:paraId="73E3CC4A" w14:textId="77777777">
        <w:trPr>
          <w:divId w:val="1335306027"/>
        </w:trPr>
        <w:tc>
          <w:tcPr>
            <w:tcW w:w="0" w:type="auto"/>
            <w:gridSpan w:val="3"/>
            <w:shd w:val="clear" w:color="auto" w:fill="FFFFFF"/>
            <w:tcMar>
              <w:top w:w="30" w:type="dxa"/>
              <w:left w:w="20" w:type="dxa"/>
              <w:bottom w:w="30" w:type="dxa"/>
              <w:right w:w="20" w:type="dxa"/>
            </w:tcMar>
            <w:vAlign w:val="bottom"/>
            <w:hideMark/>
          </w:tcPr>
          <w:p w14:paraId="07AA3907" w14:textId="77777777" w:rsidR="00000000" w:rsidRDefault="00C01C43">
            <w:pPr>
              <w:rPr>
                <w:rFonts w:eastAsia="Times New Roman"/>
              </w:rPr>
            </w:pPr>
            <w:r>
              <w:rPr>
                <w:rFonts w:ascii="Arial" w:eastAsia="Times New Roman" w:hAnsi="Arial" w:cs="Arial"/>
                <w:color w:val="000000"/>
                <w:sz w:val="20"/>
                <w:szCs w:val="20"/>
              </w:rPr>
              <w:t>Amounts due to sellers</w:t>
            </w:r>
          </w:p>
        </w:tc>
        <w:tc>
          <w:tcPr>
            <w:tcW w:w="0" w:type="auto"/>
            <w:gridSpan w:val="3"/>
            <w:shd w:val="clear" w:color="auto" w:fill="FFFFFF"/>
            <w:tcMar>
              <w:top w:w="0" w:type="dxa"/>
              <w:left w:w="20" w:type="dxa"/>
              <w:bottom w:w="0" w:type="dxa"/>
              <w:right w:w="20" w:type="dxa"/>
            </w:tcMar>
            <w:vAlign w:val="center"/>
            <w:hideMark/>
          </w:tcPr>
          <w:p w14:paraId="285A74DF"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4252C0" w14:textId="77777777" w:rsidR="00000000" w:rsidRDefault="00C01C43">
            <w:pPr>
              <w:jc w:val="right"/>
              <w:rPr>
                <w:rFonts w:eastAsia="Times New Roman"/>
              </w:rPr>
            </w:pPr>
            <w:r>
              <w:rPr>
                <w:rFonts w:ascii="Arial" w:eastAsia="Times New Roman" w:hAnsi="Arial" w:cs="Arial"/>
                <w:color w:val="000000"/>
                <w:sz w:val="20"/>
                <w:szCs w:val="20"/>
              </w:rPr>
              <w:t>30.0 </w:t>
            </w:r>
          </w:p>
        </w:tc>
        <w:tc>
          <w:tcPr>
            <w:tcW w:w="0" w:type="auto"/>
            <w:shd w:val="clear" w:color="auto" w:fill="FFFFFF"/>
            <w:tcMar>
              <w:top w:w="30" w:type="dxa"/>
              <w:left w:w="0" w:type="dxa"/>
              <w:bottom w:w="30" w:type="dxa"/>
              <w:right w:w="20" w:type="dxa"/>
            </w:tcMar>
            <w:vAlign w:val="bottom"/>
            <w:hideMark/>
          </w:tcPr>
          <w:p w14:paraId="586D4B04" w14:textId="77777777" w:rsidR="00000000" w:rsidRDefault="00C01C43">
            <w:pPr>
              <w:jc w:val="right"/>
              <w:rPr>
                <w:rFonts w:eastAsia="Times New Roman"/>
              </w:rPr>
            </w:pPr>
          </w:p>
        </w:tc>
      </w:tr>
      <w:tr w:rsidR="00000000" w14:paraId="3EA78E68" w14:textId="77777777">
        <w:trPr>
          <w:divId w:val="133530602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5212C0C" w14:textId="77777777" w:rsidR="00000000" w:rsidRDefault="00C01C43">
            <w:pPr>
              <w:rPr>
                <w:rFonts w:eastAsia="Times New Roman"/>
              </w:rPr>
            </w:pPr>
            <w:r>
              <w:rPr>
                <w:rFonts w:ascii="Arial" w:eastAsia="Times New Roman" w:hAnsi="Arial" w:cs="Arial"/>
                <w:b/>
                <w:bCs/>
                <w:color w:val="000000"/>
                <w:sz w:val="20"/>
                <w:szCs w:val="20"/>
              </w:rPr>
              <w:t>Purchase price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A370E5" w14:textId="77777777" w:rsidR="00000000" w:rsidRDefault="00C01C4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2EE54B"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1F61DC" w14:textId="77777777" w:rsidR="00000000" w:rsidRDefault="00C01C43">
            <w:pPr>
              <w:jc w:val="right"/>
              <w:rPr>
                <w:rFonts w:eastAsia="Times New Roman"/>
              </w:rPr>
            </w:pPr>
            <w:r>
              <w:rPr>
                <w:rFonts w:ascii="Arial" w:eastAsia="Times New Roman" w:hAnsi="Arial" w:cs="Arial"/>
                <w:color w:val="000000"/>
                <w:sz w:val="20"/>
                <w:szCs w:val="20"/>
              </w:rPr>
              <w:t>159.0 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FA1940" w14:textId="77777777" w:rsidR="00000000" w:rsidRDefault="00C01C43">
            <w:pPr>
              <w:jc w:val="right"/>
              <w:rPr>
                <w:rFonts w:eastAsia="Times New Roman"/>
              </w:rPr>
            </w:pPr>
          </w:p>
        </w:tc>
      </w:tr>
      <w:tr w:rsidR="00000000" w14:paraId="04296A70" w14:textId="77777777">
        <w:trPr>
          <w:divId w:val="1335306027"/>
          <w:trHeight w:val="30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D0F03AC" w14:textId="77777777" w:rsidR="00000000" w:rsidRDefault="00C01C43">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40CB9CD"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740988E" w14:textId="77777777" w:rsidR="00000000" w:rsidRDefault="00C01C43">
            <w:pPr>
              <w:rPr>
                <w:rFonts w:eastAsia="Times New Roman"/>
                <w:sz w:val="20"/>
                <w:szCs w:val="20"/>
              </w:rPr>
            </w:pPr>
          </w:p>
        </w:tc>
      </w:tr>
      <w:tr w:rsidR="00000000" w14:paraId="2C68C4DB" w14:textId="77777777">
        <w:trPr>
          <w:divId w:val="1335306027"/>
        </w:trPr>
        <w:tc>
          <w:tcPr>
            <w:tcW w:w="0" w:type="auto"/>
            <w:gridSpan w:val="3"/>
            <w:shd w:val="clear" w:color="auto" w:fill="CCEEFF"/>
            <w:tcMar>
              <w:top w:w="30" w:type="dxa"/>
              <w:left w:w="20" w:type="dxa"/>
              <w:bottom w:w="30" w:type="dxa"/>
              <w:right w:w="20" w:type="dxa"/>
            </w:tcMar>
            <w:vAlign w:val="bottom"/>
            <w:hideMark/>
          </w:tcPr>
          <w:p w14:paraId="43E4FF10" w14:textId="77777777" w:rsidR="00000000" w:rsidRDefault="00C01C43">
            <w:pPr>
              <w:rPr>
                <w:rFonts w:eastAsia="Times New Roman"/>
              </w:rPr>
            </w:pPr>
            <w:r>
              <w:rPr>
                <w:rFonts w:ascii="Arial" w:eastAsia="Times New Roman" w:hAnsi="Arial" w:cs="Arial"/>
                <w:b/>
                <w:bCs/>
                <w:color w:val="000000"/>
                <w:sz w:val="20"/>
                <w:szCs w:val="20"/>
              </w:rPr>
              <w:t>Assets acquired:</w:t>
            </w:r>
          </w:p>
        </w:tc>
        <w:tc>
          <w:tcPr>
            <w:tcW w:w="0" w:type="auto"/>
            <w:gridSpan w:val="3"/>
            <w:shd w:val="clear" w:color="auto" w:fill="CCEEFF"/>
            <w:tcMar>
              <w:top w:w="0" w:type="dxa"/>
              <w:left w:w="20" w:type="dxa"/>
              <w:bottom w:w="0" w:type="dxa"/>
              <w:right w:w="20" w:type="dxa"/>
            </w:tcMar>
            <w:vAlign w:val="center"/>
            <w:hideMark/>
          </w:tcPr>
          <w:p w14:paraId="4319E161" w14:textId="77777777" w:rsidR="00000000" w:rsidRDefault="00C01C4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8148A" w14:textId="77777777" w:rsidR="00000000" w:rsidRDefault="00C01C43">
            <w:pPr>
              <w:rPr>
                <w:rFonts w:eastAsia="Times New Roman"/>
                <w:sz w:val="20"/>
                <w:szCs w:val="20"/>
              </w:rPr>
            </w:pPr>
          </w:p>
        </w:tc>
      </w:tr>
      <w:tr w:rsidR="00000000" w14:paraId="5F72F4E3" w14:textId="77777777">
        <w:trPr>
          <w:divId w:val="1335306027"/>
        </w:trPr>
        <w:tc>
          <w:tcPr>
            <w:tcW w:w="0" w:type="auto"/>
            <w:gridSpan w:val="3"/>
            <w:shd w:val="clear" w:color="auto" w:fill="FFFFFF"/>
            <w:tcMar>
              <w:top w:w="30" w:type="dxa"/>
              <w:left w:w="20" w:type="dxa"/>
              <w:bottom w:w="30" w:type="dxa"/>
              <w:right w:w="20" w:type="dxa"/>
            </w:tcMar>
            <w:vAlign w:val="bottom"/>
            <w:hideMark/>
          </w:tcPr>
          <w:p w14:paraId="4A54CD6A" w14:textId="77777777" w:rsidR="00000000" w:rsidRDefault="00C01C43">
            <w:pPr>
              <w:rPr>
                <w:rFonts w:eastAsia="Times New Roman"/>
              </w:rPr>
            </w:pPr>
            <w:r>
              <w:rPr>
                <w:rFonts w:ascii="Arial" w:eastAsia="Times New Roman" w:hAnsi="Arial" w:cs="Arial"/>
                <w:color w:val="000000"/>
                <w:sz w:val="20"/>
                <w:szCs w:val="20"/>
              </w:rPr>
              <w:t>Accounts receivable</w:t>
            </w:r>
          </w:p>
        </w:tc>
        <w:tc>
          <w:tcPr>
            <w:tcW w:w="0" w:type="auto"/>
            <w:gridSpan w:val="3"/>
            <w:shd w:val="clear" w:color="auto" w:fill="FFFFFF"/>
            <w:tcMar>
              <w:top w:w="0" w:type="dxa"/>
              <w:left w:w="20" w:type="dxa"/>
              <w:bottom w:w="0" w:type="dxa"/>
              <w:right w:w="20" w:type="dxa"/>
            </w:tcMar>
            <w:vAlign w:val="center"/>
            <w:hideMark/>
          </w:tcPr>
          <w:p w14:paraId="32593CC4" w14:textId="77777777" w:rsidR="00000000" w:rsidRDefault="00C01C43">
            <w:pPr>
              <w:rPr>
                <w:rFonts w:eastAsia="Times New Roman"/>
              </w:rPr>
            </w:pPr>
          </w:p>
        </w:tc>
        <w:tc>
          <w:tcPr>
            <w:tcW w:w="0" w:type="auto"/>
            <w:shd w:val="clear" w:color="auto" w:fill="FFFFFF"/>
            <w:tcMar>
              <w:top w:w="30" w:type="dxa"/>
              <w:left w:w="20" w:type="dxa"/>
              <w:bottom w:w="30" w:type="dxa"/>
              <w:right w:w="0" w:type="dxa"/>
            </w:tcMar>
            <w:vAlign w:val="bottom"/>
            <w:hideMark/>
          </w:tcPr>
          <w:p w14:paraId="247CFC34"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9E417ED" w14:textId="77777777" w:rsidR="00000000" w:rsidRDefault="00C01C43">
            <w:pPr>
              <w:jc w:val="right"/>
              <w:rPr>
                <w:rFonts w:eastAsia="Times New Roman"/>
              </w:rPr>
            </w:pPr>
            <w:r>
              <w:rPr>
                <w:rFonts w:ascii="Arial" w:eastAsia="Times New Roman" w:hAnsi="Arial" w:cs="Arial"/>
                <w:color w:val="000000"/>
                <w:sz w:val="20"/>
                <w:szCs w:val="20"/>
              </w:rPr>
              <w:t>42.8 </w:t>
            </w:r>
          </w:p>
        </w:tc>
        <w:tc>
          <w:tcPr>
            <w:tcW w:w="0" w:type="auto"/>
            <w:shd w:val="clear" w:color="auto" w:fill="FFFFFF"/>
            <w:tcMar>
              <w:top w:w="30" w:type="dxa"/>
              <w:left w:w="0" w:type="dxa"/>
              <w:bottom w:w="30" w:type="dxa"/>
              <w:right w:w="20" w:type="dxa"/>
            </w:tcMar>
            <w:vAlign w:val="bottom"/>
            <w:hideMark/>
          </w:tcPr>
          <w:p w14:paraId="6E76D269" w14:textId="77777777" w:rsidR="00000000" w:rsidRDefault="00C01C43">
            <w:pPr>
              <w:jc w:val="right"/>
              <w:rPr>
                <w:rFonts w:eastAsia="Times New Roman"/>
              </w:rPr>
            </w:pPr>
          </w:p>
        </w:tc>
      </w:tr>
      <w:tr w:rsidR="00000000" w14:paraId="452EFAF0" w14:textId="77777777">
        <w:trPr>
          <w:divId w:val="1335306027"/>
        </w:trPr>
        <w:tc>
          <w:tcPr>
            <w:tcW w:w="0" w:type="auto"/>
            <w:gridSpan w:val="3"/>
            <w:shd w:val="clear" w:color="auto" w:fill="CCEEFF"/>
            <w:tcMar>
              <w:top w:w="30" w:type="dxa"/>
              <w:left w:w="20" w:type="dxa"/>
              <w:bottom w:w="30" w:type="dxa"/>
              <w:right w:w="20" w:type="dxa"/>
            </w:tcMar>
            <w:vAlign w:val="bottom"/>
            <w:hideMark/>
          </w:tcPr>
          <w:p w14:paraId="58299449" w14:textId="77777777" w:rsidR="00000000" w:rsidRDefault="00C01C43">
            <w:pPr>
              <w:rPr>
                <w:rFonts w:eastAsia="Times New Roman"/>
              </w:rPr>
            </w:pPr>
            <w:r>
              <w:rPr>
                <w:rFonts w:ascii="Arial" w:eastAsia="Times New Roman" w:hAnsi="Arial" w:cs="Arial"/>
                <w:color w:val="000000"/>
                <w:sz w:val="20"/>
                <w:szCs w:val="20"/>
              </w:rPr>
              <w:t>Goodwill and identifiable intangible assets</w:t>
            </w:r>
          </w:p>
        </w:tc>
        <w:tc>
          <w:tcPr>
            <w:tcW w:w="0" w:type="auto"/>
            <w:gridSpan w:val="3"/>
            <w:shd w:val="clear" w:color="auto" w:fill="CCEEFF"/>
            <w:tcMar>
              <w:top w:w="0" w:type="dxa"/>
              <w:left w:w="20" w:type="dxa"/>
              <w:bottom w:w="0" w:type="dxa"/>
              <w:right w:w="20" w:type="dxa"/>
            </w:tcMar>
            <w:vAlign w:val="center"/>
            <w:hideMark/>
          </w:tcPr>
          <w:p w14:paraId="4E2A9CF8"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D4B7E0" w14:textId="77777777" w:rsidR="00000000" w:rsidRDefault="00C01C43">
            <w:pPr>
              <w:jc w:val="right"/>
              <w:rPr>
                <w:rFonts w:eastAsia="Times New Roman"/>
              </w:rPr>
            </w:pPr>
            <w:r>
              <w:rPr>
                <w:rFonts w:ascii="Arial" w:eastAsia="Times New Roman" w:hAnsi="Arial" w:cs="Arial"/>
                <w:color w:val="000000"/>
                <w:sz w:val="20"/>
                <w:szCs w:val="20"/>
              </w:rPr>
              <w:t>123.3 </w:t>
            </w:r>
          </w:p>
        </w:tc>
        <w:tc>
          <w:tcPr>
            <w:tcW w:w="0" w:type="auto"/>
            <w:shd w:val="clear" w:color="auto" w:fill="CCEEFF"/>
            <w:tcMar>
              <w:top w:w="30" w:type="dxa"/>
              <w:left w:w="0" w:type="dxa"/>
              <w:bottom w:w="30" w:type="dxa"/>
              <w:right w:w="20" w:type="dxa"/>
            </w:tcMar>
            <w:vAlign w:val="bottom"/>
            <w:hideMark/>
          </w:tcPr>
          <w:p w14:paraId="229EE7CA" w14:textId="77777777" w:rsidR="00000000" w:rsidRDefault="00C01C43">
            <w:pPr>
              <w:jc w:val="right"/>
              <w:rPr>
                <w:rFonts w:eastAsia="Times New Roman"/>
              </w:rPr>
            </w:pPr>
          </w:p>
        </w:tc>
      </w:tr>
      <w:tr w:rsidR="00000000" w14:paraId="2FAAF6DD" w14:textId="77777777">
        <w:trPr>
          <w:divId w:val="1335306027"/>
        </w:trPr>
        <w:tc>
          <w:tcPr>
            <w:tcW w:w="0" w:type="auto"/>
            <w:gridSpan w:val="3"/>
            <w:shd w:val="clear" w:color="auto" w:fill="FFFFFF"/>
            <w:tcMar>
              <w:top w:w="30" w:type="dxa"/>
              <w:left w:w="20" w:type="dxa"/>
              <w:bottom w:w="30" w:type="dxa"/>
              <w:right w:w="20" w:type="dxa"/>
            </w:tcMar>
            <w:vAlign w:val="bottom"/>
            <w:hideMark/>
          </w:tcPr>
          <w:p w14:paraId="365D98C3" w14:textId="77777777" w:rsidR="00000000" w:rsidRDefault="00C01C43">
            <w:pPr>
              <w:rPr>
                <w:rFonts w:eastAsia="Times New Roman"/>
              </w:rPr>
            </w:pPr>
            <w:r>
              <w:rPr>
                <w:rFonts w:ascii="Arial" w:eastAsia="Times New Roman" w:hAnsi="Arial" w:cs="Arial"/>
                <w:color w:val="000000"/>
                <w:sz w:val="20"/>
                <w:szCs w:val="20"/>
              </w:rPr>
              <w:t>Other current and long-term assets</w:t>
            </w:r>
          </w:p>
        </w:tc>
        <w:tc>
          <w:tcPr>
            <w:tcW w:w="0" w:type="auto"/>
            <w:gridSpan w:val="3"/>
            <w:shd w:val="clear" w:color="auto" w:fill="FFFFFF"/>
            <w:tcMar>
              <w:top w:w="0" w:type="dxa"/>
              <w:left w:w="20" w:type="dxa"/>
              <w:bottom w:w="0" w:type="dxa"/>
              <w:right w:w="20" w:type="dxa"/>
            </w:tcMar>
            <w:vAlign w:val="center"/>
            <w:hideMark/>
          </w:tcPr>
          <w:p w14:paraId="3FBA46EF"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400D59" w14:textId="77777777" w:rsidR="00000000" w:rsidRDefault="00C01C43">
            <w:pPr>
              <w:jc w:val="right"/>
              <w:rPr>
                <w:rFonts w:eastAsia="Times New Roman"/>
              </w:rPr>
            </w:pPr>
            <w:r>
              <w:rPr>
                <w:rFonts w:ascii="Arial" w:eastAsia="Times New Roman" w:hAnsi="Arial" w:cs="Arial"/>
                <w:color w:val="000000"/>
                <w:sz w:val="20"/>
                <w:szCs w:val="20"/>
              </w:rPr>
              <w:t>3.8 </w:t>
            </w:r>
          </w:p>
        </w:tc>
        <w:tc>
          <w:tcPr>
            <w:tcW w:w="0" w:type="auto"/>
            <w:shd w:val="clear" w:color="auto" w:fill="FFFFFF"/>
            <w:tcMar>
              <w:top w:w="30" w:type="dxa"/>
              <w:left w:w="0" w:type="dxa"/>
              <w:bottom w:w="30" w:type="dxa"/>
              <w:right w:w="20" w:type="dxa"/>
            </w:tcMar>
            <w:vAlign w:val="bottom"/>
            <w:hideMark/>
          </w:tcPr>
          <w:p w14:paraId="7C4CF6F4" w14:textId="77777777" w:rsidR="00000000" w:rsidRDefault="00C01C43">
            <w:pPr>
              <w:jc w:val="right"/>
              <w:rPr>
                <w:rFonts w:eastAsia="Times New Roman"/>
              </w:rPr>
            </w:pPr>
          </w:p>
        </w:tc>
      </w:tr>
      <w:tr w:rsidR="00000000" w14:paraId="23CCDA02" w14:textId="77777777">
        <w:trPr>
          <w:divId w:val="1335306027"/>
          <w:trHeight w:val="300"/>
        </w:trPr>
        <w:tc>
          <w:tcPr>
            <w:tcW w:w="0" w:type="auto"/>
            <w:gridSpan w:val="3"/>
            <w:shd w:val="clear" w:color="auto" w:fill="CCEEFF"/>
            <w:tcMar>
              <w:top w:w="0" w:type="dxa"/>
              <w:left w:w="20" w:type="dxa"/>
              <w:bottom w:w="0" w:type="dxa"/>
              <w:right w:w="20" w:type="dxa"/>
            </w:tcMar>
            <w:vAlign w:val="center"/>
            <w:hideMark/>
          </w:tcPr>
          <w:p w14:paraId="4CCD3874"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FB8E82"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96FF4D" w14:textId="77777777" w:rsidR="00000000" w:rsidRDefault="00C01C43">
            <w:pPr>
              <w:rPr>
                <w:rFonts w:eastAsia="Times New Roman"/>
                <w:sz w:val="20"/>
                <w:szCs w:val="20"/>
              </w:rPr>
            </w:pPr>
          </w:p>
        </w:tc>
      </w:tr>
      <w:tr w:rsidR="00000000" w14:paraId="1EBD77DA" w14:textId="77777777">
        <w:trPr>
          <w:divId w:val="1335306027"/>
        </w:trPr>
        <w:tc>
          <w:tcPr>
            <w:tcW w:w="0" w:type="auto"/>
            <w:gridSpan w:val="3"/>
            <w:shd w:val="clear" w:color="auto" w:fill="FFFFFF"/>
            <w:tcMar>
              <w:top w:w="30" w:type="dxa"/>
              <w:left w:w="20" w:type="dxa"/>
              <w:bottom w:w="30" w:type="dxa"/>
              <w:right w:w="20" w:type="dxa"/>
            </w:tcMar>
            <w:vAlign w:val="bottom"/>
            <w:hideMark/>
          </w:tcPr>
          <w:p w14:paraId="04D43893" w14:textId="77777777" w:rsidR="00000000" w:rsidRDefault="00C01C43">
            <w:pPr>
              <w:rPr>
                <w:rFonts w:eastAsia="Times New Roman"/>
              </w:rPr>
            </w:pPr>
            <w:r>
              <w:rPr>
                <w:rFonts w:ascii="Arial" w:eastAsia="Times New Roman" w:hAnsi="Arial" w:cs="Arial"/>
                <w:b/>
                <w:bCs/>
                <w:color w:val="000000"/>
                <w:sz w:val="20"/>
                <w:szCs w:val="20"/>
              </w:rPr>
              <w:t>Liabilities assumed:</w:t>
            </w:r>
          </w:p>
        </w:tc>
        <w:tc>
          <w:tcPr>
            <w:tcW w:w="0" w:type="auto"/>
            <w:gridSpan w:val="3"/>
            <w:shd w:val="clear" w:color="auto" w:fill="FFFFFF"/>
            <w:tcMar>
              <w:top w:w="0" w:type="dxa"/>
              <w:left w:w="20" w:type="dxa"/>
              <w:bottom w:w="0" w:type="dxa"/>
              <w:right w:w="20" w:type="dxa"/>
            </w:tcMar>
            <w:vAlign w:val="center"/>
            <w:hideMark/>
          </w:tcPr>
          <w:p w14:paraId="5C8B1B91" w14:textId="77777777" w:rsidR="00000000" w:rsidRDefault="00C01C43">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D8468" w14:textId="77777777" w:rsidR="00000000" w:rsidRDefault="00C01C43">
            <w:pPr>
              <w:rPr>
                <w:rFonts w:eastAsia="Times New Roman"/>
                <w:sz w:val="20"/>
                <w:szCs w:val="20"/>
              </w:rPr>
            </w:pPr>
          </w:p>
        </w:tc>
      </w:tr>
      <w:tr w:rsidR="00000000" w14:paraId="58C68404" w14:textId="77777777">
        <w:trPr>
          <w:divId w:val="1335306027"/>
        </w:trPr>
        <w:tc>
          <w:tcPr>
            <w:tcW w:w="0" w:type="auto"/>
            <w:gridSpan w:val="3"/>
            <w:shd w:val="clear" w:color="auto" w:fill="CCEEFF"/>
            <w:tcMar>
              <w:top w:w="30" w:type="dxa"/>
              <w:left w:w="20" w:type="dxa"/>
              <w:bottom w:w="30" w:type="dxa"/>
              <w:right w:w="20" w:type="dxa"/>
            </w:tcMar>
            <w:vAlign w:val="bottom"/>
            <w:hideMark/>
          </w:tcPr>
          <w:p w14:paraId="65ABB983" w14:textId="77777777" w:rsidR="00000000" w:rsidRDefault="00C01C43">
            <w:pPr>
              <w:rPr>
                <w:rFonts w:eastAsia="Times New Roman"/>
              </w:rPr>
            </w:pPr>
            <w:r>
              <w:rPr>
                <w:rFonts w:ascii="Arial" w:eastAsia="Times New Roman" w:hAnsi="Arial" w:cs="Arial"/>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14:paraId="07F8D632"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3DFC73" w14:textId="77777777" w:rsidR="00000000" w:rsidRDefault="00C01C43">
            <w:pPr>
              <w:jc w:val="right"/>
              <w:rPr>
                <w:rFonts w:eastAsia="Times New Roman"/>
              </w:rPr>
            </w:pPr>
            <w:r>
              <w:rPr>
                <w:rFonts w:ascii="Arial" w:eastAsia="Times New Roman" w:hAnsi="Arial" w:cs="Arial"/>
                <w:color w:val="000000"/>
                <w:sz w:val="20"/>
                <w:szCs w:val="20"/>
              </w:rPr>
              <w:t>(9.9)</w:t>
            </w:r>
          </w:p>
        </w:tc>
        <w:tc>
          <w:tcPr>
            <w:tcW w:w="0" w:type="auto"/>
            <w:shd w:val="clear" w:color="auto" w:fill="CCEEFF"/>
            <w:tcMar>
              <w:top w:w="30" w:type="dxa"/>
              <w:left w:w="0" w:type="dxa"/>
              <w:bottom w:w="30" w:type="dxa"/>
              <w:right w:w="20" w:type="dxa"/>
            </w:tcMar>
            <w:vAlign w:val="bottom"/>
            <w:hideMark/>
          </w:tcPr>
          <w:p w14:paraId="150AC223" w14:textId="77777777" w:rsidR="00000000" w:rsidRDefault="00C01C43">
            <w:pPr>
              <w:jc w:val="right"/>
              <w:rPr>
                <w:rFonts w:eastAsia="Times New Roman"/>
              </w:rPr>
            </w:pPr>
          </w:p>
        </w:tc>
      </w:tr>
      <w:tr w:rsidR="00000000" w14:paraId="2DD7369E" w14:textId="77777777">
        <w:trPr>
          <w:divId w:val="1335306027"/>
        </w:trPr>
        <w:tc>
          <w:tcPr>
            <w:tcW w:w="0" w:type="auto"/>
            <w:gridSpan w:val="3"/>
            <w:shd w:val="clear" w:color="auto" w:fill="FFFFFF"/>
            <w:tcMar>
              <w:top w:w="30" w:type="dxa"/>
              <w:left w:w="20" w:type="dxa"/>
              <w:bottom w:w="30" w:type="dxa"/>
              <w:right w:w="20" w:type="dxa"/>
            </w:tcMar>
            <w:vAlign w:val="bottom"/>
            <w:hideMark/>
          </w:tcPr>
          <w:p w14:paraId="52C37C59" w14:textId="77777777" w:rsidR="00000000" w:rsidRDefault="00C01C43">
            <w:pPr>
              <w:rPr>
                <w:rFonts w:eastAsia="Times New Roman"/>
              </w:rPr>
            </w:pPr>
            <w:r>
              <w:rPr>
                <w:rFonts w:ascii="Arial" w:eastAsia="Times New Roman" w:hAnsi="Arial" w:cs="Arial"/>
                <w:color w:val="000000"/>
                <w:sz w:val="20"/>
                <w:szCs w:val="20"/>
              </w:rPr>
              <w:t>Other current and long-term liabilities</w:t>
            </w:r>
          </w:p>
        </w:tc>
        <w:tc>
          <w:tcPr>
            <w:tcW w:w="0" w:type="auto"/>
            <w:gridSpan w:val="3"/>
            <w:shd w:val="clear" w:color="auto" w:fill="FFFFFF"/>
            <w:tcMar>
              <w:top w:w="0" w:type="dxa"/>
              <w:left w:w="20" w:type="dxa"/>
              <w:bottom w:w="0" w:type="dxa"/>
              <w:right w:w="20" w:type="dxa"/>
            </w:tcMar>
            <w:vAlign w:val="center"/>
            <w:hideMark/>
          </w:tcPr>
          <w:p w14:paraId="30863594"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C2410A" w14:textId="77777777" w:rsidR="00000000" w:rsidRDefault="00C01C43">
            <w:pPr>
              <w:jc w:val="right"/>
              <w:rPr>
                <w:rFonts w:eastAsia="Times New Roman"/>
              </w:rPr>
            </w:pPr>
            <w:r>
              <w:rPr>
                <w:rFonts w:ascii="Arial" w:eastAsia="Times New Roman" w:hAnsi="Arial" w:cs="Arial"/>
                <w:color w:val="000000"/>
                <w:sz w:val="20"/>
                <w:szCs w:val="20"/>
              </w:rPr>
              <w:t>(1.0)</w:t>
            </w:r>
          </w:p>
        </w:tc>
        <w:tc>
          <w:tcPr>
            <w:tcW w:w="0" w:type="auto"/>
            <w:shd w:val="clear" w:color="auto" w:fill="FFFFFF"/>
            <w:tcMar>
              <w:top w:w="30" w:type="dxa"/>
              <w:left w:w="0" w:type="dxa"/>
              <w:bottom w:w="30" w:type="dxa"/>
              <w:right w:w="20" w:type="dxa"/>
            </w:tcMar>
            <w:vAlign w:val="bottom"/>
            <w:hideMark/>
          </w:tcPr>
          <w:p w14:paraId="6245E10A" w14:textId="77777777" w:rsidR="00000000" w:rsidRDefault="00C01C43">
            <w:pPr>
              <w:jc w:val="right"/>
              <w:rPr>
                <w:rFonts w:eastAsia="Times New Roman"/>
              </w:rPr>
            </w:pPr>
          </w:p>
        </w:tc>
      </w:tr>
      <w:tr w:rsidR="00000000" w14:paraId="42B98C53" w14:textId="77777777">
        <w:trPr>
          <w:divId w:val="1335306027"/>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34571A26" w14:textId="77777777" w:rsidR="00000000" w:rsidRDefault="00C01C43">
            <w:pPr>
              <w:rPr>
                <w:rFonts w:eastAsia="Times New Roman"/>
              </w:rPr>
            </w:pPr>
            <w:r>
              <w:rPr>
                <w:rFonts w:ascii="Arial" w:eastAsia="Times New Roman" w:hAnsi="Arial" w:cs="Arial"/>
                <w:b/>
                <w:bCs/>
                <w:color w:val="000000"/>
                <w:sz w:val="20"/>
                <w:szCs w:val="20"/>
              </w:rPr>
              <w:t>Purchase price</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C92F9FA" w14:textId="77777777" w:rsidR="00000000" w:rsidRDefault="00C01C4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8C9AF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213FC9" w14:textId="77777777" w:rsidR="00000000" w:rsidRDefault="00C01C43">
            <w:pPr>
              <w:jc w:val="right"/>
              <w:rPr>
                <w:rFonts w:eastAsia="Times New Roman"/>
              </w:rPr>
            </w:pPr>
            <w:r>
              <w:rPr>
                <w:rFonts w:ascii="Arial" w:eastAsia="Times New Roman" w:hAnsi="Arial" w:cs="Arial"/>
                <w:color w:val="000000"/>
                <w:sz w:val="20"/>
                <w:szCs w:val="20"/>
              </w:rPr>
              <w:t>159.0 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98BDE4" w14:textId="77777777" w:rsidR="00000000" w:rsidRDefault="00C01C43">
            <w:pPr>
              <w:jc w:val="right"/>
              <w:rPr>
                <w:rFonts w:eastAsia="Times New Roman"/>
              </w:rPr>
            </w:pPr>
          </w:p>
        </w:tc>
      </w:tr>
    </w:tbl>
    <w:p w14:paraId="63492457" w14:textId="77777777" w:rsidR="00000000" w:rsidRDefault="00C01C43">
      <w:pPr>
        <w:jc w:val="both"/>
        <w:divId w:val="489754805"/>
        <w:rPr>
          <w:rFonts w:eastAsia="Times New Roman"/>
        </w:rPr>
      </w:pPr>
      <w:r>
        <w:rPr>
          <w:rFonts w:ascii="Arial" w:eastAsia="Times New Roman" w:hAnsi="Arial" w:cs="Arial"/>
          <w:color w:val="000000"/>
          <w:sz w:val="20"/>
          <w:szCs w:val="20"/>
        </w:rPr>
        <w:t xml:space="preserve">Goodwill in the amount of $79.1 million was recorded and was assigned to the aviation segment. We anticipate that $70.2 </w:t>
      </w:r>
      <w:r>
        <w:rPr>
          <w:rFonts w:ascii="Arial" w:eastAsia="Times New Roman" w:hAnsi="Arial" w:cs="Arial"/>
          <w:color w:val="000000"/>
          <w:sz w:val="20"/>
          <w:szCs w:val="20"/>
        </w:rPr>
        <w:t>million of the goodwill assigned to the aviation segment will be deductible for tax purposes and is attributable primarily to the expected synergies and other benefits that we believe will result from combining the acquired operations with the operations o</w:t>
      </w:r>
      <w:r>
        <w:rPr>
          <w:rFonts w:ascii="Arial" w:eastAsia="Times New Roman" w:hAnsi="Arial" w:cs="Arial"/>
          <w:color w:val="000000"/>
          <w:sz w:val="20"/>
          <w:szCs w:val="20"/>
        </w:rPr>
        <w:t>f our aviation segment. The identifiable intangible assets were $44.3 million and primarily consisted of customer relationships and other identifiable assets.</w:t>
      </w:r>
    </w:p>
    <w:p w14:paraId="080415CB" w14:textId="77777777" w:rsidR="00000000" w:rsidRDefault="00C01C43">
      <w:pPr>
        <w:divId w:val="227496280"/>
        <w:rPr>
          <w:rFonts w:eastAsia="Times New Roman"/>
        </w:rPr>
      </w:pPr>
    </w:p>
    <w:p w14:paraId="1FC4CDB6" w14:textId="77777777" w:rsidR="00000000" w:rsidRDefault="00C01C43">
      <w:pPr>
        <w:jc w:val="center"/>
        <w:divId w:val="760182346"/>
        <w:rPr>
          <w:rFonts w:eastAsia="Times New Roman"/>
        </w:rPr>
      </w:pPr>
      <w:r>
        <w:rPr>
          <w:rFonts w:ascii="Arial" w:eastAsia="Times New Roman" w:hAnsi="Arial" w:cs="Arial"/>
          <w:color w:val="000000"/>
          <w:sz w:val="16"/>
          <w:szCs w:val="16"/>
        </w:rPr>
        <w:t>62</w:t>
      </w:r>
    </w:p>
    <w:p w14:paraId="5C148519" w14:textId="77777777" w:rsidR="00000000" w:rsidRDefault="00C01C43">
      <w:pPr>
        <w:rPr>
          <w:rFonts w:eastAsia="Times New Roman"/>
        </w:rPr>
      </w:pPr>
      <w:r>
        <w:rPr>
          <w:rFonts w:eastAsia="Times New Roman"/>
        </w:rPr>
        <w:pict w14:anchorId="54812E66">
          <v:rect id="_x0000_i1091" style="width:0;height:1.5pt" o:hralign="center" o:hrstd="t" o:hr="t" fillcolor="#a0a0a0" stroked="f"/>
        </w:pict>
      </w:r>
    </w:p>
    <w:p w14:paraId="1A4302F3" w14:textId="77777777" w:rsidR="00000000" w:rsidRDefault="00C01C43">
      <w:pPr>
        <w:divId w:val="520970370"/>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7D4E937" w14:textId="77777777" w:rsidR="00000000" w:rsidRDefault="00C01C43">
      <w:pPr>
        <w:jc w:val="both"/>
        <w:rPr>
          <w:rFonts w:eastAsia="Times New Roman"/>
        </w:rPr>
      </w:pPr>
      <w:r>
        <w:rPr>
          <w:rFonts w:ascii="Arial" w:eastAsia="Times New Roman" w:hAnsi="Arial" w:cs="Arial"/>
          <w:color w:val="000000"/>
          <w:sz w:val="20"/>
          <w:szCs w:val="20"/>
        </w:rPr>
        <w:t xml:space="preserve">The financial position, results of operations and cash flows of these acquisitions have been included in our Consolidated Financial Statements since their acquisition dates and did not have a material impact on our consolidated revenue </w:t>
      </w:r>
      <w:r>
        <w:rPr>
          <w:rFonts w:ascii="Arial" w:eastAsia="Times New Roman" w:hAnsi="Arial" w:cs="Arial"/>
          <w:color w:val="000000"/>
          <w:sz w:val="20"/>
          <w:szCs w:val="20"/>
        </w:rPr>
        <w:t>and net income for the year ended December 31, 2020; accordingly, pro forma information for these acquisitions have not been provided as the impact was not considered material.</w:t>
      </w:r>
    </w:p>
    <w:p w14:paraId="5E039AA7" w14:textId="77777777" w:rsidR="00000000" w:rsidRDefault="00C01C43">
      <w:pPr>
        <w:jc w:val="both"/>
        <w:rPr>
          <w:rFonts w:eastAsia="Times New Roman"/>
        </w:rPr>
      </w:pPr>
    </w:p>
    <w:p w14:paraId="4B50D0EF" w14:textId="77777777" w:rsidR="00000000" w:rsidRDefault="00C01C43">
      <w:pPr>
        <w:jc w:val="both"/>
        <w:rPr>
          <w:rFonts w:eastAsia="Times New Roman"/>
        </w:rPr>
      </w:pPr>
      <w:r>
        <w:rPr>
          <w:rFonts w:ascii="Arial" w:eastAsia="Times New Roman" w:hAnsi="Arial" w:cs="Arial"/>
          <w:b/>
          <w:bCs/>
          <w:color w:val="000000"/>
          <w:sz w:val="20"/>
          <w:szCs w:val="20"/>
        </w:rPr>
        <w:t>2019 Acquisitions and Divestitures</w:t>
      </w:r>
    </w:p>
    <w:p w14:paraId="766C399C" w14:textId="77777777" w:rsidR="00000000" w:rsidRDefault="00C01C43">
      <w:pPr>
        <w:jc w:val="both"/>
        <w:rPr>
          <w:rFonts w:eastAsia="Times New Roman"/>
        </w:rPr>
      </w:pPr>
      <w:r>
        <w:rPr>
          <w:rFonts w:ascii="Arial" w:eastAsia="Times New Roman" w:hAnsi="Arial" w:cs="Arial"/>
          <w:color w:val="000000"/>
          <w:sz w:val="20"/>
          <w:szCs w:val="20"/>
        </w:rPr>
        <w:t>We made no material acquisitions or divest</w:t>
      </w:r>
      <w:r>
        <w:rPr>
          <w:rFonts w:ascii="Arial" w:eastAsia="Times New Roman" w:hAnsi="Arial" w:cs="Arial"/>
          <w:color w:val="000000"/>
          <w:sz w:val="20"/>
          <w:szCs w:val="20"/>
        </w:rPr>
        <w:t>itures during 2019.</w:t>
      </w:r>
    </w:p>
    <w:p w14:paraId="30EB1F3E" w14:textId="77777777" w:rsidR="00000000" w:rsidRDefault="00C01C43">
      <w:pPr>
        <w:jc w:val="both"/>
        <w:rPr>
          <w:rFonts w:eastAsia="Times New Roman"/>
        </w:rPr>
      </w:pPr>
    </w:p>
    <w:p w14:paraId="471A53E2" w14:textId="77777777" w:rsidR="00000000" w:rsidRDefault="00C01C43">
      <w:pPr>
        <w:jc w:val="both"/>
        <w:rPr>
          <w:rFonts w:eastAsia="Times New Roman"/>
        </w:rPr>
      </w:pPr>
      <w:r>
        <w:rPr>
          <w:rFonts w:ascii="Arial" w:eastAsia="Times New Roman" w:hAnsi="Arial" w:cs="Arial"/>
          <w:b/>
          <w:bCs/>
          <w:color w:val="000000"/>
          <w:sz w:val="20"/>
          <w:szCs w:val="20"/>
        </w:rPr>
        <w:t>2018 Acquisitions and Divestitures</w:t>
      </w:r>
    </w:p>
    <w:p w14:paraId="5810CE15" w14:textId="77777777" w:rsidR="00000000" w:rsidRDefault="00C01C43">
      <w:pPr>
        <w:jc w:val="both"/>
        <w:rPr>
          <w:rFonts w:eastAsia="Times New Roman"/>
        </w:rPr>
      </w:pPr>
      <w:r>
        <w:rPr>
          <w:rFonts w:ascii="Arial" w:eastAsia="Times New Roman" w:hAnsi="Arial" w:cs="Arial"/>
          <w:color w:val="000000"/>
          <w:sz w:val="20"/>
          <w:szCs w:val="20"/>
        </w:rPr>
        <w:t>We made no material divestitures during 2018</w:t>
      </w:r>
    </w:p>
    <w:p w14:paraId="17BED253" w14:textId="77777777" w:rsidR="00000000" w:rsidRDefault="00C01C43">
      <w:pPr>
        <w:jc w:val="both"/>
        <w:rPr>
          <w:rFonts w:eastAsia="Times New Roman"/>
        </w:rPr>
      </w:pPr>
    </w:p>
    <w:p w14:paraId="0E9773B3" w14:textId="77777777" w:rsidR="00000000" w:rsidRDefault="00C01C43">
      <w:pPr>
        <w:jc w:val="both"/>
        <w:rPr>
          <w:rFonts w:eastAsia="Times New Roman"/>
        </w:rPr>
      </w:pPr>
      <w:r>
        <w:rPr>
          <w:rFonts w:ascii="Arial" w:eastAsia="Times New Roman" w:hAnsi="Arial" w:cs="Arial"/>
          <w:color w:val="000000"/>
          <w:sz w:val="20"/>
          <w:szCs w:val="20"/>
        </w:rPr>
        <w:t xml:space="preserve">During 2018, we completed one </w:t>
      </w:r>
      <w:r>
        <w:rPr>
          <w:rFonts w:ascii="Arial" w:eastAsia="Times New Roman" w:hAnsi="Arial" w:cs="Arial"/>
          <w:color w:val="000000"/>
          <w:sz w:val="20"/>
          <w:szCs w:val="20"/>
        </w:rPr>
        <w:t>acquisition in the land segment. The financial position, results of operations and cash flows of the 2018 acquisition has been included in our Consolidated Financial Statements since its acquisition date and did not have a material impact on our Consolidat</w:t>
      </w:r>
      <w:r>
        <w:rPr>
          <w:rFonts w:ascii="Arial" w:eastAsia="Times New Roman" w:hAnsi="Arial" w:cs="Arial"/>
          <w:color w:val="000000"/>
          <w:sz w:val="20"/>
          <w:szCs w:val="20"/>
        </w:rPr>
        <w:t>ed Financial Statements as of and for the year ended December 31, 2018.</w:t>
      </w:r>
    </w:p>
    <w:p w14:paraId="633E60AF" w14:textId="77777777" w:rsidR="00000000" w:rsidRDefault="00C01C43">
      <w:pPr>
        <w:jc w:val="both"/>
        <w:divId w:val="676151934"/>
        <w:rPr>
          <w:rFonts w:eastAsia="Times New Roman"/>
        </w:rPr>
      </w:pPr>
      <w:r>
        <w:rPr>
          <w:rFonts w:ascii="Arial" w:eastAsia="Times New Roman" w:hAnsi="Arial" w:cs="Arial"/>
          <w:b/>
          <w:bCs/>
          <w:color w:val="000000"/>
          <w:sz w:val="20"/>
          <w:szCs w:val="20"/>
        </w:rPr>
        <w:t>4. Derivative Instruments</w:t>
      </w:r>
    </w:p>
    <w:p w14:paraId="6B0FFE6D" w14:textId="77777777" w:rsidR="00000000" w:rsidRDefault="00C01C43">
      <w:pPr>
        <w:jc w:val="both"/>
        <w:divId w:val="104540441"/>
        <w:rPr>
          <w:rFonts w:eastAsia="Times New Roman"/>
        </w:rPr>
      </w:pPr>
      <w:r>
        <w:rPr>
          <w:rFonts w:ascii="Arial" w:eastAsia="Times New Roman" w:hAnsi="Arial" w:cs="Arial"/>
          <w:color w:val="000000"/>
          <w:sz w:val="20"/>
          <w:szCs w:val="20"/>
        </w:rPr>
        <w:t>The following describes our derivative classifications:</w:t>
      </w:r>
    </w:p>
    <w:p w14:paraId="5FA0882B" w14:textId="77777777" w:rsidR="00000000" w:rsidRDefault="00C01C43">
      <w:pPr>
        <w:jc w:val="both"/>
        <w:rPr>
          <w:rFonts w:eastAsia="Times New Roman"/>
        </w:rPr>
      </w:pPr>
      <w:r>
        <w:rPr>
          <w:rFonts w:ascii="Arial" w:eastAsia="Times New Roman" w:hAnsi="Arial" w:cs="Arial"/>
          <w:i/>
          <w:iCs/>
          <w:color w:val="000000"/>
          <w:sz w:val="20"/>
          <w:szCs w:val="20"/>
        </w:rPr>
        <w:t>Fair Value Hedges</w:t>
      </w:r>
      <w:r>
        <w:rPr>
          <w:rFonts w:ascii="Arial" w:eastAsia="Times New Roman" w:hAnsi="Arial" w:cs="Arial"/>
          <w:color w:val="000000"/>
          <w:sz w:val="20"/>
          <w:szCs w:val="20"/>
        </w:rPr>
        <w:t>. Includes derivative contracts we hold to hedge the risk of changes in the price of our inventory.</w:t>
      </w:r>
    </w:p>
    <w:p w14:paraId="2C94BB1B" w14:textId="77777777" w:rsidR="00000000" w:rsidRDefault="00C01C43">
      <w:pPr>
        <w:ind w:firstLine="360"/>
        <w:jc w:val="both"/>
        <w:rPr>
          <w:rFonts w:eastAsia="Times New Roman"/>
        </w:rPr>
      </w:pPr>
    </w:p>
    <w:p w14:paraId="60DABA59" w14:textId="77777777" w:rsidR="00000000" w:rsidRDefault="00C01C43">
      <w:pPr>
        <w:jc w:val="both"/>
        <w:rPr>
          <w:rFonts w:eastAsia="Times New Roman"/>
        </w:rPr>
      </w:pPr>
      <w:r>
        <w:rPr>
          <w:rFonts w:ascii="Arial" w:eastAsia="Times New Roman" w:hAnsi="Arial" w:cs="Arial"/>
          <w:i/>
          <w:iCs/>
          <w:color w:val="000000"/>
          <w:sz w:val="20"/>
          <w:szCs w:val="20"/>
        </w:rPr>
        <w:t>Cash Flow Hedges</w:t>
      </w:r>
      <w:r>
        <w:rPr>
          <w:rFonts w:ascii="Arial" w:eastAsia="Times New Roman" w:hAnsi="Arial" w:cs="Arial"/>
          <w:color w:val="000000"/>
          <w:sz w:val="20"/>
          <w:szCs w:val="20"/>
        </w:rPr>
        <w:t>. Includes derivative contracts we execute to mitigate the risk of price and interest rate volatility in forecasted transactions.</w:t>
      </w:r>
    </w:p>
    <w:p w14:paraId="422BC35F" w14:textId="77777777" w:rsidR="00000000" w:rsidRDefault="00C01C43">
      <w:pPr>
        <w:jc w:val="both"/>
        <w:rPr>
          <w:rFonts w:eastAsia="Times New Roman"/>
        </w:rPr>
      </w:pPr>
    </w:p>
    <w:p w14:paraId="23F2E197" w14:textId="77777777" w:rsidR="00000000" w:rsidRDefault="00C01C43">
      <w:pPr>
        <w:jc w:val="both"/>
        <w:divId w:val="672954833"/>
        <w:rPr>
          <w:rFonts w:eastAsia="Times New Roman"/>
        </w:rPr>
      </w:pPr>
      <w:r>
        <w:rPr>
          <w:rFonts w:ascii="Arial" w:eastAsia="Times New Roman" w:hAnsi="Arial" w:cs="Arial"/>
          <w:i/>
          <w:iCs/>
          <w:color w:val="000000"/>
          <w:sz w:val="20"/>
          <w:szCs w:val="20"/>
        </w:rPr>
        <w:t>Non-de</w:t>
      </w:r>
      <w:r>
        <w:rPr>
          <w:rFonts w:ascii="Arial" w:eastAsia="Times New Roman" w:hAnsi="Arial" w:cs="Arial"/>
          <w:i/>
          <w:iCs/>
          <w:color w:val="000000"/>
          <w:sz w:val="20"/>
          <w:szCs w:val="20"/>
        </w:rPr>
        <w:t>signated Derivatives.</w:t>
      </w:r>
      <w:r>
        <w:rPr>
          <w:rFonts w:ascii="Arial" w:eastAsia="Times New Roman" w:hAnsi="Arial" w:cs="Arial"/>
          <w:color w:val="000000"/>
          <w:sz w:val="20"/>
          <w:szCs w:val="20"/>
        </w:rPr>
        <w:t xml:space="preserve"> Includes derivatives we primarily transact to mitigate the risk of market price fluctuations in swaps or futures contracts, as well as certain forward fixed price purchase and sale contracts to hedge the risk of currency rate fluctuat</w:t>
      </w:r>
      <w:r>
        <w:rPr>
          <w:rFonts w:ascii="Arial" w:eastAsia="Times New Roman" w:hAnsi="Arial" w:cs="Arial"/>
          <w:color w:val="000000"/>
          <w:sz w:val="20"/>
          <w:szCs w:val="20"/>
        </w:rPr>
        <w:t>ions and for portfolio optimization.</w:t>
      </w:r>
    </w:p>
    <w:p w14:paraId="37C51BAC" w14:textId="77777777" w:rsidR="00000000" w:rsidRDefault="00C01C43">
      <w:pPr>
        <w:jc w:val="both"/>
        <w:divId w:val="1793590844"/>
        <w:rPr>
          <w:rFonts w:eastAsia="Times New Roman"/>
        </w:rPr>
      </w:pPr>
      <w:r>
        <w:rPr>
          <w:rFonts w:ascii="Arial" w:eastAsia="Times New Roman" w:hAnsi="Arial" w:cs="Arial"/>
          <w:color w:val="000000"/>
          <w:sz w:val="20"/>
          <w:szCs w:val="20"/>
        </w:rPr>
        <w:t>In March 2020, we entered into a $300 million, one-month LIBOR, floating-for-fixed non-amortizing interest rate swap contract ("IR Swap") with a maturity date in March 2025. The IR Swap was designated as a cash flow hed</w:t>
      </w:r>
      <w:r>
        <w:rPr>
          <w:rFonts w:ascii="Arial" w:eastAsia="Times New Roman" w:hAnsi="Arial" w:cs="Arial"/>
          <w:color w:val="000000"/>
          <w:sz w:val="20"/>
          <w:szCs w:val="20"/>
        </w:rPr>
        <w:t>ge to mitigate potential adverse changes in interest rates related to certain variable rate debt obligations. Changes in the IR Swap's fair value recorded periodically in Accumulated other comprehensive income, are subsequently reclassified to our Consolid</w:t>
      </w:r>
      <w:r>
        <w:rPr>
          <w:rFonts w:ascii="Arial" w:eastAsia="Times New Roman" w:hAnsi="Arial" w:cs="Arial"/>
          <w:color w:val="000000"/>
          <w:sz w:val="20"/>
          <w:szCs w:val="20"/>
        </w:rPr>
        <w:t>ated Statements of Income and Comprehensive Income within Interest expense and other financing costs, net when the underlying hedged variable rate interest payments are accrued.</w:t>
      </w:r>
    </w:p>
    <w:p w14:paraId="1FC369B5" w14:textId="77777777" w:rsidR="00000000" w:rsidRDefault="00C01C43">
      <w:pPr>
        <w:jc w:val="center"/>
        <w:divId w:val="755903402"/>
        <w:rPr>
          <w:rFonts w:eastAsia="Times New Roman"/>
        </w:rPr>
      </w:pPr>
      <w:r>
        <w:rPr>
          <w:rFonts w:ascii="Arial" w:eastAsia="Times New Roman" w:hAnsi="Arial" w:cs="Arial"/>
          <w:color w:val="000000"/>
          <w:sz w:val="16"/>
          <w:szCs w:val="16"/>
        </w:rPr>
        <w:t>63</w:t>
      </w:r>
    </w:p>
    <w:p w14:paraId="26BAFE87" w14:textId="77777777" w:rsidR="00000000" w:rsidRDefault="00C01C43">
      <w:pPr>
        <w:rPr>
          <w:rFonts w:eastAsia="Times New Roman"/>
        </w:rPr>
      </w:pPr>
      <w:r>
        <w:rPr>
          <w:rFonts w:eastAsia="Times New Roman"/>
        </w:rPr>
        <w:pict w14:anchorId="7ADDF374">
          <v:rect id="_x0000_i1092" style="width:0;height:1.5pt" o:hralign="center" o:hrstd="t" o:hr="t" fillcolor="#a0a0a0" stroked="f"/>
        </w:pict>
      </w:r>
    </w:p>
    <w:p w14:paraId="6EC3363D" w14:textId="77777777" w:rsidR="00000000" w:rsidRDefault="00C01C43">
      <w:pPr>
        <w:divId w:val="1029450244"/>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5204C103" w14:textId="77777777" w:rsidR="00000000" w:rsidRDefault="00C01C43">
      <w:pPr>
        <w:jc w:val="both"/>
        <w:rPr>
          <w:rFonts w:eastAsia="Times New Roman"/>
        </w:rPr>
      </w:pPr>
      <w:r>
        <w:rPr>
          <w:rFonts w:ascii="Arial" w:eastAsia="Times New Roman" w:hAnsi="Arial" w:cs="Arial"/>
          <w:color w:val="000000"/>
          <w:sz w:val="20"/>
          <w:szCs w:val="20"/>
        </w:rPr>
        <w:t>The following table presents the gross fair value of our derivative instruments and their locations on the Consolidated Balance Sheets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421"/>
        <w:gridCol w:w="36"/>
        <w:gridCol w:w="36"/>
        <w:gridCol w:w="73"/>
        <w:gridCol w:w="36"/>
        <w:gridCol w:w="40"/>
        <w:gridCol w:w="2746"/>
        <w:gridCol w:w="37"/>
        <w:gridCol w:w="36"/>
        <w:gridCol w:w="73"/>
        <w:gridCol w:w="36"/>
        <w:gridCol w:w="109"/>
        <w:gridCol w:w="630"/>
        <w:gridCol w:w="36"/>
        <w:gridCol w:w="36"/>
        <w:gridCol w:w="73"/>
        <w:gridCol w:w="36"/>
        <w:gridCol w:w="109"/>
        <w:gridCol w:w="630"/>
        <w:gridCol w:w="36"/>
        <w:gridCol w:w="36"/>
        <w:gridCol w:w="74"/>
        <w:gridCol w:w="36"/>
        <w:gridCol w:w="36"/>
        <w:gridCol w:w="74"/>
        <w:gridCol w:w="36"/>
        <w:gridCol w:w="109"/>
        <w:gridCol w:w="631"/>
        <w:gridCol w:w="36"/>
        <w:gridCol w:w="36"/>
        <w:gridCol w:w="74"/>
        <w:gridCol w:w="36"/>
        <w:gridCol w:w="109"/>
        <w:gridCol w:w="631"/>
        <w:gridCol w:w="36"/>
      </w:tblGrid>
      <w:tr w:rsidR="00000000" w14:paraId="617F7CBC" w14:textId="77777777">
        <w:trPr>
          <w:jc w:val="center"/>
        </w:trPr>
        <w:tc>
          <w:tcPr>
            <w:tcW w:w="50" w:type="pct"/>
            <w:vAlign w:val="center"/>
            <w:hideMark/>
          </w:tcPr>
          <w:p w14:paraId="1B6D7DDD" w14:textId="77777777" w:rsidR="00000000" w:rsidRDefault="00C01C43">
            <w:pPr>
              <w:jc w:val="both"/>
              <w:rPr>
                <w:rFonts w:eastAsia="Times New Roman"/>
              </w:rPr>
            </w:pPr>
          </w:p>
        </w:tc>
        <w:tc>
          <w:tcPr>
            <w:tcW w:w="887" w:type="pct"/>
            <w:vAlign w:val="center"/>
            <w:hideMark/>
          </w:tcPr>
          <w:p w14:paraId="52823EBB" w14:textId="77777777" w:rsidR="00000000" w:rsidRDefault="00C01C43">
            <w:pPr>
              <w:rPr>
                <w:rFonts w:eastAsia="Times New Roman"/>
                <w:sz w:val="20"/>
                <w:szCs w:val="20"/>
              </w:rPr>
            </w:pPr>
          </w:p>
        </w:tc>
        <w:tc>
          <w:tcPr>
            <w:tcW w:w="5" w:type="pct"/>
            <w:vAlign w:val="center"/>
            <w:hideMark/>
          </w:tcPr>
          <w:p w14:paraId="69AD75A8" w14:textId="77777777" w:rsidR="00000000" w:rsidRDefault="00C01C43">
            <w:pPr>
              <w:rPr>
                <w:rFonts w:eastAsia="Times New Roman"/>
                <w:sz w:val="20"/>
                <w:szCs w:val="20"/>
              </w:rPr>
            </w:pPr>
          </w:p>
        </w:tc>
        <w:tc>
          <w:tcPr>
            <w:tcW w:w="5" w:type="pct"/>
            <w:vAlign w:val="center"/>
            <w:hideMark/>
          </w:tcPr>
          <w:p w14:paraId="3E87932F" w14:textId="77777777" w:rsidR="00000000" w:rsidRDefault="00C01C43">
            <w:pPr>
              <w:rPr>
                <w:rFonts w:eastAsia="Times New Roman"/>
                <w:sz w:val="20"/>
                <w:szCs w:val="20"/>
              </w:rPr>
            </w:pPr>
          </w:p>
        </w:tc>
        <w:tc>
          <w:tcPr>
            <w:tcW w:w="70" w:type="pct"/>
            <w:vAlign w:val="center"/>
            <w:hideMark/>
          </w:tcPr>
          <w:p w14:paraId="72265427" w14:textId="77777777" w:rsidR="00000000" w:rsidRDefault="00C01C43">
            <w:pPr>
              <w:rPr>
                <w:rFonts w:eastAsia="Times New Roman"/>
                <w:sz w:val="20"/>
                <w:szCs w:val="20"/>
              </w:rPr>
            </w:pPr>
          </w:p>
        </w:tc>
        <w:tc>
          <w:tcPr>
            <w:tcW w:w="5" w:type="pct"/>
            <w:vAlign w:val="center"/>
            <w:hideMark/>
          </w:tcPr>
          <w:p w14:paraId="43775374" w14:textId="77777777" w:rsidR="00000000" w:rsidRDefault="00C01C43">
            <w:pPr>
              <w:rPr>
                <w:rFonts w:eastAsia="Times New Roman"/>
                <w:sz w:val="20"/>
                <w:szCs w:val="20"/>
              </w:rPr>
            </w:pPr>
          </w:p>
        </w:tc>
        <w:tc>
          <w:tcPr>
            <w:tcW w:w="50" w:type="pct"/>
            <w:vAlign w:val="center"/>
            <w:hideMark/>
          </w:tcPr>
          <w:p w14:paraId="53C96993" w14:textId="77777777" w:rsidR="00000000" w:rsidRDefault="00C01C43">
            <w:pPr>
              <w:rPr>
                <w:rFonts w:eastAsia="Times New Roman"/>
                <w:sz w:val="20"/>
                <w:szCs w:val="20"/>
              </w:rPr>
            </w:pPr>
          </w:p>
        </w:tc>
        <w:tc>
          <w:tcPr>
            <w:tcW w:w="1677" w:type="pct"/>
            <w:vAlign w:val="center"/>
            <w:hideMark/>
          </w:tcPr>
          <w:p w14:paraId="70E3FD79" w14:textId="77777777" w:rsidR="00000000" w:rsidRDefault="00C01C43">
            <w:pPr>
              <w:rPr>
                <w:rFonts w:eastAsia="Times New Roman"/>
                <w:sz w:val="20"/>
                <w:szCs w:val="20"/>
              </w:rPr>
            </w:pPr>
          </w:p>
        </w:tc>
        <w:tc>
          <w:tcPr>
            <w:tcW w:w="5" w:type="pct"/>
            <w:vAlign w:val="center"/>
            <w:hideMark/>
          </w:tcPr>
          <w:p w14:paraId="757FF953" w14:textId="77777777" w:rsidR="00000000" w:rsidRDefault="00C01C43">
            <w:pPr>
              <w:rPr>
                <w:rFonts w:eastAsia="Times New Roman"/>
                <w:sz w:val="20"/>
                <w:szCs w:val="20"/>
              </w:rPr>
            </w:pPr>
          </w:p>
        </w:tc>
        <w:tc>
          <w:tcPr>
            <w:tcW w:w="5" w:type="pct"/>
            <w:vAlign w:val="center"/>
            <w:hideMark/>
          </w:tcPr>
          <w:p w14:paraId="498CD46C" w14:textId="77777777" w:rsidR="00000000" w:rsidRDefault="00C01C43">
            <w:pPr>
              <w:rPr>
                <w:rFonts w:eastAsia="Times New Roman"/>
                <w:sz w:val="20"/>
                <w:szCs w:val="20"/>
              </w:rPr>
            </w:pPr>
          </w:p>
        </w:tc>
        <w:tc>
          <w:tcPr>
            <w:tcW w:w="70" w:type="pct"/>
            <w:vAlign w:val="center"/>
            <w:hideMark/>
          </w:tcPr>
          <w:p w14:paraId="3ABE0309" w14:textId="77777777" w:rsidR="00000000" w:rsidRDefault="00C01C43">
            <w:pPr>
              <w:rPr>
                <w:rFonts w:eastAsia="Times New Roman"/>
                <w:sz w:val="20"/>
                <w:szCs w:val="20"/>
              </w:rPr>
            </w:pPr>
          </w:p>
        </w:tc>
        <w:tc>
          <w:tcPr>
            <w:tcW w:w="5" w:type="pct"/>
            <w:vAlign w:val="center"/>
            <w:hideMark/>
          </w:tcPr>
          <w:p w14:paraId="268734E8" w14:textId="77777777" w:rsidR="00000000" w:rsidRDefault="00C01C43">
            <w:pPr>
              <w:rPr>
                <w:rFonts w:eastAsia="Times New Roman"/>
                <w:sz w:val="20"/>
                <w:szCs w:val="20"/>
              </w:rPr>
            </w:pPr>
          </w:p>
        </w:tc>
        <w:tc>
          <w:tcPr>
            <w:tcW w:w="50" w:type="pct"/>
            <w:vAlign w:val="center"/>
            <w:hideMark/>
          </w:tcPr>
          <w:p w14:paraId="2C056A72" w14:textId="77777777" w:rsidR="00000000" w:rsidRDefault="00C01C43">
            <w:pPr>
              <w:rPr>
                <w:rFonts w:eastAsia="Times New Roman"/>
                <w:sz w:val="20"/>
                <w:szCs w:val="20"/>
              </w:rPr>
            </w:pPr>
          </w:p>
        </w:tc>
        <w:tc>
          <w:tcPr>
            <w:tcW w:w="405" w:type="pct"/>
            <w:vAlign w:val="center"/>
            <w:hideMark/>
          </w:tcPr>
          <w:p w14:paraId="66D159CC" w14:textId="77777777" w:rsidR="00000000" w:rsidRDefault="00C01C43">
            <w:pPr>
              <w:rPr>
                <w:rFonts w:eastAsia="Times New Roman"/>
                <w:sz w:val="20"/>
                <w:szCs w:val="20"/>
              </w:rPr>
            </w:pPr>
          </w:p>
        </w:tc>
        <w:tc>
          <w:tcPr>
            <w:tcW w:w="5" w:type="pct"/>
            <w:vAlign w:val="center"/>
            <w:hideMark/>
          </w:tcPr>
          <w:p w14:paraId="086EE4C5" w14:textId="77777777" w:rsidR="00000000" w:rsidRDefault="00C01C43">
            <w:pPr>
              <w:rPr>
                <w:rFonts w:eastAsia="Times New Roman"/>
                <w:sz w:val="20"/>
                <w:szCs w:val="20"/>
              </w:rPr>
            </w:pPr>
          </w:p>
        </w:tc>
        <w:tc>
          <w:tcPr>
            <w:tcW w:w="5" w:type="pct"/>
            <w:vAlign w:val="center"/>
            <w:hideMark/>
          </w:tcPr>
          <w:p w14:paraId="214AFE22" w14:textId="77777777" w:rsidR="00000000" w:rsidRDefault="00C01C43">
            <w:pPr>
              <w:rPr>
                <w:rFonts w:eastAsia="Times New Roman"/>
                <w:sz w:val="20"/>
                <w:szCs w:val="20"/>
              </w:rPr>
            </w:pPr>
          </w:p>
        </w:tc>
        <w:tc>
          <w:tcPr>
            <w:tcW w:w="70" w:type="pct"/>
            <w:vAlign w:val="center"/>
            <w:hideMark/>
          </w:tcPr>
          <w:p w14:paraId="55042A67" w14:textId="77777777" w:rsidR="00000000" w:rsidRDefault="00C01C43">
            <w:pPr>
              <w:rPr>
                <w:rFonts w:eastAsia="Times New Roman"/>
                <w:sz w:val="20"/>
                <w:szCs w:val="20"/>
              </w:rPr>
            </w:pPr>
          </w:p>
        </w:tc>
        <w:tc>
          <w:tcPr>
            <w:tcW w:w="5" w:type="pct"/>
            <w:vAlign w:val="center"/>
            <w:hideMark/>
          </w:tcPr>
          <w:p w14:paraId="1BDB9945" w14:textId="77777777" w:rsidR="00000000" w:rsidRDefault="00C01C43">
            <w:pPr>
              <w:rPr>
                <w:rFonts w:eastAsia="Times New Roman"/>
                <w:sz w:val="20"/>
                <w:szCs w:val="20"/>
              </w:rPr>
            </w:pPr>
          </w:p>
        </w:tc>
        <w:tc>
          <w:tcPr>
            <w:tcW w:w="50" w:type="pct"/>
            <w:vAlign w:val="center"/>
            <w:hideMark/>
          </w:tcPr>
          <w:p w14:paraId="5293BC77" w14:textId="77777777" w:rsidR="00000000" w:rsidRDefault="00C01C43">
            <w:pPr>
              <w:rPr>
                <w:rFonts w:eastAsia="Times New Roman"/>
                <w:sz w:val="20"/>
                <w:szCs w:val="20"/>
              </w:rPr>
            </w:pPr>
          </w:p>
        </w:tc>
        <w:tc>
          <w:tcPr>
            <w:tcW w:w="405" w:type="pct"/>
            <w:vAlign w:val="center"/>
            <w:hideMark/>
          </w:tcPr>
          <w:p w14:paraId="08B1F740" w14:textId="77777777" w:rsidR="00000000" w:rsidRDefault="00C01C43">
            <w:pPr>
              <w:rPr>
                <w:rFonts w:eastAsia="Times New Roman"/>
                <w:sz w:val="20"/>
                <w:szCs w:val="20"/>
              </w:rPr>
            </w:pPr>
          </w:p>
        </w:tc>
        <w:tc>
          <w:tcPr>
            <w:tcW w:w="5" w:type="pct"/>
            <w:vAlign w:val="center"/>
            <w:hideMark/>
          </w:tcPr>
          <w:p w14:paraId="2E6719CF" w14:textId="77777777" w:rsidR="00000000" w:rsidRDefault="00C01C43">
            <w:pPr>
              <w:rPr>
                <w:rFonts w:eastAsia="Times New Roman"/>
                <w:sz w:val="20"/>
                <w:szCs w:val="20"/>
              </w:rPr>
            </w:pPr>
          </w:p>
        </w:tc>
        <w:tc>
          <w:tcPr>
            <w:tcW w:w="5" w:type="pct"/>
            <w:vAlign w:val="center"/>
            <w:hideMark/>
          </w:tcPr>
          <w:p w14:paraId="4455DF95" w14:textId="77777777" w:rsidR="00000000" w:rsidRDefault="00C01C43">
            <w:pPr>
              <w:rPr>
                <w:rFonts w:eastAsia="Times New Roman"/>
                <w:sz w:val="20"/>
                <w:szCs w:val="20"/>
              </w:rPr>
            </w:pPr>
          </w:p>
        </w:tc>
        <w:tc>
          <w:tcPr>
            <w:tcW w:w="70" w:type="pct"/>
            <w:vAlign w:val="center"/>
            <w:hideMark/>
          </w:tcPr>
          <w:p w14:paraId="2D6F389D" w14:textId="77777777" w:rsidR="00000000" w:rsidRDefault="00C01C43">
            <w:pPr>
              <w:rPr>
                <w:rFonts w:eastAsia="Times New Roman"/>
                <w:sz w:val="20"/>
                <w:szCs w:val="20"/>
              </w:rPr>
            </w:pPr>
          </w:p>
        </w:tc>
        <w:tc>
          <w:tcPr>
            <w:tcW w:w="5" w:type="pct"/>
            <w:vAlign w:val="center"/>
            <w:hideMark/>
          </w:tcPr>
          <w:p w14:paraId="1EDB9E94" w14:textId="77777777" w:rsidR="00000000" w:rsidRDefault="00C01C43">
            <w:pPr>
              <w:rPr>
                <w:rFonts w:eastAsia="Times New Roman"/>
                <w:sz w:val="20"/>
                <w:szCs w:val="20"/>
              </w:rPr>
            </w:pPr>
          </w:p>
        </w:tc>
        <w:tc>
          <w:tcPr>
            <w:tcW w:w="5" w:type="pct"/>
            <w:vAlign w:val="center"/>
            <w:hideMark/>
          </w:tcPr>
          <w:p w14:paraId="6A5F4870" w14:textId="77777777" w:rsidR="00000000" w:rsidRDefault="00C01C43">
            <w:pPr>
              <w:rPr>
                <w:rFonts w:eastAsia="Times New Roman"/>
                <w:sz w:val="20"/>
                <w:szCs w:val="20"/>
              </w:rPr>
            </w:pPr>
          </w:p>
        </w:tc>
        <w:tc>
          <w:tcPr>
            <w:tcW w:w="70" w:type="pct"/>
            <w:vAlign w:val="center"/>
            <w:hideMark/>
          </w:tcPr>
          <w:p w14:paraId="646AE520" w14:textId="77777777" w:rsidR="00000000" w:rsidRDefault="00C01C43">
            <w:pPr>
              <w:rPr>
                <w:rFonts w:eastAsia="Times New Roman"/>
                <w:sz w:val="20"/>
                <w:szCs w:val="20"/>
              </w:rPr>
            </w:pPr>
          </w:p>
        </w:tc>
        <w:tc>
          <w:tcPr>
            <w:tcW w:w="5" w:type="pct"/>
            <w:vAlign w:val="center"/>
            <w:hideMark/>
          </w:tcPr>
          <w:p w14:paraId="73E4E0CD" w14:textId="77777777" w:rsidR="00000000" w:rsidRDefault="00C01C43">
            <w:pPr>
              <w:rPr>
                <w:rFonts w:eastAsia="Times New Roman"/>
                <w:sz w:val="20"/>
                <w:szCs w:val="20"/>
              </w:rPr>
            </w:pPr>
          </w:p>
        </w:tc>
        <w:tc>
          <w:tcPr>
            <w:tcW w:w="50" w:type="pct"/>
            <w:vAlign w:val="center"/>
            <w:hideMark/>
          </w:tcPr>
          <w:p w14:paraId="2E91130F" w14:textId="77777777" w:rsidR="00000000" w:rsidRDefault="00C01C43">
            <w:pPr>
              <w:rPr>
                <w:rFonts w:eastAsia="Times New Roman"/>
                <w:sz w:val="20"/>
                <w:szCs w:val="20"/>
              </w:rPr>
            </w:pPr>
          </w:p>
        </w:tc>
        <w:tc>
          <w:tcPr>
            <w:tcW w:w="405" w:type="pct"/>
            <w:vAlign w:val="center"/>
            <w:hideMark/>
          </w:tcPr>
          <w:p w14:paraId="0E94E039" w14:textId="77777777" w:rsidR="00000000" w:rsidRDefault="00C01C43">
            <w:pPr>
              <w:rPr>
                <w:rFonts w:eastAsia="Times New Roman"/>
                <w:sz w:val="20"/>
                <w:szCs w:val="20"/>
              </w:rPr>
            </w:pPr>
          </w:p>
        </w:tc>
        <w:tc>
          <w:tcPr>
            <w:tcW w:w="5" w:type="pct"/>
            <w:vAlign w:val="center"/>
            <w:hideMark/>
          </w:tcPr>
          <w:p w14:paraId="006A9FE9" w14:textId="77777777" w:rsidR="00000000" w:rsidRDefault="00C01C43">
            <w:pPr>
              <w:rPr>
                <w:rFonts w:eastAsia="Times New Roman"/>
                <w:sz w:val="20"/>
                <w:szCs w:val="20"/>
              </w:rPr>
            </w:pPr>
          </w:p>
        </w:tc>
        <w:tc>
          <w:tcPr>
            <w:tcW w:w="5" w:type="pct"/>
            <w:vAlign w:val="center"/>
            <w:hideMark/>
          </w:tcPr>
          <w:p w14:paraId="15855FC6" w14:textId="77777777" w:rsidR="00000000" w:rsidRDefault="00C01C43">
            <w:pPr>
              <w:rPr>
                <w:rFonts w:eastAsia="Times New Roman"/>
                <w:sz w:val="20"/>
                <w:szCs w:val="20"/>
              </w:rPr>
            </w:pPr>
          </w:p>
        </w:tc>
        <w:tc>
          <w:tcPr>
            <w:tcW w:w="70" w:type="pct"/>
            <w:vAlign w:val="center"/>
            <w:hideMark/>
          </w:tcPr>
          <w:p w14:paraId="38B7F643" w14:textId="77777777" w:rsidR="00000000" w:rsidRDefault="00C01C43">
            <w:pPr>
              <w:rPr>
                <w:rFonts w:eastAsia="Times New Roman"/>
                <w:sz w:val="20"/>
                <w:szCs w:val="20"/>
              </w:rPr>
            </w:pPr>
          </w:p>
        </w:tc>
        <w:tc>
          <w:tcPr>
            <w:tcW w:w="5" w:type="pct"/>
            <w:vAlign w:val="center"/>
            <w:hideMark/>
          </w:tcPr>
          <w:p w14:paraId="046F4AB0" w14:textId="77777777" w:rsidR="00000000" w:rsidRDefault="00C01C43">
            <w:pPr>
              <w:rPr>
                <w:rFonts w:eastAsia="Times New Roman"/>
                <w:sz w:val="20"/>
                <w:szCs w:val="20"/>
              </w:rPr>
            </w:pPr>
          </w:p>
        </w:tc>
        <w:tc>
          <w:tcPr>
            <w:tcW w:w="50" w:type="pct"/>
            <w:vAlign w:val="center"/>
            <w:hideMark/>
          </w:tcPr>
          <w:p w14:paraId="3C90F1BE" w14:textId="77777777" w:rsidR="00000000" w:rsidRDefault="00C01C43">
            <w:pPr>
              <w:rPr>
                <w:rFonts w:eastAsia="Times New Roman"/>
                <w:sz w:val="20"/>
                <w:szCs w:val="20"/>
              </w:rPr>
            </w:pPr>
          </w:p>
        </w:tc>
        <w:tc>
          <w:tcPr>
            <w:tcW w:w="405" w:type="pct"/>
            <w:vAlign w:val="center"/>
            <w:hideMark/>
          </w:tcPr>
          <w:p w14:paraId="1F96DB85" w14:textId="77777777" w:rsidR="00000000" w:rsidRDefault="00C01C43">
            <w:pPr>
              <w:rPr>
                <w:rFonts w:eastAsia="Times New Roman"/>
                <w:sz w:val="20"/>
                <w:szCs w:val="20"/>
              </w:rPr>
            </w:pPr>
          </w:p>
        </w:tc>
        <w:tc>
          <w:tcPr>
            <w:tcW w:w="5" w:type="pct"/>
            <w:vAlign w:val="center"/>
            <w:hideMark/>
          </w:tcPr>
          <w:p w14:paraId="79703A74" w14:textId="77777777" w:rsidR="00000000" w:rsidRDefault="00C01C43">
            <w:pPr>
              <w:rPr>
                <w:rFonts w:eastAsia="Times New Roman"/>
                <w:sz w:val="20"/>
                <w:szCs w:val="20"/>
              </w:rPr>
            </w:pPr>
          </w:p>
        </w:tc>
      </w:tr>
      <w:tr w:rsidR="00000000" w14:paraId="517DF6E7" w14:textId="77777777">
        <w:trPr>
          <w:jc w:val="center"/>
        </w:trPr>
        <w:tc>
          <w:tcPr>
            <w:tcW w:w="0" w:type="auto"/>
            <w:gridSpan w:val="3"/>
            <w:tcMar>
              <w:top w:w="0" w:type="dxa"/>
              <w:left w:w="20" w:type="dxa"/>
              <w:bottom w:w="0" w:type="dxa"/>
              <w:right w:w="20" w:type="dxa"/>
            </w:tcMar>
            <w:vAlign w:val="center"/>
            <w:hideMark/>
          </w:tcPr>
          <w:p w14:paraId="72E1173A"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40451198"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34C0C212" w14:textId="77777777" w:rsidR="00000000" w:rsidRDefault="00C01C43">
            <w:pPr>
              <w:rPr>
                <w:rFonts w:eastAsia="Times New Roman"/>
                <w:sz w:val="20"/>
                <w:szCs w:val="20"/>
              </w:rPr>
            </w:pPr>
          </w:p>
        </w:tc>
        <w:tc>
          <w:tcPr>
            <w:tcW w:w="0" w:type="auto"/>
            <w:gridSpan w:val="12"/>
            <w:tcMar>
              <w:top w:w="30" w:type="dxa"/>
              <w:left w:w="20" w:type="dxa"/>
              <w:bottom w:w="30" w:type="dxa"/>
              <w:right w:w="20" w:type="dxa"/>
            </w:tcMar>
            <w:vAlign w:val="bottom"/>
            <w:hideMark/>
          </w:tcPr>
          <w:p w14:paraId="61E1FBD0" w14:textId="77777777" w:rsidR="00000000" w:rsidRDefault="00C01C43">
            <w:pPr>
              <w:jc w:val="center"/>
              <w:rPr>
                <w:rFonts w:eastAsia="Times New Roman"/>
              </w:rPr>
            </w:pPr>
            <w:r>
              <w:rPr>
                <w:rFonts w:ascii="Arial" w:eastAsia="Times New Roman" w:hAnsi="Arial" w:cs="Arial"/>
                <w:b/>
                <w:bCs/>
                <w:color w:val="000000"/>
                <w:sz w:val="16"/>
                <w:szCs w:val="16"/>
              </w:rPr>
              <w:t>Gross Derivative Assets</w:t>
            </w:r>
          </w:p>
        </w:tc>
        <w:tc>
          <w:tcPr>
            <w:tcW w:w="0" w:type="auto"/>
            <w:gridSpan w:val="3"/>
            <w:tcMar>
              <w:top w:w="0" w:type="dxa"/>
              <w:left w:w="20" w:type="dxa"/>
              <w:bottom w:w="0" w:type="dxa"/>
              <w:right w:w="20" w:type="dxa"/>
            </w:tcMar>
            <w:vAlign w:val="center"/>
            <w:hideMark/>
          </w:tcPr>
          <w:p w14:paraId="35863B25" w14:textId="77777777" w:rsidR="00000000" w:rsidRDefault="00C01C43">
            <w:pPr>
              <w:jc w:val="center"/>
              <w:rPr>
                <w:rFonts w:eastAsia="Times New Roman"/>
              </w:rPr>
            </w:pPr>
          </w:p>
        </w:tc>
        <w:tc>
          <w:tcPr>
            <w:tcW w:w="0" w:type="auto"/>
            <w:gridSpan w:val="12"/>
            <w:tcMar>
              <w:top w:w="30" w:type="dxa"/>
              <w:left w:w="20" w:type="dxa"/>
              <w:bottom w:w="30" w:type="dxa"/>
              <w:right w:w="20" w:type="dxa"/>
            </w:tcMar>
            <w:vAlign w:val="bottom"/>
            <w:hideMark/>
          </w:tcPr>
          <w:p w14:paraId="7997D973" w14:textId="77777777" w:rsidR="00000000" w:rsidRDefault="00C01C43">
            <w:pPr>
              <w:jc w:val="center"/>
              <w:rPr>
                <w:rFonts w:eastAsia="Times New Roman"/>
              </w:rPr>
            </w:pPr>
            <w:r>
              <w:rPr>
                <w:rFonts w:ascii="Arial" w:eastAsia="Times New Roman" w:hAnsi="Arial" w:cs="Arial"/>
                <w:b/>
                <w:bCs/>
                <w:color w:val="000000"/>
                <w:sz w:val="16"/>
                <w:szCs w:val="16"/>
              </w:rPr>
              <w:t>Gross Derivative Liabilities</w:t>
            </w:r>
          </w:p>
        </w:tc>
      </w:tr>
      <w:tr w:rsidR="00000000" w14:paraId="12CAB5EA" w14:textId="77777777">
        <w:trPr>
          <w:jc w:val="center"/>
        </w:trPr>
        <w:tc>
          <w:tcPr>
            <w:tcW w:w="0" w:type="auto"/>
            <w:gridSpan w:val="3"/>
            <w:tcMar>
              <w:top w:w="0" w:type="dxa"/>
              <w:left w:w="20" w:type="dxa"/>
              <w:bottom w:w="0" w:type="dxa"/>
              <w:right w:w="20" w:type="dxa"/>
            </w:tcMar>
            <w:vAlign w:val="center"/>
            <w:hideMark/>
          </w:tcPr>
          <w:p w14:paraId="6875EBEF"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0EE91EDF"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20520BD5" w14:textId="77777777" w:rsidR="00000000" w:rsidRDefault="00C01C43">
            <w:pPr>
              <w:rPr>
                <w:rFonts w:eastAsia="Times New Roman"/>
                <w:sz w:val="20"/>
                <w:szCs w:val="20"/>
              </w:rPr>
            </w:pPr>
          </w:p>
        </w:tc>
        <w:tc>
          <w:tcPr>
            <w:tcW w:w="0" w:type="auto"/>
            <w:gridSpan w:val="12"/>
            <w:tcMar>
              <w:top w:w="30" w:type="dxa"/>
              <w:left w:w="20" w:type="dxa"/>
              <w:bottom w:w="30" w:type="dxa"/>
              <w:right w:w="20" w:type="dxa"/>
            </w:tcMar>
            <w:vAlign w:val="bottom"/>
            <w:hideMark/>
          </w:tcPr>
          <w:p w14:paraId="069CB469" w14:textId="77777777" w:rsidR="00000000" w:rsidRDefault="00C01C43">
            <w:pPr>
              <w:jc w:val="center"/>
              <w:rPr>
                <w:rFonts w:eastAsia="Times New Roman"/>
              </w:rPr>
            </w:pPr>
            <w:r>
              <w:rPr>
                <w:rFonts w:ascii="Arial" w:eastAsia="Times New Roman" w:hAnsi="Arial" w:cs="Arial"/>
                <w:b/>
                <w:bCs/>
                <w:color w:val="000000"/>
                <w:sz w:val="16"/>
                <w:szCs w:val="16"/>
              </w:rPr>
              <w:t>As of December 31,</w:t>
            </w:r>
          </w:p>
        </w:tc>
        <w:tc>
          <w:tcPr>
            <w:tcW w:w="0" w:type="auto"/>
            <w:gridSpan w:val="3"/>
            <w:tcMar>
              <w:top w:w="0" w:type="dxa"/>
              <w:left w:w="20" w:type="dxa"/>
              <w:bottom w:w="0" w:type="dxa"/>
              <w:right w:w="20" w:type="dxa"/>
            </w:tcMar>
            <w:vAlign w:val="center"/>
            <w:hideMark/>
          </w:tcPr>
          <w:p w14:paraId="44C1E54E" w14:textId="77777777" w:rsidR="00000000" w:rsidRDefault="00C01C43">
            <w:pPr>
              <w:jc w:val="center"/>
              <w:rPr>
                <w:rFonts w:eastAsia="Times New Roman"/>
              </w:rPr>
            </w:pPr>
          </w:p>
        </w:tc>
        <w:tc>
          <w:tcPr>
            <w:tcW w:w="0" w:type="auto"/>
            <w:gridSpan w:val="12"/>
            <w:tcMar>
              <w:top w:w="30" w:type="dxa"/>
              <w:left w:w="20" w:type="dxa"/>
              <w:bottom w:w="30" w:type="dxa"/>
              <w:right w:w="20" w:type="dxa"/>
            </w:tcMar>
            <w:vAlign w:val="bottom"/>
            <w:hideMark/>
          </w:tcPr>
          <w:p w14:paraId="5D86ADE9" w14:textId="77777777" w:rsidR="00000000" w:rsidRDefault="00C01C43">
            <w:pPr>
              <w:jc w:val="center"/>
              <w:rPr>
                <w:rFonts w:eastAsia="Times New Roman"/>
              </w:rPr>
            </w:pPr>
            <w:r>
              <w:rPr>
                <w:rFonts w:ascii="Arial" w:eastAsia="Times New Roman" w:hAnsi="Arial" w:cs="Arial"/>
                <w:b/>
                <w:bCs/>
                <w:color w:val="000000"/>
                <w:sz w:val="16"/>
                <w:szCs w:val="16"/>
              </w:rPr>
              <w:t>As of December 31,</w:t>
            </w:r>
          </w:p>
        </w:tc>
      </w:tr>
      <w:tr w:rsidR="00000000" w14:paraId="05CC57B1" w14:textId="77777777">
        <w:trPr>
          <w:jc w:val="center"/>
        </w:trPr>
        <w:tc>
          <w:tcPr>
            <w:tcW w:w="0" w:type="auto"/>
            <w:gridSpan w:val="3"/>
            <w:tcMar>
              <w:top w:w="30" w:type="dxa"/>
              <w:left w:w="20" w:type="dxa"/>
              <w:bottom w:w="30" w:type="dxa"/>
              <w:right w:w="20" w:type="dxa"/>
            </w:tcMar>
            <w:vAlign w:val="bottom"/>
            <w:hideMark/>
          </w:tcPr>
          <w:p w14:paraId="05B18590" w14:textId="77777777" w:rsidR="00000000" w:rsidRDefault="00C01C43">
            <w:pPr>
              <w:rPr>
                <w:rFonts w:eastAsia="Times New Roman"/>
              </w:rPr>
            </w:pPr>
            <w:r>
              <w:rPr>
                <w:rFonts w:ascii="Arial" w:eastAsia="Times New Roman" w:hAnsi="Arial" w:cs="Arial"/>
                <w:b/>
                <w:bCs/>
                <w:color w:val="000000"/>
                <w:sz w:val="16"/>
                <w:szCs w:val="16"/>
              </w:rPr>
              <w:t>Derivative Instruments</w:t>
            </w:r>
          </w:p>
        </w:tc>
        <w:tc>
          <w:tcPr>
            <w:tcW w:w="0" w:type="auto"/>
            <w:gridSpan w:val="3"/>
            <w:tcBorders>
              <w:bottom w:val="single" w:sz="8" w:space="0" w:color="000000"/>
            </w:tcBorders>
            <w:tcMar>
              <w:top w:w="0" w:type="dxa"/>
              <w:left w:w="20" w:type="dxa"/>
              <w:bottom w:w="0" w:type="dxa"/>
              <w:right w:w="20" w:type="dxa"/>
            </w:tcMar>
            <w:vAlign w:val="center"/>
            <w:hideMark/>
          </w:tcPr>
          <w:p w14:paraId="065D9798" w14:textId="77777777" w:rsidR="00000000" w:rsidRDefault="00C01C43">
            <w:pP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F8D5120" w14:textId="77777777" w:rsidR="00000000" w:rsidRDefault="00C01C43">
            <w:pPr>
              <w:rPr>
                <w:rFonts w:eastAsia="Times New Roman"/>
              </w:rPr>
            </w:pPr>
            <w:r>
              <w:rPr>
                <w:rFonts w:ascii="Arial" w:eastAsia="Times New Roman" w:hAnsi="Arial" w:cs="Arial"/>
                <w:b/>
                <w:bCs/>
                <w:color w:val="000000"/>
                <w:sz w:val="16"/>
                <w:szCs w:val="16"/>
              </w:rPr>
              <w:t>Balance Sheet Location</w:t>
            </w:r>
          </w:p>
        </w:tc>
        <w:tc>
          <w:tcPr>
            <w:tcW w:w="0" w:type="auto"/>
            <w:gridSpan w:val="3"/>
            <w:tcBorders>
              <w:top w:val="single" w:sz="8" w:space="0" w:color="000000"/>
            </w:tcBorders>
            <w:tcMar>
              <w:top w:w="0" w:type="dxa"/>
              <w:left w:w="20" w:type="dxa"/>
              <w:bottom w:w="0" w:type="dxa"/>
              <w:right w:w="20" w:type="dxa"/>
            </w:tcMar>
            <w:vAlign w:val="center"/>
            <w:hideMark/>
          </w:tcPr>
          <w:p w14:paraId="7B6E0739" w14:textId="77777777" w:rsidR="00000000" w:rsidRDefault="00C01C4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18044D" w14:textId="77777777" w:rsidR="00000000" w:rsidRDefault="00C01C43">
            <w:pPr>
              <w:jc w:val="right"/>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F69DBB4" w14:textId="77777777" w:rsidR="00000000" w:rsidRDefault="00C01C4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1E9183" w14:textId="77777777" w:rsidR="00000000" w:rsidRDefault="00C01C43">
            <w:pPr>
              <w:jc w:val="right"/>
              <w:rPr>
                <w:rFonts w:eastAsia="Times New Roman"/>
              </w:rPr>
            </w:pPr>
            <w:r>
              <w:rPr>
                <w:rFonts w:ascii="Arial" w:eastAsia="Times New Roman" w:hAnsi="Arial" w:cs="Arial"/>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7EC111A6" w14:textId="77777777" w:rsidR="00000000" w:rsidRDefault="00C01C4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FCEFCF2" w14:textId="77777777" w:rsidR="00000000" w:rsidRDefault="00C01C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2CAC2A1" w14:textId="77777777" w:rsidR="00000000" w:rsidRDefault="00C01C43">
            <w:pPr>
              <w:jc w:val="right"/>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79977D9" w14:textId="77777777" w:rsidR="00000000" w:rsidRDefault="00C01C4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97A61B" w14:textId="77777777" w:rsidR="00000000" w:rsidRDefault="00C01C43">
            <w:pPr>
              <w:jc w:val="right"/>
              <w:rPr>
                <w:rFonts w:eastAsia="Times New Roman"/>
              </w:rPr>
            </w:pPr>
            <w:r>
              <w:rPr>
                <w:rFonts w:ascii="Arial" w:eastAsia="Times New Roman" w:hAnsi="Arial" w:cs="Arial"/>
                <w:b/>
                <w:bCs/>
                <w:color w:val="000000"/>
                <w:sz w:val="16"/>
                <w:szCs w:val="16"/>
              </w:rPr>
              <w:t>2019</w:t>
            </w:r>
          </w:p>
        </w:tc>
      </w:tr>
      <w:tr w:rsidR="00000000" w14:paraId="5194F4B0" w14:textId="77777777">
        <w:trPr>
          <w:jc w:val="center"/>
        </w:trPr>
        <w:tc>
          <w:tcPr>
            <w:tcW w:w="0" w:type="auto"/>
            <w:gridSpan w:val="9"/>
            <w:tcBorders>
              <w:top w:val="single" w:sz="8" w:space="0" w:color="000000"/>
            </w:tcBorders>
            <w:shd w:val="clear" w:color="auto" w:fill="CCEEFF"/>
            <w:tcMar>
              <w:top w:w="30" w:type="dxa"/>
              <w:left w:w="20" w:type="dxa"/>
              <w:bottom w:w="30" w:type="dxa"/>
              <w:right w:w="20" w:type="dxa"/>
            </w:tcMar>
            <w:vAlign w:val="bottom"/>
            <w:hideMark/>
          </w:tcPr>
          <w:p w14:paraId="0B4CDAC6" w14:textId="77777777" w:rsidR="00000000" w:rsidRDefault="00C01C43">
            <w:pPr>
              <w:rPr>
                <w:rFonts w:eastAsia="Times New Roman"/>
              </w:rPr>
            </w:pPr>
            <w:r>
              <w:rPr>
                <w:rFonts w:ascii="Arial" w:eastAsia="Times New Roman" w:hAnsi="Arial" w:cs="Arial"/>
                <w:b/>
                <w:bCs/>
                <w:color w:val="000000"/>
                <w:sz w:val="16"/>
                <w:szCs w:val="16"/>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719D9F"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B89F60"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C6EBB5"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4D63A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F5FDC1"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148C2F"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52D45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A8212F"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0DE849" w14:textId="77777777" w:rsidR="00000000" w:rsidRDefault="00C01C43">
            <w:pPr>
              <w:rPr>
                <w:rFonts w:eastAsia="Times New Roman"/>
                <w:sz w:val="20"/>
                <w:szCs w:val="20"/>
              </w:rPr>
            </w:pPr>
          </w:p>
        </w:tc>
      </w:tr>
      <w:tr w:rsidR="00000000" w14:paraId="466D4120" w14:textId="77777777">
        <w:trPr>
          <w:jc w:val="center"/>
        </w:trPr>
        <w:tc>
          <w:tcPr>
            <w:tcW w:w="0" w:type="auto"/>
            <w:gridSpan w:val="3"/>
            <w:shd w:val="clear" w:color="auto" w:fill="FFFFFF"/>
            <w:tcMar>
              <w:top w:w="30" w:type="dxa"/>
              <w:left w:w="20" w:type="dxa"/>
              <w:bottom w:w="30" w:type="dxa"/>
              <w:right w:w="20" w:type="dxa"/>
            </w:tcMar>
            <w:vAlign w:val="bottom"/>
            <w:hideMark/>
          </w:tcPr>
          <w:p w14:paraId="5A7BD84E" w14:textId="77777777" w:rsidR="00000000" w:rsidRDefault="00C01C43">
            <w:pPr>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14:paraId="5C261667" w14:textId="77777777" w:rsidR="00000000" w:rsidRDefault="00C01C4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C36671A" w14:textId="77777777" w:rsidR="00000000" w:rsidRDefault="00C01C43">
            <w:pPr>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14:paraId="0E1E29B0" w14:textId="77777777" w:rsidR="00000000" w:rsidRDefault="00C01C43">
            <w:pPr>
              <w:rPr>
                <w:rFonts w:eastAsia="Times New Roman"/>
              </w:rPr>
            </w:pPr>
          </w:p>
        </w:tc>
        <w:tc>
          <w:tcPr>
            <w:tcW w:w="0" w:type="auto"/>
            <w:shd w:val="clear" w:color="auto" w:fill="FFFFFF"/>
            <w:tcMar>
              <w:top w:w="30" w:type="dxa"/>
              <w:left w:w="20" w:type="dxa"/>
              <w:bottom w:w="30" w:type="dxa"/>
              <w:right w:w="0" w:type="dxa"/>
            </w:tcMar>
            <w:vAlign w:val="bottom"/>
            <w:hideMark/>
          </w:tcPr>
          <w:p w14:paraId="3632053A" w14:textId="77777777" w:rsidR="00000000" w:rsidRDefault="00C01C43">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37FF5611" w14:textId="77777777" w:rsidR="00000000" w:rsidRDefault="00C01C43">
            <w:pPr>
              <w:jc w:val="right"/>
              <w:rPr>
                <w:rFonts w:eastAsia="Times New Roman"/>
              </w:rPr>
            </w:pPr>
            <w:r>
              <w:rPr>
                <w:rFonts w:ascii="Arial" w:eastAsia="Times New Roman" w:hAnsi="Arial" w:cs="Arial"/>
                <w:color w:val="000000"/>
                <w:sz w:val="16"/>
                <w:szCs w:val="16"/>
              </w:rPr>
              <w:t>124.9 </w:t>
            </w:r>
          </w:p>
        </w:tc>
        <w:tc>
          <w:tcPr>
            <w:tcW w:w="0" w:type="auto"/>
            <w:shd w:val="clear" w:color="auto" w:fill="FFFFFF"/>
            <w:tcMar>
              <w:top w:w="30" w:type="dxa"/>
              <w:left w:w="0" w:type="dxa"/>
              <w:bottom w:w="30" w:type="dxa"/>
              <w:right w:w="20" w:type="dxa"/>
            </w:tcMar>
            <w:vAlign w:val="bottom"/>
            <w:hideMark/>
          </w:tcPr>
          <w:p w14:paraId="5995956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917858"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C29F56" w14:textId="77777777" w:rsidR="00000000" w:rsidRDefault="00C01C43">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5A677823"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E78C50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AC5F5"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F8EE85" w14:textId="77777777" w:rsidR="00000000" w:rsidRDefault="00C01C43">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E325BA" w14:textId="77777777" w:rsidR="00000000" w:rsidRDefault="00C01C43">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7A2B405C" w14:textId="77777777" w:rsidR="00000000" w:rsidRDefault="00C01C43">
            <w:pPr>
              <w:jc w:val="right"/>
              <w:rPr>
                <w:rFonts w:eastAsia="Times New Roman"/>
              </w:rPr>
            </w:pPr>
            <w:r>
              <w:rPr>
                <w:rFonts w:ascii="Arial" w:eastAsia="Times New Roman" w:hAnsi="Arial" w:cs="Arial"/>
                <w:color w:val="000000"/>
                <w:sz w:val="16"/>
                <w:szCs w:val="16"/>
              </w:rPr>
              <w:t>120.7 </w:t>
            </w:r>
          </w:p>
        </w:tc>
        <w:tc>
          <w:tcPr>
            <w:tcW w:w="0" w:type="auto"/>
            <w:shd w:val="clear" w:color="auto" w:fill="FFFFFF"/>
            <w:tcMar>
              <w:top w:w="30" w:type="dxa"/>
              <w:left w:w="0" w:type="dxa"/>
              <w:bottom w:w="30" w:type="dxa"/>
              <w:right w:w="20" w:type="dxa"/>
            </w:tcMar>
            <w:vAlign w:val="bottom"/>
            <w:hideMark/>
          </w:tcPr>
          <w:p w14:paraId="685109E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6905C"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0CC2EF" w14:textId="77777777" w:rsidR="00000000" w:rsidRDefault="00C01C43">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199F166E"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72C3801" w14:textId="77777777" w:rsidR="00000000" w:rsidRDefault="00C01C43">
            <w:pPr>
              <w:jc w:val="right"/>
              <w:rPr>
                <w:rFonts w:eastAsia="Times New Roman"/>
              </w:rPr>
            </w:pPr>
          </w:p>
        </w:tc>
      </w:tr>
      <w:tr w:rsidR="00000000" w14:paraId="09518D00" w14:textId="77777777">
        <w:trPr>
          <w:jc w:val="center"/>
        </w:trPr>
        <w:tc>
          <w:tcPr>
            <w:tcW w:w="0" w:type="auto"/>
            <w:gridSpan w:val="3"/>
            <w:vAlign w:val="center"/>
            <w:hideMark/>
          </w:tcPr>
          <w:p w14:paraId="68683C65" w14:textId="77777777" w:rsidR="00000000" w:rsidRDefault="00C01C43">
            <w:pPr>
              <w:jc w:val="right"/>
              <w:rPr>
                <w:rFonts w:eastAsia="Times New Roman"/>
                <w:sz w:val="20"/>
                <w:szCs w:val="20"/>
              </w:rPr>
            </w:pPr>
          </w:p>
        </w:tc>
        <w:tc>
          <w:tcPr>
            <w:tcW w:w="0" w:type="auto"/>
            <w:gridSpan w:val="3"/>
            <w:vAlign w:val="center"/>
            <w:hideMark/>
          </w:tcPr>
          <w:p w14:paraId="01E1CB62" w14:textId="77777777" w:rsidR="00000000" w:rsidRDefault="00C01C43">
            <w:pPr>
              <w:rPr>
                <w:rFonts w:eastAsia="Times New Roman"/>
                <w:sz w:val="20"/>
                <w:szCs w:val="20"/>
              </w:rPr>
            </w:pPr>
          </w:p>
        </w:tc>
        <w:tc>
          <w:tcPr>
            <w:tcW w:w="0" w:type="auto"/>
            <w:gridSpan w:val="3"/>
            <w:vAlign w:val="center"/>
            <w:hideMark/>
          </w:tcPr>
          <w:p w14:paraId="4E44162A" w14:textId="77777777" w:rsidR="00000000" w:rsidRDefault="00C01C43">
            <w:pPr>
              <w:rPr>
                <w:rFonts w:eastAsia="Times New Roman"/>
                <w:sz w:val="20"/>
                <w:szCs w:val="20"/>
              </w:rPr>
            </w:pPr>
          </w:p>
        </w:tc>
        <w:tc>
          <w:tcPr>
            <w:tcW w:w="0" w:type="auto"/>
            <w:gridSpan w:val="3"/>
            <w:vAlign w:val="center"/>
            <w:hideMark/>
          </w:tcPr>
          <w:p w14:paraId="25131F81" w14:textId="77777777" w:rsidR="00000000" w:rsidRDefault="00C01C43">
            <w:pPr>
              <w:rPr>
                <w:rFonts w:eastAsia="Times New Roman"/>
                <w:sz w:val="20"/>
                <w:szCs w:val="20"/>
              </w:rPr>
            </w:pPr>
          </w:p>
        </w:tc>
        <w:tc>
          <w:tcPr>
            <w:tcW w:w="0" w:type="auto"/>
            <w:gridSpan w:val="3"/>
            <w:vAlign w:val="center"/>
            <w:hideMark/>
          </w:tcPr>
          <w:p w14:paraId="69AC64F6" w14:textId="77777777" w:rsidR="00000000" w:rsidRDefault="00C01C43">
            <w:pPr>
              <w:rPr>
                <w:rFonts w:eastAsia="Times New Roman"/>
                <w:sz w:val="20"/>
                <w:szCs w:val="20"/>
              </w:rPr>
            </w:pPr>
          </w:p>
        </w:tc>
        <w:tc>
          <w:tcPr>
            <w:tcW w:w="0" w:type="auto"/>
            <w:gridSpan w:val="3"/>
            <w:vAlign w:val="center"/>
            <w:hideMark/>
          </w:tcPr>
          <w:p w14:paraId="15AA2E0D" w14:textId="77777777" w:rsidR="00000000" w:rsidRDefault="00C01C43">
            <w:pPr>
              <w:rPr>
                <w:rFonts w:eastAsia="Times New Roman"/>
                <w:sz w:val="20"/>
                <w:szCs w:val="20"/>
              </w:rPr>
            </w:pPr>
          </w:p>
        </w:tc>
        <w:tc>
          <w:tcPr>
            <w:tcW w:w="0" w:type="auto"/>
            <w:gridSpan w:val="3"/>
            <w:vAlign w:val="center"/>
            <w:hideMark/>
          </w:tcPr>
          <w:p w14:paraId="3CB565CA" w14:textId="77777777" w:rsidR="00000000" w:rsidRDefault="00C01C43">
            <w:pPr>
              <w:rPr>
                <w:rFonts w:eastAsia="Times New Roman"/>
                <w:sz w:val="20"/>
                <w:szCs w:val="20"/>
              </w:rPr>
            </w:pPr>
          </w:p>
        </w:tc>
        <w:tc>
          <w:tcPr>
            <w:tcW w:w="0" w:type="auto"/>
            <w:gridSpan w:val="3"/>
            <w:vAlign w:val="center"/>
            <w:hideMark/>
          </w:tcPr>
          <w:p w14:paraId="160ED1A6" w14:textId="77777777" w:rsidR="00000000" w:rsidRDefault="00C01C43">
            <w:pPr>
              <w:rPr>
                <w:rFonts w:eastAsia="Times New Roman"/>
                <w:sz w:val="20"/>
                <w:szCs w:val="20"/>
              </w:rPr>
            </w:pPr>
          </w:p>
        </w:tc>
        <w:tc>
          <w:tcPr>
            <w:tcW w:w="0" w:type="auto"/>
            <w:gridSpan w:val="3"/>
            <w:vAlign w:val="center"/>
            <w:hideMark/>
          </w:tcPr>
          <w:p w14:paraId="518D89EC" w14:textId="77777777" w:rsidR="00000000" w:rsidRDefault="00C01C43">
            <w:pPr>
              <w:rPr>
                <w:rFonts w:eastAsia="Times New Roman"/>
                <w:sz w:val="20"/>
                <w:szCs w:val="20"/>
              </w:rPr>
            </w:pPr>
          </w:p>
        </w:tc>
        <w:tc>
          <w:tcPr>
            <w:tcW w:w="0" w:type="auto"/>
            <w:gridSpan w:val="3"/>
            <w:vAlign w:val="center"/>
            <w:hideMark/>
          </w:tcPr>
          <w:p w14:paraId="3DF0FA8D" w14:textId="77777777" w:rsidR="00000000" w:rsidRDefault="00C01C43">
            <w:pPr>
              <w:rPr>
                <w:rFonts w:eastAsia="Times New Roman"/>
                <w:sz w:val="20"/>
                <w:szCs w:val="20"/>
              </w:rPr>
            </w:pPr>
          </w:p>
        </w:tc>
        <w:tc>
          <w:tcPr>
            <w:tcW w:w="0" w:type="auto"/>
            <w:gridSpan w:val="3"/>
            <w:vAlign w:val="center"/>
            <w:hideMark/>
          </w:tcPr>
          <w:p w14:paraId="60C8C890" w14:textId="77777777" w:rsidR="00000000" w:rsidRDefault="00C01C43">
            <w:pPr>
              <w:rPr>
                <w:rFonts w:eastAsia="Times New Roman"/>
                <w:sz w:val="20"/>
                <w:szCs w:val="20"/>
              </w:rPr>
            </w:pPr>
          </w:p>
        </w:tc>
        <w:tc>
          <w:tcPr>
            <w:tcW w:w="0" w:type="auto"/>
            <w:gridSpan w:val="3"/>
            <w:vAlign w:val="center"/>
            <w:hideMark/>
          </w:tcPr>
          <w:p w14:paraId="11C3383F" w14:textId="77777777" w:rsidR="00000000" w:rsidRDefault="00C01C43">
            <w:pPr>
              <w:rPr>
                <w:rFonts w:eastAsia="Times New Roman"/>
                <w:sz w:val="20"/>
                <w:szCs w:val="20"/>
              </w:rPr>
            </w:pPr>
          </w:p>
        </w:tc>
      </w:tr>
      <w:tr w:rsidR="00000000" w14:paraId="0366416D" w14:textId="77777777">
        <w:trPr>
          <w:jc w:val="center"/>
        </w:trPr>
        <w:tc>
          <w:tcPr>
            <w:tcW w:w="0" w:type="auto"/>
            <w:gridSpan w:val="3"/>
            <w:shd w:val="clear" w:color="auto" w:fill="CCEEFF"/>
            <w:tcMar>
              <w:top w:w="0" w:type="dxa"/>
              <w:left w:w="20" w:type="dxa"/>
              <w:bottom w:w="0" w:type="dxa"/>
              <w:right w:w="20" w:type="dxa"/>
            </w:tcMar>
            <w:vAlign w:val="center"/>
            <w:hideMark/>
          </w:tcPr>
          <w:p w14:paraId="189AF0C0"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12AEA0" w14:textId="77777777" w:rsidR="00000000" w:rsidRDefault="00C01C4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6C1DE6E" w14:textId="77777777" w:rsidR="00000000" w:rsidRDefault="00C01C43">
            <w:pPr>
              <w:rPr>
                <w:rFonts w:eastAsia="Times New Roman"/>
              </w:rPr>
            </w:pPr>
            <w:r>
              <w:rPr>
                <w:rFonts w:ascii="Arial" w:eastAsia="Times New Roman" w:hAnsi="Arial" w:cs="Arial"/>
                <w:color w:val="000000"/>
                <w:sz w:val="16"/>
                <w:szCs w:val="16"/>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14:paraId="367F058B"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046855" w14:textId="77777777" w:rsidR="00000000" w:rsidRDefault="00C01C43">
            <w:pPr>
              <w:jc w:val="right"/>
              <w:rPr>
                <w:rFonts w:eastAsia="Times New Roman"/>
              </w:rPr>
            </w:pPr>
            <w:r>
              <w:rPr>
                <w:rFonts w:ascii="Arial" w:eastAsia="Times New Roman" w:hAnsi="Arial" w:cs="Arial"/>
                <w:color w:val="000000"/>
                <w:sz w:val="16"/>
                <w:szCs w:val="16"/>
              </w:rPr>
              <w:t>1.0 </w:t>
            </w:r>
          </w:p>
        </w:tc>
        <w:tc>
          <w:tcPr>
            <w:tcW w:w="0" w:type="auto"/>
            <w:shd w:val="clear" w:color="auto" w:fill="CCEEFF"/>
            <w:tcMar>
              <w:top w:w="30" w:type="dxa"/>
              <w:left w:w="0" w:type="dxa"/>
              <w:bottom w:w="30" w:type="dxa"/>
              <w:right w:w="20" w:type="dxa"/>
            </w:tcMar>
            <w:vAlign w:val="bottom"/>
            <w:hideMark/>
          </w:tcPr>
          <w:p w14:paraId="3E235F9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808F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1CBA08" w14:textId="77777777" w:rsidR="00000000" w:rsidRDefault="00C01C43">
            <w:pPr>
              <w:jc w:val="right"/>
              <w:rPr>
                <w:rFonts w:eastAsia="Times New Roman"/>
              </w:rPr>
            </w:pPr>
            <w:r>
              <w:rPr>
                <w:rFonts w:ascii="Arial" w:eastAsia="Times New Roman" w:hAnsi="Arial" w:cs="Arial"/>
                <w:color w:val="000000"/>
                <w:sz w:val="16"/>
                <w:szCs w:val="16"/>
              </w:rPr>
              <w:t>1.7 </w:t>
            </w:r>
          </w:p>
        </w:tc>
        <w:tc>
          <w:tcPr>
            <w:tcW w:w="0" w:type="auto"/>
            <w:shd w:val="clear" w:color="auto" w:fill="CCEEFF"/>
            <w:tcMar>
              <w:top w:w="30" w:type="dxa"/>
              <w:left w:w="0" w:type="dxa"/>
              <w:bottom w:w="30" w:type="dxa"/>
              <w:right w:w="20" w:type="dxa"/>
            </w:tcMar>
            <w:vAlign w:val="bottom"/>
            <w:hideMark/>
          </w:tcPr>
          <w:p w14:paraId="081997B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DDA337"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CB521E" w14:textId="77777777" w:rsidR="00000000" w:rsidRDefault="00C01C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1A1A46" w14:textId="77777777" w:rsidR="00000000" w:rsidRDefault="00C01C43">
            <w:pPr>
              <w:jc w:val="right"/>
              <w:rPr>
                <w:rFonts w:eastAsia="Times New Roman"/>
              </w:rPr>
            </w:pPr>
            <w:r>
              <w:rPr>
                <w:rFonts w:ascii="Arial" w:eastAsia="Times New Roman" w:hAnsi="Arial" w:cs="Arial"/>
                <w:color w:val="000000"/>
                <w:sz w:val="16"/>
                <w:szCs w:val="16"/>
              </w:rPr>
              <w:t>2.3 </w:t>
            </w:r>
          </w:p>
        </w:tc>
        <w:tc>
          <w:tcPr>
            <w:tcW w:w="0" w:type="auto"/>
            <w:shd w:val="clear" w:color="auto" w:fill="CCEEFF"/>
            <w:tcMar>
              <w:top w:w="30" w:type="dxa"/>
              <w:left w:w="0" w:type="dxa"/>
              <w:bottom w:w="30" w:type="dxa"/>
              <w:right w:w="20" w:type="dxa"/>
            </w:tcMar>
            <w:vAlign w:val="bottom"/>
            <w:hideMark/>
          </w:tcPr>
          <w:p w14:paraId="3C6EACF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ED9E9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EB2A61" w14:textId="77777777" w:rsidR="00000000" w:rsidRDefault="00C01C43">
            <w:pPr>
              <w:jc w:val="right"/>
              <w:rPr>
                <w:rFonts w:eastAsia="Times New Roman"/>
              </w:rPr>
            </w:pPr>
            <w:r>
              <w:rPr>
                <w:rFonts w:ascii="Arial" w:eastAsia="Times New Roman" w:hAnsi="Arial" w:cs="Arial"/>
                <w:color w:val="000000"/>
                <w:sz w:val="16"/>
                <w:szCs w:val="16"/>
              </w:rPr>
              <w:t>20.0 </w:t>
            </w:r>
          </w:p>
        </w:tc>
        <w:tc>
          <w:tcPr>
            <w:tcW w:w="0" w:type="auto"/>
            <w:shd w:val="clear" w:color="auto" w:fill="CCEEFF"/>
            <w:tcMar>
              <w:top w:w="30" w:type="dxa"/>
              <w:left w:w="0" w:type="dxa"/>
              <w:bottom w:w="30" w:type="dxa"/>
              <w:right w:w="20" w:type="dxa"/>
            </w:tcMar>
            <w:vAlign w:val="bottom"/>
            <w:hideMark/>
          </w:tcPr>
          <w:p w14:paraId="52C5A560" w14:textId="77777777" w:rsidR="00000000" w:rsidRDefault="00C01C43">
            <w:pPr>
              <w:jc w:val="right"/>
              <w:rPr>
                <w:rFonts w:eastAsia="Times New Roman"/>
              </w:rPr>
            </w:pPr>
          </w:p>
        </w:tc>
      </w:tr>
      <w:tr w:rsidR="00000000" w14:paraId="686B594E" w14:textId="77777777">
        <w:trPr>
          <w:jc w:val="center"/>
        </w:trPr>
        <w:tc>
          <w:tcPr>
            <w:tcW w:w="0" w:type="auto"/>
            <w:gridSpan w:val="3"/>
            <w:shd w:val="clear" w:color="auto" w:fill="FFFFFF"/>
            <w:tcMar>
              <w:top w:w="0" w:type="dxa"/>
              <w:left w:w="20" w:type="dxa"/>
              <w:bottom w:w="0" w:type="dxa"/>
              <w:right w:w="20" w:type="dxa"/>
            </w:tcMar>
            <w:vAlign w:val="center"/>
            <w:hideMark/>
          </w:tcPr>
          <w:p w14:paraId="04E89525"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AE55CD" w14:textId="77777777" w:rsidR="00000000" w:rsidRDefault="00C01C4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01E7D80" w14:textId="77777777" w:rsidR="00000000" w:rsidRDefault="00C01C43">
            <w:pPr>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14:paraId="0CC18426"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F767D0" w14:textId="77777777" w:rsidR="00000000" w:rsidRDefault="00C01C43">
            <w:pPr>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14:paraId="0C5697B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80D3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EF0157"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813603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EF040"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33B206" w14:textId="77777777" w:rsidR="00000000" w:rsidRDefault="00C01C4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4163E1" w14:textId="77777777" w:rsidR="00000000" w:rsidRDefault="00C01C43">
            <w:pPr>
              <w:jc w:val="right"/>
              <w:rPr>
                <w:rFonts w:eastAsia="Times New Roman"/>
              </w:rPr>
            </w:pPr>
            <w:r>
              <w:rPr>
                <w:rFonts w:ascii="Arial" w:eastAsia="Times New Roman" w:hAnsi="Arial" w:cs="Arial"/>
                <w:color w:val="000000"/>
                <w:sz w:val="16"/>
                <w:szCs w:val="16"/>
              </w:rPr>
              <w:t>0.5 </w:t>
            </w:r>
          </w:p>
        </w:tc>
        <w:tc>
          <w:tcPr>
            <w:tcW w:w="0" w:type="auto"/>
            <w:shd w:val="clear" w:color="auto" w:fill="FFFFFF"/>
            <w:tcMar>
              <w:top w:w="30" w:type="dxa"/>
              <w:left w:w="0" w:type="dxa"/>
              <w:bottom w:w="30" w:type="dxa"/>
              <w:right w:w="20" w:type="dxa"/>
            </w:tcMar>
            <w:vAlign w:val="bottom"/>
            <w:hideMark/>
          </w:tcPr>
          <w:p w14:paraId="38A15E1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A390C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F58513"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7FEE385" w14:textId="77777777" w:rsidR="00000000" w:rsidRDefault="00C01C43">
            <w:pPr>
              <w:jc w:val="right"/>
              <w:rPr>
                <w:rFonts w:eastAsia="Times New Roman"/>
              </w:rPr>
            </w:pPr>
          </w:p>
        </w:tc>
      </w:tr>
      <w:tr w:rsidR="00000000" w14:paraId="6580EA8E" w14:textId="77777777">
        <w:trPr>
          <w:jc w:val="center"/>
        </w:trPr>
        <w:tc>
          <w:tcPr>
            <w:tcW w:w="0" w:type="auto"/>
            <w:gridSpan w:val="3"/>
            <w:shd w:val="clear" w:color="auto" w:fill="CCEEFF"/>
            <w:tcMar>
              <w:top w:w="0" w:type="dxa"/>
              <w:left w:w="20" w:type="dxa"/>
              <w:bottom w:w="0" w:type="dxa"/>
              <w:right w:w="20" w:type="dxa"/>
            </w:tcMar>
            <w:vAlign w:val="center"/>
            <w:hideMark/>
          </w:tcPr>
          <w:p w14:paraId="794DE611"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80071F"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9E0E4D"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9751E0"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2CD72A" w14:textId="77777777" w:rsidR="00000000" w:rsidRDefault="00C01C43">
            <w:pPr>
              <w:jc w:val="right"/>
              <w:rPr>
                <w:rFonts w:eastAsia="Times New Roman"/>
              </w:rPr>
            </w:pPr>
            <w:r>
              <w:rPr>
                <w:rFonts w:ascii="Arial" w:eastAsia="Times New Roman" w:hAnsi="Arial" w:cs="Arial"/>
                <w:color w:val="000000"/>
                <w:sz w:val="16"/>
                <w:szCs w:val="16"/>
              </w:rPr>
              <w:t>126.0 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474978"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DA2096"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2109D7" w14:textId="77777777" w:rsidR="00000000" w:rsidRDefault="00C01C43">
            <w:pPr>
              <w:jc w:val="right"/>
              <w:rPr>
                <w:rFonts w:eastAsia="Times New Roman"/>
              </w:rPr>
            </w:pPr>
            <w:r>
              <w:rPr>
                <w:rFonts w:ascii="Arial" w:eastAsia="Times New Roman" w:hAnsi="Arial" w:cs="Arial"/>
                <w:color w:val="000000"/>
                <w:sz w:val="16"/>
                <w:szCs w:val="16"/>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834470"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E55388"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C24FE3"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7F9C3F" w14:textId="77777777" w:rsidR="00000000" w:rsidRDefault="00C01C43">
            <w:pPr>
              <w:jc w:val="right"/>
              <w:rPr>
                <w:rFonts w:eastAsia="Times New Roman"/>
              </w:rPr>
            </w:pPr>
            <w:r>
              <w:rPr>
                <w:rFonts w:ascii="Arial" w:eastAsia="Times New Roman" w:hAnsi="Arial" w:cs="Arial"/>
                <w:color w:val="000000"/>
                <w:sz w:val="16"/>
                <w:szCs w:val="16"/>
              </w:rPr>
              <w:t>123.5 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99DC20"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9E9D28"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FFBFBB" w14:textId="77777777" w:rsidR="00000000" w:rsidRDefault="00C01C43">
            <w:pPr>
              <w:jc w:val="right"/>
              <w:rPr>
                <w:rFonts w:eastAsia="Times New Roman"/>
              </w:rPr>
            </w:pPr>
            <w:r>
              <w:rPr>
                <w:rFonts w:ascii="Arial" w:eastAsia="Times New Roman" w:hAnsi="Arial" w:cs="Arial"/>
                <w:color w:val="000000"/>
                <w:sz w:val="16"/>
                <w:szCs w:val="16"/>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6B2540" w14:textId="77777777" w:rsidR="00000000" w:rsidRDefault="00C01C43">
            <w:pPr>
              <w:jc w:val="right"/>
              <w:rPr>
                <w:rFonts w:eastAsia="Times New Roman"/>
              </w:rPr>
            </w:pPr>
          </w:p>
        </w:tc>
      </w:tr>
      <w:tr w:rsidR="00000000" w14:paraId="1ADAAD6B" w14:textId="77777777">
        <w:trPr>
          <w:trHeight w:val="240"/>
          <w:jc w:val="center"/>
        </w:trPr>
        <w:tc>
          <w:tcPr>
            <w:tcW w:w="0" w:type="auto"/>
            <w:gridSpan w:val="3"/>
            <w:shd w:val="clear" w:color="auto" w:fill="FFFFFF"/>
            <w:tcMar>
              <w:top w:w="0" w:type="dxa"/>
              <w:left w:w="20" w:type="dxa"/>
              <w:bottom w:w="0" w:type="dxa"/>
              <w:right w:w="20" w:type="dxa"/>
            </w:tcMar>
            <w:vAlign w:val="center"/>
            <w:hideMark/>
          </w:tcPr>
          <w:p w14:paraId="1DB32F6A"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2EC993"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F804F6"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CE3353F"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7E9098"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7E07D6"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FF76E1"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D808349"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639506D"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FCF355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B3D6ED1"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ED13492" w14:textId="77777777" w:rsidR="00000000" w:rsidRDefault="00C01C43">
            <w:pPr>
              <w:rPr>
                <w:rFonts w:eastAsia="Times New Roman"/>
                <w:sz w:val="20"/>
                <w:szCs w:val="20"/>
              </w:rPr>
            </w:pPr>
          </w:p>
        </w:tc>
      </w:tr>
      <w:tr w:rsidR="00000000" w14:paraId="207A36CF" w14:textId="77777777">
        <w:trPr>
          <w:jc w:val="center"/>
        </w:trPr>
        <w:tc>
          <w:tcPr>
            <w:tcW w:w="0" w:type="auto"/>
            <w:gridSpan w:val="3"/>
            <w:vAlign w:val="center"/>
            <w:hideMark/>
          </w:tcPr>
          <w:p w14:paraId="523B9652" w14:textId="77777777" w:rsidR="00000000" w:rsidRDefault="00C01C43">
            <w:pPr>
              <w:rPr>
                <w:rFonts w:eastAsia="Times New Roman"/>
                <w:sz w:val="20"/>
                <w:szCs w:val="20"/>
              </w:rPr>
            </w:pPr>
          </w:p>
        </w:tc>
        <w:tc>
          <w:tcPr>
            <w:tcW w:w="0" w:type="auto"/>
            <w:gridSpan w:val="3"/>
            <w:vAlign w:val="center"/>
            <w:hideMark/>
          </w:tcPr>
          <w:p w14:paraId="5302A752" w14:textId="77777777" w:rsidR="00000000" w:rsidRDefault="00C01C43">
            <w:pPr>
              <w:rPr>
                <w:rFonts w:eastAsia="Times New Roman"/>
                <w:sz w:val="20"/>
                <w:szCs w:val="20"/>
              </w:rPr>
            </w:pPr>
          </w:p>
        </w:tc>
        <w:tc>
          <w:tcPr>
            <w:tcW w:w="0" w:type="auto"/>
            <w:gridSpan w:val="3"/>
            <w:vAlign w:val="center"/>
            <w:hideMark/>
          </w:tcPr>
          <w:p w14:paraId="27D9E555" w14:textId="77777777" w:rsidR="00000000" w:rsidRDefault="00C01C43">
            <w:pPr>
              <w:rPr>
                <w:rFonts w:eastAsia="Times New Roman"/>
                <w:sz w:val="20"/>
                <w:szCs w:val="20"/>
              </w:rPr>
            </w:pPr>
          </w:p>
        </w:tc>
        <w:tc>
          <w:tcPr>
            <w:tcW w:w="0" w:type="auto"/>
            <w:gridSpan w:val="3"/>
            <w:vAlign w:val="center"/>
            <w:hideMark/>
          </w:tcPr>
          <w:p w14:paraId="6D3FC0F9" w14:textId="77777777" w:rsidR="00000000" w:rsidRDefault="00C01C43">
            <w:pPr>
              <w:rPr>
                <w:rFonts w:eastAsia="Times New Roman"/>
                <w:sz w:val="20"/>
                <w:szCs w:val="20"/>
              </w:rPr>
            </w:pPr>
          </w:p>
        </w:tc>
        <w:tc>
          <w:tcPr>
            <w:tcW w:w="0" w:type="auto"/>
            <w:gridSpan w:val="3"/>
            <w:vAlign w:val="center"/>
            <w:hideMark/>
          </w:tcPr>
          <w:p w14:paraId="41DAFB28" w14:textId="77777777" w:rsidR="00000000" w:rsidRDefault="00C01C43">
            <w:pPr>
              <w:rPr>
                <w:rFonts w:eastAsia="Times New Roman"/>
                <w:sz w:val="20"/>
                <w:szCs w:val="20"/>
              </w:rPr>
            </w:pPr>
          </w:p>
        </w:tc>
        <w:tc>
          <w:tcPr>
            <w:tcW w:w="0" w:type="auto"/>
            <w:gridSpan w:val="3"/>
            <w:vAlign w:val="center"/>
            <w:hideMark/>
          </w:tcPr>
          <w:p w14:paraId="08E1FA30" w14:textId="77777777" w:rsidR="00000000" w:rsidRDefault="00C01C43">
            <w:pPr>
              <w:rPr>
                <w:rFonts w:eastAsia="Times New Roman"/>
                <w:sz w:val="20"/>
                <w:szCs w:val="20"/>
              </w:rPr>
            </w:pPr>
          </w:p>
        </w:tc>
        <w:tc>
          <w:tcPr>
            <w:tcW w:w="0" w:type="auto"/>
            <w:gridSpan w:val="3"/>
            <w:vAlign w:val="center"/>
            <w:hideMark/>
          </w:tcPr>
          <w:p w14:paraId="6047AFF1" w14:textId="77777777" w:rsidR="00000000" w:rsidRDefault="00C01C43">
            <w:pPr>
              <w:rPr>
                <w:rFonts w:eastAsia="Times New Roman"/>
                <w:sz w:val="20"/>
                <w:szCs w:val="20"/>
              </w:rPr>
            </w:pPr>
          </w:p>
        </w:tc>
        <w:tc>
          <w:tcPr>
            <w:tcW w:w="0" w:type="auto"/>
            <w:gridSpan w:val="3"/>
            <w:vAlign w:val="center"/>
            <w:hideMark/>
          </w:tcPr>
          <w:p w14:paraId="3935ACB5" w14:textId="77777777" w:rsidR="00000000" w:rsidRDefault="00C01C43">
            <w:pPr>
              <w:rPr>
                <w:rFonts w:eastAsia="Times New Roman"/>
                <w:sz w:val="20"/>
                <w:szCs w:val="20"/>
              </w:rPr>
            </w:pPr>
          </w:p>
        </w:tc>
        <w:tc>
          <w:tcPr>
            <w:tcW w:w="0" w:type="auto"/>
            <w:gridSpan w:val="3"/>
            <w:vAlign w:val="center"/>
            <w:hideMark/>
          </w:tcPr>
          <w:p w14:paraId="5B2F74C4" w14:textId="77777777" w:rsidR="00000000" w:rsidRDefault="00C01C43">
            <w:pPr>
              <w:rPr>
                <w:rFonts w:eastAsia="Times New Roman"/>
                <w:sz w:val="20"/>
                <w:szCs w:val="20"/>
              </w:rPr>
            </w:pPr>
          </w:p>
        </w:tc>
        <w:tc>
          <w:tcPr>
            <w:tcW w:w="0" w:type="auto"/>
            <w:gridSpan w:val="3"/>
            <w:vAlign w:val="center"/>
            <w:hideMark/>
          </w:tcPr>
          <w:p w14:paraId="469F7B50" w14:textId="77777777" w:rsidR="00000000" w:rsidRDefault="00C01C43">
            <w:pPr>
              <w:rPr>
                <w:rFonts w:eastAsia="Times New Roman"/>
                <w:sz w:val="20"/>
                <w:szCs w:val="20"/>
              </w:rPr>
            </w:pPr>
          </w:p>
        </w:tc>
        <w:tc>
          <w:tcPr>
            <w:tcW w:w="0" w:type="auto"/>
            <w:gridSpan w:val="3"/>
            <w:vAlign w:val="center"/>
            <w:hideMark/>
          </w:tcPr>
          <w:p w14:paraId="6F4A8C6B" w14:textId="77777777" w:rsidR="00000000" w:rsidRDefault="00C01C43">
            <w:pPr>
              <w:rPr>
                <w:rFonts w:eastAsia="Times New Roman"/>
                <w:sz w:val="20"/>
                <w:szCs w:val="20"/>
              </w:rPr>
            </w:pPr>
          </w:p>
        </w:tc>
        <w:tc>
          <w:tcPr>
            <w:tcW w:w="0" w:type="auto"/>
            <w:gridSpan w:val="3"/>
            <w:vAlign w:val="center"/>
            <w:hideMark/>
          </w:tcPr>
          <w:p w14:paraId="19F9D557" w14:textId="77777777" w:rsidR="00000000" w:rsidRDefault="00C01C43">
            <w:pPr>
              <w:rPr>
                <w:rFonts w:eastAsia="Times New Roman"/>
                <w:sz w:val="20"/>
                <w:szCs w:val="20"/>
              </w:rPr>
            </w:pPr>
          </w:p>
        </w:tc>
      </w:tr>
      <w:tr w:rsidR="00000000" w14:paraId="24984F21" w14:textId="77777777">
        <w:trPr>
          <w:jc w:val="center"/>
        </w:trPr>
        <w:tc>
          <w:tcPr>
            <w:tcW w:w="0" w:type="auto"/>
            <w:gridSpan w:val="3"/>
            <w:vAlign w:val="center"/>
            <w:hideMark/>
          </w:tcPr>
          <w:p w14:paraId="0B9572A0" w14:textId="77777777" w:rsidR="00000000" w:rsidRDefault="00C01C43">
            <w:pPr>
              <w:rPr>
                <w:rFonts w:eastAsia="Times New Roman"/>
                <w:sz w:val="20"/>
                <w:szCs w:val="20"/>
              </w:rPr>
            </w:pPr>
          </w:p>
        </w:tc>
        <w:tc>
          <w:tcPr>
            <w:tcW w:w="0" w:type="auto"/>
            <w:gridSpan w:val="3"/>
            <w:vAlign w:val="center"/>
            <w:hideMark/>
          </w:tcPr>
          <w:p w14:paraId="7F5B2C47" w14:textId="77777777" w:rsidR="00000000" w:rsidRDefault="00C01C43">
            <w:pPr>
              <w:rPr>
                <w:rFonts w:eastAsia="Times New Roman"/>
                <w:sz w:val="20"/>
                <w:szCs w:val="20"/>
              </w:rPr>
            </w:pPr>
          </w:p>
        </w:tc>
        <w:tc>
          <w:tcPr>
            <w:tcW w:w="0" w:type="auto"/>
            <w:gridSpan w:val="3"/>
            <w:vAlign w:val="center"/>
            <w:hideMark/>
          </w:tcPr>
          <w:p w14:paraId="67BE9CEC" w14:textId="77777777" w:rsidR="00000000" w:rsidRDefault="00C01C43">
            <w:pPr>
              <w:rPr>
                <w:rFonts w:eastAsia="Times New Roman"/>
                <w:sz w:val="20"/>
                <w:szCs w:val="20"/>
              </w:rPr>
            </w:pPr>
          </w:p>
        </w:tc>
        <w:tc>
          <w:tcPr>
            <w:tcW w:w="0" w:type="auto"/>
            <w:gridSpan w:val="3"/>
            <w:vAlign w:val="center"/>
            <w:hideMark/>
          </w:tcPr>
          <w:p w14:paraId="1696F0C3" w14:textId="77777777" w:rsidR="00000000" w:rsidRDefault="00C01C43">
            <w:pPr>
              <w:rPr>
                <w:rFonts w:eastAsia="Times New Roman"/>
                <w:sz w:val="20"/>
                <w:szCs w:val="20"/>
              </w:rPr>
            </w:pPr>
          </w:p>
        </w:tc>
        <w:tc>
          <w:tcPr>
            <w:tcW w:w="0" w:type="auto"/>
            <w:gridSpan w:val="3"/>
            <w:vAlign w:val="center"/>
            <w:hideMark/>
          </w:tcPr>
          <w:p w14:paraId="379F3950" w14:textId="77777777" w:rsidR="00000000" w:rsidRDefault="00C01C43">
            <w:pPr>
              <w:rPr>
                <w:rFonts w:eastAsia="Times New Roman"/>
                <w:sz w:val="20"/>
                <w:szCs w:val="20"/>
              </w:rPr>
            </w:pPr>
          </w:p>
        </w:tc>
        <w:tc>
          <w:tcPr>
            <w:tcW w:w="0" w:type="auto"/>
            <w:gridSpan w:val="3"/>
            <w:vAlign w:val="center"/>
            <w:hideMark/>
          </w:tcPr>
          <w:p w14:paraId="72668F0C" w14:textId="77777777" w:rsidR="00000000" w:rsidRDefault="00C01C43">
            <w:pPr>
              <w:rPr>
                <w:rFonts w:eastAsia="Times New Roman"/>
                <w:sz w:val="20"/>
                <w:szCs w:val="20"/>
              </w:rPr>
            </w:pPr>
          </w:p>
        </w:tc>
        <w:tc>
          <w:tcPr>
            <w:tcW w:w="0" w:type="auto"/>
            <w:gridSpan w:val="3"/>
            <w:vAlign w:val="center"/>
            <w:hideMark/>
          </w:tcPr>
          <w:p w14:paraId="638AA928" w14:textId="77777777" w:rsidR="00000000" w:rsidRDefault="00C01C43">
            <w:pPr>
              <w:rPr>
                <w:rFonts w:eastAsia="Times New Roman"/>
                <w:sz w:val="20"/>
                <w:szCs w:val="20"/>
              </w:rPr>
            </w:pPr>
          </w:p>
        </w:tc>
        <w:tc>
          <w:tcPr>
            <w:tcW w:w="0" w:type="auto"/>
            <w:gridSpan w:val="3"/>
            <w:vAlign w:val="center"/>
            <w:hideMark/>
          </w:tcPr>
          <w:p w14:paraId="59884FA7" w14:textId="77777777" w:rsidR="00000000" w:rsidRDefault="00C01C43">
            <w:pPr>
              <w:rPr>
                <w:rFonts w:eastAsia="Times New Roman"/>
                <w:sz w:val="20"/>
                <w:szCs w:val="20"/>
              </w:rPr>
            </w:pPr>
          </w:p>
        </w:tc>
        <w:tc>
          <w:tcPr>
            <w:tcW w:w="0" w:type="auto"/>
            <w:gridSpan w:val="3"/>
            <w:vAlign w:val="center"/>
            <w:hideMark/>
          </w:tcPr>
          <w:p w14:paraId="5D6497A0" w14:textId="77777777" w:rsidR="00000000" w:rsidRDefault="00C01C43">
            <w:pPr>
              <w:rPr>
                <w:rFonts w:eastAsia="Times New Roman"/>
                <w:sz w:val="20"/>
                <w:szCs w:val="20"/>
              </w:rPr>
            </w:pPr>
          </w:p>
        </w:tc>
        <w:tc>
          <w:tcPr>
            <w:tcW w:w="0" w:type="auto"/>
            <w:gridSpan w:val="3"/>
            <w:vAlign w:val="center"/>
            <w:hideMark/>
          </w:tcPr>
          <w:p w14:paraId="7719CCC8" w14:textId="77777777" w:rsidR="00000000" w:rsidRDefault="00C01C43">
            <w:pPr>
              <w:rPr>
                <w:rFonts w:eastAsia="Times New Roman"/>
                <w:sz w:val="20"/>
                <w:szCs w:val="20"/>
              </w:rPr>
            </w:pPr>
          </w:p>
        </w:tc>
        <w:tc>
          <w:tcPr>
            <w:tcW w:w="0" w:type="auto"/>
            <w:gridSpan w:val="3"/>
            <w:vAlign w:val="center"/>
            <w:hideMark/>
          </w:tcPr>
          <w:p w14:paraId="33D217EF" w14:textId="77777777" w:rsidR="00000000" w:rsidRDefault="00C01C43">
            <w:pPr>
              <w:rPr>
                <w:rFonts w:eastAsia="Times New Roman"/>
                <w:sz w:val="20"/>
                <w:szCs w:val="20"/>
              </w:rPr>
            </w:pPr>
          </w:p>
        </w:tc>
        <w:tc>
          <w:tcPr>
            <w:tcW w:w="0" w:type="auto"/>
            <w:gridSpan w:val="3"/>
            <w:vAlign w:val="center"/>
            <w:hideMark/>
          </w:tcPr>
          <w:p w14:paraId="1DECE84B" w14:textId="77777777" w:rsidR="00000000" w:rsidRDefault="00C01C43">
            <w:pPr>
              <w:rPr>
                <w:rFonts w:eastAsia="Times New Roman"/>
                <w:sz w:val="20"/>
                <w:szCs w:val="20"/>
              </w:rPr>
            </w:pPr>
          </w:p>
        </w:tc>
      </w:tr>
      <w:tr w:rsidR="00000000" w14:paraId="68ADBD3B" w14:textId="77777777">
        <w:trPr>
          <w:jc w:val="center"/>
        </w:trPr>
        <w:tc>
          <w:tcPr>
            <w:tcW w:w="0" w:type="auto"/>
            <w:gridSpan w:val="3"/>
            <w:shd w:val="clear" w:color="auto" w:fill="CCEEFF"/>
            <w:tcMar>
              <w:top w:w="30" w:type="dxa"/>
              <w:left w:w="20" w:type="dxa"/>
              <w:bottom w:w="30" w:type="dxa"/>
              <w:right w:w="20" w:type="dxa"/>
            </w:tcMar>
            <w:vAlign w:val="bottom"/>
            <w:hideMark/>
          </w:tcPr>
          <w:p w14:paraId="02205C37" w14:textId="77777777" w:rsidR="00000000" w:rsidRDefault="00C01C43">
            <w:pPr>
              <w:rPr>
                <w:rFonts w:eastAsia="Times New Roman"/>
              </w:rPr>
            </w:pPr>
            <w:r>
              <w:rPr>
                <w:rFonts w:ascii="Arial" w:eastAsia="Times New Roman" w:hAnsi="Arial" w:cs="Arial"/>
                <w:color w:val="000000"/>
                <w:sz w:val="16"/>
                <w:szCs w:val="16"/>
              </w:rPr>
              <w:t>Interest rate contract</w:t>
            </w:r>
          </w:p>
        </w:tc>
        <w:tc>
          <w:tcPr>
            <w:tcW w:w="0" w:type="auto"/>
            <w:gridSpan w:val="3"/>
            <w:shd w:val="clear" w:color="auto" w:fill="CCEEFF"/>
            <w:tcMar>
              <w:top w:w="0" w:type="dxa"/>
              <w:left w:w="20" w:type="dxa"/>
              <w:bottom w:w="0" w:type="dxa"/>
              <w:right w:w="20" w:type="dxa"/>
            </w:tcMar>
            <w:vAlign w:val="center"/>
            <w:hideMark/>
          </w:tcPr>
          <w:p w14:paraId="2E7E5870" w14:textId="77777777" w:rsidR="00000000" w:rsidRDefault="00C01C4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0138BD8" w14:textId="77777777" w:rsidR="00000000" w:rsidRDefault="00C01C43">
            <w:pPr>
              <w:rPr>
                <w:rFonts w:eastAsia="Times New Roman"/>
              </w:rPr>
            </w:pPr>
            <w:r>
              <w:rPr>
                <w:rFonts w:ascii="Arial" w:eastAsia="Times New Roman" w:hAnsi="Arial" w:cs="Arial"/>
                <w:color w:val="000000"/>
                <w:sz w:val="16"/>
                <w:szCs w:val="16"/>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14:paraId="48E8AF11"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90F199"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50914CE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4111D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56349A"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4E2CED8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06DD8"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A2B43D" w14:textId="77777777" w:rsidR="00000000" w:rsidRDefault="00C01C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E9478C" w14:textId="77777777" w:rsidR="00000000" w:rsidRDefault="00C01C43">
            <w:pPr>
              <w:jc w:val="right"/>
              <w:rPr>
                <w:rFonts w:eastAsia="Times New Roman"/>
              </w:rPr>
            </w:pPr>
            <w:r>
              <w:rPr>
                <w:rFonts w:ascii="Arial" w:eastAsia="Times New Roman" w:hAnsi="Arial" w:cs="Arial"/>
                <w:color w:val="000000"/>
                <w:sz w:val="16"/>
                <w:szCs w:val="16"/>
              </w:rPr>
              <w:t>1.3 </w:t>
            </w:r>
          </w:p>
        </w:tc>
        <w:tc>
          <w:tcPr>
            <w:tcW w:w="0" w:type="auto"/>
            <w:shd w:val="clear" w:color="auto" w:fill="CCEEFF"/>
            <w:tcMar>
              <w:top w:w="30" w:type="dxa"/>
              <w:left w:w="0" w:type="dxa"/>
              <w:bottom w:w="30" w:type="dxa"/>
              <w:right w:w="20" w:type="dxa"/>
            </w:tcMar>
            <w:vAlign w:val="bottom"/>
            <w:hideMark/>
          </w:tcPr>
          <w:p w14:paraId="056AB95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47B8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146DE5"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18C8C156" w14:textId="77777777" w:rsidR="00000000" w:rsidRDefault="00C01C43">
            <w:pPr>
              <w:jc w:val="right"/>
              <w:rPr>
                <w:rFonts w:eastAsia="Times New Roman"/>
              </w:rPr>
            </w:pPr>
          </w:p>
        </w:tc>
      </w:tr>
      <w:tr w:rsidR="00000000" w14:paraId="667BADAA" w14:textId="77777777">
        <w:trPr>
          <w:jc w:val="center"/>
        </w:trPr>
        <w:tc>
          <w:tcPr>
            <w:tcW w:w="0" w:type="auto"/>
            <w:gridSpan w:val="3"/>
            <w:shd w:val="clear" w:color="auto" w:fill="FFFFFF"/>
            <w:tcMar>
              <w:top w:w="0" w:type="dxa"/>
              <w:left w:w="20" w:type="dxa"/>
              <w:bottom w:w="0" w:type="dxa"/>
              <w:right w:w="20" w:type="dxa"/>
            </w:tcMar>
            <w:vAlign w:val="center"/>
            <w:hideMark/>
          </w:tcPr>
          <w:p w14:paraId="6C417B17"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1C0875" w14:textId="77777777" w:rsidR="00000000" w:rsidRDefault="00C01C4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97D47F1" w14:textId="77777777" w:rsidR="00000000" w:rsidRDefault="00C01C43">
            <w:pPr>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14:paraId="563DE7C7"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F1A79E"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4B8289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F9508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92ABE0"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3FD874A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FF56E5"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B58C8B" w14:textId="77777777" w:rsidR="00000000" w:rsidRDefault="00C01C4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DDAC5B" w14:textId="77777777" w:rsidR="00000000" w:rsidRDefault="00C01C43">
            <w:pPr>
              <w:jc w:val="right"/>
              <w:rPr>
                <w:rFonts w:eastAsia="Times New Roman"/>
              </w:rPr>
            </w:pPr>
            <w:r>
              <w:rPr>
                <w:rFonts w:ascii="Arial" w:eastAsia="Times New Roman" w:hAnsi="Arial" w:cs="Arial"/>
                <w:color w:val="000000"/>
                <w:sz w:val="16"/>
                <w:szCs w:val="16"/>
              </w:rPr>
              <w:t>2.4 </w:t>
            </w:r>
          </w:p>
        </w:tc>
        <w:tc>
          <w:tcPr>
            <w:tcW w:w="0" w:type="auto"/>
            <w:shd w:val="clear" w:color="auto" w:fill="FFFFFF"/>
            <w:tcMar>
              <w:top w:w="30" w:type="dxa"/>
              <w:left w:w="0" w:type="dxa"/>
              <w:bottom w:w="30" w:type="dxa"/>
              <w:right w:w="20" w:type="dxa"/>
            </w:tcMar>
            <w:vAlign w:val="bottom"/>
            <w:hideMark/>
          </w:tcPr>
          <w:p w14:paraId="7529DC4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F452A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12C539"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C251AA2" w14:textId="77777777" w:rsidR="00000000" w:rsidRDefault="00C01C43">
            <w:pPr>
              <w:jc w:val="right"/>
              <w:rPr>
                <w:rFonts w:eastAsia="Times New Roman"/>
              </w:rPr>
            </w:pPr>
          </w:p>
        </w:tc>
      </w:tr>
      <w:tr w:rsidR="00000000" w14:paraId="7107D88D" w14:textId="77777777">
        <w:trPr>
          <w:jc w:val="center"/>
        </w:trPr>
        <w:tc>
          <w:tcPr>
            <w:tcW w:w="0" w:type="auto"/>
            <w:gridSpan w:val="3"/>
            <w:shd w:val="clear" w:color="auto" w:fill="CCEEFF"/>
            <w:tcMar>
              <w:top w:w="0" w:type="dxa"/>
              <w:left w:w="20" w:type="dxa"/>
              <w:bottom w:w="0" w:type="dxa"/>
              <w:right w:w="20" w:type="dxa"/>
            </w:tcMar>
            <w:vAlign w:val="center"/>
            <w:hideMark/>
          </w:tcPr>
          <w:p w14:paraId="31C2337E"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3E2F5C"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AB93F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57753F"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39C38E"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101E5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68BDE7"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4A4001"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862E38"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A7FB99"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6C13F2"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45EC08" w14:textId="77777777" w:rsidR="00000000" w:rsidRDefault="00C01C43">
            <w:pPr>
              <w:jc w:val="right"/>
              <w:rPr>
                <w:rFonts w:eastAsia="Times New Roman"/>
              </w:rPr>
            </w:pPr>
            <w:r>
              <w:rPr>
                <w:rFonts w:ascii="Arial" w:eastAsia="Times New Roman" w:hAnsi="Arial" w:cs="Arial"/>
                <w:color w:val="000000"/>
                <w:sz w:val="16"/>
                <w:szCs w:val="16"/>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7C9C7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8B457E"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F5B875"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B23780" w14:textId="77777777" w:rsidR="00000000" w:rsidRDefault="00C01C43">
            <w:pPr>
              <w:jc w:val="right"/>
              <w:rPr>
                <w:rFonts w:eastAsia="Times New Roman"/>
              </w:rPr>
            </w:pPr>
          </w:p>
        </w:tc>
      </w:tr>
      <w:tr w:rsidR="00000000" w14:paraId="54192373" w14:textId="77777777">
        <w:trPr>
          <w:trHeight w:val="240"/>
          <w:jc w:val="center"/>
        </w:trPr>
        <w:tc>
          <w:tcPr>
            <w:tcW w:w="0" w:type="auto"/>
            <w:gridSpan w:val="3"/>
            <w:shd w:val="clear" w:color="auto" w:fill="FFFFFF"/>
            <w:tcMar>
              <w:top w:w="0" w:type="dxa"/>
              <w:left w:w="20" w:type="dxa"/>
              <w:bottom w:w="0" w:type="dxa"/>
              <w:right w:w="20" w:type="dxa"/>
            </w:tcMar>
            <w:vAlign w:val="center"/>
            <w:hideMark/>
          </w:tcPr>
          <w:p w14:paraId="550B9C1F" w14:textId="77777777" w:rsidR="00000000" w:rsidRDefault="00C01C43">
            <w:pPr>
              <w:jc w:val="right"/>
              <w:rPr>
                <w:rFonts w:eastAsia="Times New Roman"/>
                <w:sz w:val="20"/>
                <w:szCs w:val="20"/>
              </w:rPr>
            </w:pP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14:paraId="397137B0" w14:textId="77777777" w:rsidR="00000000" w:rsidRDefault="00C01C43">
            <w:pPr>
              <w:rPr>
                <w:rFonts w:eastAsia="Times New Roman"/>
                <w:sz w:val="20"/>
                <w:szCs w:val="20"/>
              </w:rPr>
            </w:pP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14:paraId="47724064"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51D13E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792052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7DD4AEA"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8FDC5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0577B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5CF379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959DD0"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BD40050"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1CEF67" w14:textId="77777777" w:rsidR="00000000" w:rsidRDefault="00C01C43">
            <w:pPr>
              <w:rPr>
                <w:rFonts w:eastAsia="Times New Roman"/>
                <w:sz w:val="20"/>
                <w:szCs w:val="20"/>
              </w:rPr>
            </w:pPr>
          </w:p>
        </w:tc>
      </w:tr>
      <w:tr w:rsidR="00000000" w14:paraId="6407A238" w14:textId="77777777">
        <w:trPr>
          <w:jc w:val="center"/>
        </w:trPr>
        <w:tc>
          <w:tcPr>
            <w:tcW w:w="0" w:type="auto"/>
            <w:gridSpan w:val="9"/>
            <w:tcBorders>
              <w:top w:val="single" w:sz="8" w:space="0" w:color="000000"/>
            </w:tcBorders>
            <w:shd w:val="clear" w:color="auto" w:fill="CCEEFF"/>
            <w:tcMar>
              <w:top w:w="30" w:type="dxa"/>
              <w:left w:w="20" w:type="dxa"/>
              <w:bottom w:w="30" w:type="dxa"/>
              <w:right w:w="20" w:type="dxa"/>
            </w:tcMar>
            <w:vAlign w:val="bottom"/>
            <w:hideMark/>
          </w:tcPr>
          <w:p w14:paraId="6371D53B" w14:textId="77777777" w:rsidR="00000000" w:rsidRDefault="00C01C43">
            <w:pPr>
              <w:rPr>
                <w:rFonts w:eastAsia="Times New Roman"/>
              </w:rPr>
            </w:pPr>
            <w:r>
              <w:rPr>
                <w:rFonts w:ascii="Arial" w:eastAsia="Times New Roman" w:hAnsi="Arial" w:cs="Arial"/>
                <w:b/>
                <w:bCs/>
                <w:color w:val="000000"/>
                <w:sz w:val="16"/>
                <w:szCs w:val="16"/>
              </w:rPr>
              <w:t>Total 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0E2C33" w14:textId="77777777" w:rsidR="00000000" w:rsidRDefault="00C01C4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C26C5B" w14:textId="77777777" w:rsidR="00000000" w:rsidRDefault="00C01C43">
            <w:pPr>
              <w:jc w:val="right"/>
              <w:rPr>
                <w:rFonts w:eastAsia="Times New Roman"/>
              </w:rPr>
            </w:pPr>
            <w:r>
              <w:rPr>
                <w:rFonts w:ascii="Arial" w:eastAsia="Times New Roman" w:hAnsi="Arial" w:cs="Arial"/>
                <w:color w:val="000000"/>
                <w:sz w:val="16"/>
                <w:szCs w:val="16"/>
              </w:rPr>
              <w:t>126.0 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C3B201"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90AD20"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4E7985" w14:textId="77777777" w:rsidR="00000000" w:rsidRDefault="00C01C43">
            <w:pPr>
              <w:jc w:val="right"/>
              <w:rPr>
                <w:rFonts w:eastAsia="Times New Roman"/>
              </w:rPr>
            </w:pPr>
            <w:r>
              <w:rPr>
                <w:rFonts w:ascii="Arial" w:eastAsia="Times New Roman" w:hAnsi="Arial" w:cs="Arial"/>
                <w:color w:val="000000"/>
                <w:sz w:val="16"/>
                <w:szCs w:val="16"/>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98B570"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756685"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EAFE8B"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33E8A5" w14:textId="77777777" w:rsidR="00000000" w:rsidRDefault="00C01C43">
            <w:pPr>
              <w:jc w:val="right"/>
              <w:rPr>
                <w:rFonts w:eastAsia="Times New Roman"/>
              </w:rPr>
            </w:pPr>
            <w:r>
              <w:rPr>
                <w:rFonts w:ascii="Arial" w:eastAsia="Times New Roman" w:hAnsi="Arial" w:cs="Arial"/>
                <w:color w:val="000000"/>
                <w:sz w:val="16"/>
                <w:szCs w:val="16"/>
              </w:rPr>
              <w:t>127.2 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70ED1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445B75"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7551A7" w14:textId="77777777" w:rsidR="00000000" w:rsidRDefault="00C01C43">
            <w:pPr>
              <w:jc w:val="right"/>
              <w:rPr>
                <w:rFonts w:eastAsia="Times New Roman"/>
              </w:rPr>
            </w:pPr>
            <w:r>
              <w:rPr>
                <w:rFonts w:ascii="Arial" w:eastAsia="Times New Roman" w:hAnsi="Arial" w:cs="Arial"/>
                <w:color w:val="000000"/>
                <w:sz w:val="16"/>
                <w:szCs w:val="16"/>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CA255A" w14:textId="77777777" w:rsidR="00000000" w:rsidRDefault="00C01C43">
            <w:pPr>
              <w:jc w:val="right"/>
              <w:rPr>
                <w:rFonts w:eastAsia="Times New Roman"/>
              </w:rPr>
            </w:pPr>
          </w:p>
        </w:tc>
      </w:tr>
      <w:tr w:rsidR="00000000" w14:paraId="62144E31" w14:textId="77777777">
        <w:trPr>
          <w:trHeight w:val="300"/>
          <w:jc w:val="center"/>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E724D9"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7D5EE4"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5AE244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B35ECA"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48236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8407B5"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286EF1"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834D243"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7355D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B007F8"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2E9527"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1CCDE9" w14:textId="77777777" w:rsidR="00000000" w:rsidRDefault="00C01C43">
            <w:pPr>
              <w:rPr>
                <w:rFonts w:eastAsia="Times New Roman"/>
                <w:sz w:val="20"/>
                <w:szCs w:val="20"/>
              </w:rPr>
            </w:pPr>
          </w:p>
        </w:tc>
      </w:tr>
      <w:tr w:rsidR="00000000" w14:paraId="520220C6" w14:textId="77777777">
        <w:trPr>
          <w:jc w:val="center"/>
        </w:trPr>
        <w:tc>
          <w:tcPr>
            <w:tcW w:w="0" w:type="auto"/>
            <w:gridSpan w:val="9"/>
            <w:shd w:val="clear" w:color="auto" w:fill="CCEEFF"/>
            <w:tcMar>
              <w:top w:w="30" w:type="dxa"/>
              <w:left w:w="20" w:type="dxa"/>
              <w:bottom w:w="30" w:type="dxa"/>
              <w:right w:w="20" w:type="dxa"/>
            </w:tcMar>
            <w:vAlign w:val="bottom"/>
            <w:hideMark/>
          </w:tcPr>
          <w:p w14:paraId="40089307" w14:textId="77777777" w:rsidR="00000000" w:rsidRDefault="00C01C43">
            <w:pPr>
              <w:rPr>
                <w:rFonts w:eastAsia="Times New Roman"/>
              </w:rPr>
            </w:pPr>
            <w:r>
              <w:rPr>
                <w:rFonts w:ascii="Arial" w:eastAsia="Times New Roman" w:hAnsi="Arial" w:cs="Arial"/>
                <w:b/>
                <w:bCs/>
                <w:color w:val="000000"/>
                <w:sz w:val="16"/>
                <w:szCs w:val="16"/>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14:paraId="23FD5C98" w14:textId="77777777" w:rsidR="00000000" w:rsidRDefault="00C01C4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D60005"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CBA0A0"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DDE7AC"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0DB19D"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639EE4"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D355E9"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93B79E"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F7F86B" w14:textId="77777777" w:rsidR="00000000" w:rsidRDefault="00C01C43">
            <w:pPr>
              <w:rPr>
                <w:rFonts w:eastAsia="Times New Roman"/>
                <w:sz w:val="20"/>
                <w:szCs w:val="20"/>
              </w:rPr>
            </w:pPr>
          </w:p>
        </w:tc>
      </w:tr>
      <w:tr w:rsidR="00000000" w14:paraId="63372FEB" w14:textId="77777777">
        <w:trPr>
          <w:jc w:val="center"/>
        </w:trPr>
        <w:tc>
          <w:tcPr>
            <w:tcW w:w="0" w:type="auto"/>
            <w:gridSpan w:val="6"/>
            <w:shd w:val="clear" w:color="auto" w:fill="FFFFFF"/>
            <w:tcMar>
              <w:top w:w="30" w:type="dxa"/>
              <w:left w:w="20" w:type="dxa"/>
              <w:bottom w:w="30" w:type="dxa"/>
              <w:right w:w="20" w:type="dxa"/>
            </w:tcMar>
            <w:vAlign w:val="bottom"/>
            <w:hideMark/>
          </w:tcPr>
          <w:p w14:paraId="36B02818" w14:textId="77777777" w:rsidR="00000000" w:rsidRDefault="00C01C43">
            <w:pPr>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FFFFFF"/>
            <w:tcMar>
              <w:top w:w="30" w:type="dxa"/>
              <w:left w:w="20" w:type="dxa"/>
              <w:bottom w:w="30" w:type="dxa"/>
              <w:right w:w="20" w:type="dxa"/>
            </w:tcMar>
            <w:vAlign w:val="bottom"/>
            <w:hideMark/>
          </w:tcPr>
          <w:p w14:paraId="1EFEE43B" w14:textId="77777777" w:rsidR="00000000" w:rsidRDefault="00C01C43">
            <w:pPr>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14:paraId="33867829"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BC96BC" w14:textId="77777777" w:rsidR="00000000" w:rsidRDefault="00C01C43">
            <w:pPr>
              <w:jc w:val="right"/>
              <w:rPr>
                <w:rFonts w:eastAsia="Times New Roman"/>
              </w:rPr>
            </w:pPr>
            <w:r>
              <w:rPr>
                <w:rFonts w:ascii="Arial" w:eastAsia="Times New Roman" w:hAnsi="Arial" w:cs="Arial"/>
                <w:color w:val="000000"/>
                <w:sz w:val="16"/>
                <w:szCs w:val="16"/>
              </w:rPr>
              <w:t>164.9 </w:t>
            </w:r>
          </w:p>
        </w:tc>
        <w:tc>
          <w:tcPr>
            <w:tcW w:w="0" w:type="auto"/>
            <w:shd w:val="clear" w:color="auto" w:fill="FFFFFF"/>
            <w:tcMar>
              <w:top w:w="30" w:type="dxa"/>
              <w:left w:w="0" w:type="dxa"/>
              <w:bottom w:w="30" w:type="dxa"/>
              <w:right w:w="20" w:type="dxa"/>
            </w:tcMar>
            <w:vAlign w:val="bottom"/>
            <w:hideMark/>
          </w:tcPr>
          <w:p w14:paraId="05EF7BF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73B27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930D46" w14:textId="77777777" w:rsidR="00000000" w:rsidRDefault="00C01C43">
            <w:pPr>
              <w:jc w:val="right"/>
              <w:rPr>
                <w:rFonts w:eastAsia="Times New Roman"/>
              </w:rPr>
            </w:pPr>
            <w:r>
              <w:rPr>
                <w:rFonts w:ascii="Arial" w:eastAsia="Times New Roman" w:hAnsi="Arial" w:cs="Arial"/>
                <w:color w:val="000000"/>
                <w:sz w:val="16"/>
                <w:szCs w:val="16"/>
              </w:rPr>
              <w:t>65.7 </w:t>
            </w:r>
          </w:p>
        </w:tc>
        <w:tc>
          <w:tcPr>
            <w:tcW w:w="0" w:type="auto"/>
            <w:shd w:val="clear" w:color="auto" w:fill="FFFFFF"/>
            <w:tcMar>
              <w:top w:w="30" w:type="dxa"/>
              <w:left w:w="0" w:type="dxa"/>
              <w:bottom w:w="30" w:type="dxa"/>
              <w:right w:w="20" w:type="dxa"/>
            </w:tcMar>
            <w:vAlign w:val="bottom"/>
            <w:hideMark/>
          </w:tcPr>
          <w:p w14:paraId="3871022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D910D"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62809B" w14:textId="77777777" w:rsidR="00000000" w:rsidRDefault="00C01C4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EC8ED3" w14:textId="77777777" w:rsidR="00000000" w:rsidRDefault="00C01C43">
            <w:pPr>
              <w:jc w:val="right"/>
              <w:rPr>
                <w:rFonts w:eastAsia="Times New Roman"/>
              </w:rPr>
            </w:pPr>
            <w:r>
              <w:rPr>
                <w:rFonts w:ascii="Arial" w:eastAsia="Times New Roman" w:hAnsi="Arial" w:cs="Arial"/>
                <w:color w:val="000000"/>
                <w:sz w:val="16"/>
                <w:szCs w:val="16"/>
              </w:rPr>
              <w:t>102.7 </w:t>
            </w:r>
          </w:p>
        </w:tc>
        <w:tc>
          <w:tcPr>
            <w:tcW w:w="0" w:type="auto"/>
            <w:shd w:val="clear" w:color="auto" w:fill="FFFFFF"/>
            <w:tcMar>
              <w:top w:w="30" w:type="dxa"/>
              <w:left w:w="0" w:type="dxa"/>
              <w:bottom w:w="30" w:type="dxa"/>
              <w:right w:w="20" w:type="dxa"/>
            </w:tcMar>
            <w:vAlign w:val="bottom"/>
            <w:hideMark/>
          </w:tcPr>
          <w:p w14:paraId="773030A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78E8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B471E5" w14:textId="77777777" w:rsidR="00000000" w:rsidRDefault="00C01C43">
            <w:pPr>
              <w:jc w:val="right"/>
              <w:rPr>
                <w:rFonts w:eastAsia="Times New Roman"/>
              </w:rPr>
            </w:pPr>
            <w:r>
              <w:rPr>
                <w:rFonts w:ascii="Arial" w:eastAsia="Times New Roman" w:hAnsi="Arial" w:cs="Arial"/>
                <w:color w:val="000000"/>
                <w:sz w:val="16"/>
                <w:szCs w:val="16"/>
              </w:rPr>
              <w:t>7.2 </w:t>
            </w:r>
          </w:p>
        </w:tc>
        <w:tc>
          <w:tcPr>
            <w:tcW w:w="0" w:type="auto"/>
            <w:shd w:val="clear" w:color="auto" w:fill="FFFFFF"/>
            <w:tcMar>
              <w:top w:w="30" w:type="dxa"/>
              <w:left w:w="0" w:type="dxa"/>
              <w:bottom w:w="30" w:type="dxa"/>
              <w:right w:w="20" w:type="dxa"/>
            </w:tcMar>
            <w:vAlign w:val="bottom"/>
            <w:hideMark/>
          </w:tcPr>
          <w:p w14:paraId="5D821A48" w14:textId="77777777" w:rsidR="00000000" w:rsidRDefault="00C01C43">
            <w:pPr>
              <w:jc w:val="right"/>
              <w:rPr>
                <w:rFonts w:eastAsia="Times New Roman"/>
              </w:rPr>
            </w:pPr>
          </w:p>
        </w:tc>
      </w:tr>
      <w:tr w:rsidR="00000000" w14:paraId="1D3FC17A" w14:textId="77777777">
        <w:trPr>
          <w:jc w:val="center"/>
        </w:trPr>
        <w:tc>
          <w:tcPr>
            <w:tcW w:w="0" w:type="auto"/>
            <w:gridSpan w:val="3"/>
            <w:shd w:val="clear" w:color="auto" w:fill="CCEEFF"/>
            <w:tcMar>
              <w:top w:w="0" w:type="dxa"/>
              <w:left w:w="20" w:type="dxa"/>
              <w:bottom w:w="0" w:type="dxa"/>
              <w:right w:w="20" w:type="dxa"/>
            </w:tcMar>
            <w:vAlign w:val="center"/>
            <w:hideMark/>
          </w:tcPr>
          <w:p w14:paraId="57363C90"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BE3342" w14:textId="77777777" w:rsidR="00000000" w:rsidRDefault="00C01C4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9C147BD" w14:textId="77777777" w:rsidR="00000000" w:rsidRDefault="00C01C43">
            <w:pPr>
              <w:rPr>
                <w:rFonts w:eastAsia="Times New Roman"/>
              </w:rPr>
            </w:pPr>
            <w:r>
              <w:rPr>
                <w:rFonts w:ascii="Arial" w:eastAsia="Times New Roman" w:hAnsi="Arial" w:cs="Arial"/>
                <w:color w:val="000000"/>
                <w:sz w:val="16"/>
                <w:szCs w:val="16"/>
              </w:rPr>
              <w:t>Identifiable intangible and other non-current assets</w:t>
            </w:r>
          </w:p>
        </w:tc>
        <w:tc>
          <w:tcPr>
            <w:tcW w:w="0" w:type="auto"/>
            <w:gridSpan w:val="3"/>
            <w:shd w:val="clear" w:color="auto" w:fill="CCEEFF"/>
            <w:tcMar>
              <w:top w:w="0" w:type="dxa"/>
              <w:left w:w="20" w:type="dxa"/>
              <w:bottom w:w="0" w:type="dxa"/>
              <w:right w:w="20" w:type="dxa"/>
            </w:tcMar>
            <w:vAlign w:val="center"/>
            <w:hideMark/>
          </w:tcPr>
          <w:p w14:paraId="66E9F28D"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0B03B5" w14:textId="77777777" w:rsidR="00000000" w:rsidRDefault="00C01C43">
            <w:pPr>
              <w:jc w:val="right"/>
              <w:rPr>
                <w:rFonts w:eastAsia="Times New Roman"/>
              </w:rPr>
            </w:pPr>
            <w:r>
              <w:rPr>
                <w:rFonts w:ascii="Arial" w:eastAsia="Times New Roman" w:hAnsi="Arial" w:cs="Arial"/>
                <w:color w:val="000000"/>
                <w:sz w:val="16"/>
                <w:szCs w:val="16"/>
              </w:rPr>
              <w:t>32.1 </w:t>
            </w:r>
          </w:p>
        </w:tc>
        <w:tc>
          <w:tcPr>
            <w:tcW w:w="0" w:type="auto"/>
            <w:shd w:val="clear" w:color="auto" w:fill="CCEEFF"/>
            <w:tcMar>
              <w:top w:w="30" w:type="dxa"/>
              <w:left w:w="0" w:type="dxa"/>
              <w:bottom w:w="30" w:type="dxa"/>
              <w:right w:w="20" w:type="dxa"/>
            </w:tcMar>
            <w:vAlign w:val="bottom"/>
            <w:hideMark/>
          </w:tcPr>
          <w:p w14:paraId="199A139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E63B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7457D8" w14:textId="77777777" w:rsidR="00000000" w:rsidRDefault="00C01C43">
            <w:pPr>
              <w:jc w:val="right"/>
              <w:rPr>
                <w:rFonts w:eastAsia="Times New Roman"/>
              </w:rPr>
            </w:pPr>
            <w:r>
              <w:rPr>
                <w:rFonts w:ascii="Arial" w:eastAsia="Times New Roman" w:hAnsi="Arial" w:cs="Arial"/>
                <w:color w:val="000000"/>
                <w:sz w:val="16"/>
                <w:szCs w:val="16"/>
              </w:rPr>
              <w:t>23.0 </w:t>
            </w:r>
          </w:p>
        </w:tc>
        <w:tc>
          <w:tcPr>
            <w:tcW w:w="0" w:type="auto"/>
            <w:shd w:val="clear" w:color="auto" w:fill="CCEEFF"/>
            <w:tcMar>
              <w:top w:w="30" w:type="dxa"/>
              <w:left w:w="0" w:type="dxa"/>
              <w:bottom w:w="30" w:type="dxa"/>
              <w:right w:w="20" w:type="dxa"/>
            </w:tcMar>
            <w:vAlign w:val="bottom"/>
            <w:hideMark/>
          </w:tcPr>
          <w:p w14:paraId="045AD6A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AA98E"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7765FB" w14:textId="77777777" w:rsidR="00000000" w:rsidRDefault="00C01C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902D44" w14:textId="77777777" w:rsidR="00000000" w:rsidRDefault="00C01C43">
            <w:pPr>
              <w:jc w:val="right"/>
              <w:rPr>
                <w:rFonts w:eastAsia="Times New Roman"/>
              </w:rPr>
            </w:pPr>
            <w:r>
              <w:rPr>
                <w:rFonts w:ascii="Arial" w:eastAsia="Times New Roman" w:hAnsi="Arial" w:cs="Arial"/>
                <w:color w:val="000000"/>
                <w:sz w:val="16"/>
                <w:szCs w:val="16"/>
              </w:rPr>
              <w:t>7.9 </w:t>
            </w:r>
          </w:p>
        </w:tc>
        <w:tc>
          <w:tcPr>
            <w:tcW w:w="0" w:type="auto"/>
            <w:shd w:val="clear" w:color="auto" w:fill="CCEEFF"/>
            <w:tcMar>
              <w:top w:w="30" w:type="dxa"/>
              <w:left w:w="0" w:type="dxa"/>
              <w:bottom w:w="30" w:type="dxa"/>
              <w:right w:w="20" w:type="dxa"/>
            </w:tcMar>
            <w:vAlign w:val="bottom"/>
            <w:hideMark/>
          </w:tcPr>
          <w:p w14:paraId="5D2576C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B5BE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12A1E9" w14:textId="77777777" w:rsidR="00000000" w:rsidRDefault="00C01C43">
            <w:pPr>
              <w:jc w:val="right"/>
              <w:rPr>
                <w:rFonts w:eastAsia="Times New Roman"/>
              </w:rPr>
            </w:pPr>
            <w:r>
              <w:rPr>
                <w:rFonts w:ascii="Arial" w:eastAsia="Times New Roman" w:hAnsi="Arial" w:cs="Arial"/>
                <w:color w:val="000000"/>
                <w:sz w:val="16"/>
                <w:szCs w:val="16"/>
              </w:rPr>
              <w:t>4.8 </w:t>
            </w:r>
          </w:p>
        </w:tc>
        <w:tc>
          <w:tcPr>
            <w:tcW w:w="0" w:type="auto"/>
            <w:shd w:val="clear" w:color="auto" w:fill="CCEEFF"/>
            <w:tcMar>
              <w:top w:w="30" w:type="dxa"/>
              <w:left w:w="0" w:type="dxa"/>
              <w:bottom w:w="30" w:type="dxa"/>
              <w:right w:w="20" w:type="dxa"/>
            </w:tcMar>
            <w:vAlign w:val="bottom"/>
            <w:hideMark/>
          </w:tcPr>
          <w:p w14:paraId="3CDA496D" w14:textId="77777777" w:rsidR="00000000" w:rsidRDefault="00C01C43">
            <w:pPr>
              <w:jc w:val="right"/>
              <w:rPr>
                <w:rFonts w:eastAsia="Times New Roman"/>
              </w:rPr>
            </w:pPr>
          </w:p>
        </w:tc>
      </w:tr>
      <w:tr w:rsidR="00000000" w14:paraId="3F5475DF" w14:textId="77777777">
        <w:trPr>
          <w:jc w:val="center"/>
        </w:trPr>
        <w:tc>
          <w:tcPr>
            <w:tcW w:w="0" w:type="auto"/>
            <w:gridSpan w:val="3"/>
            <w:shd w:val="clear" w:color="auto" w:fill="FFFFFF"/>
            <w:tcMar>
              <w:top w:w="0" w:type="dxa"/>
              <w:left w:w="20" w:type="dxa"/>
              <w:bottom w:w="0" w:type="dxa"/>
              <w:right w:w="20" w:type="dxa"/>
            </w:tcMar>
            <w:vAlign w:val="center"/>
            <w:hideMark/>
          </w:tcPr>
          <w:p w14:paraId="31EE27DC"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7BE1CA" w14:textId="77777777" w:rsidR="00000000" w:rsidRDefault="00C01C4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391C511" w14:textId="77777777" w:rsidR="00000000" w:rsidRDefault="00C01C43">
            <w:pPr>
              <w:rPr>
                <w:rFonts w:eastAsia="Times New Roman"/>
              </w:rPr>
            </w:pPr>
            <w:r>
              <w:rPr>
                <w:rFonts w:ascii="Arial" w:eastAsia="Times New Roman" w:hAnsi="Arial" w:cs="Arial"/>
                <w:color w:val="000000"/>
                <w:sz w:val="16"/>
                <w:szCs w:val="16"/>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14:paraId="6A421057"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79BA6B" w14:textId="77777777" w:rsidR="00000000" w:rsidRDefault="00C01C43">
            <w:pPr>
              <w:jc w:val="right"/>
              <w:rPr>
                <w:rFonts w:eastAsia="Times New Roman"/>
              </w:rPr>
            </w:pPr>
            <w:r>
              <w:rPr>
                <w:rFonts w:ascii="Arial" w:eastAsia="Times New Roman" w:hAnsi="Arial" w:cs="Arial"/>
                <w:color w:val="000000"/>
                <w:sz w:val="16"/>
                <w:szCs w:val="16"/>
              </w:rPr>
              <w:t>30.5 </w:t>
            </w:r>
          </w:p>
        </w:tc>
        <w:tc>
          <w:tcPr>
            <w:tcW w:w="0" w:type="auto"/>
            <w:shd w:val="clear" w:color="auto" w:fill="FFFFFF"/>
            <w:tcMar>
              <w:top w:w="30" w:type="dxa"/>
              <w:left w:w="0" w:type="dxa"/>
              <w:bottom w:w="30" w:type="dxa"/>
              <w:right w:w="20" w:type="dxa"/>
            </w:tcMar>
            <w:vAlign w:val="bottom"/>
            <w:hideMark/>
          </w:tcPr>
          <w:p w14:paraId="6FF1420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80133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6DEFD5" w14:textId="77777777" w:rsidR="00000000" w:rsidRDefault="00C01C43">
            <w:pPr>
              <w:jc w:val="right"/>
              <w:rPr>
                <w:rFonts w:eastAsia="Times New Roman"/>
              </w:rPr>
            </w:pPr>
            <w:r>
              <w:rPr>
                <w:rFonts w:ascii="Arial" w:eastAsia="Times New Roman" w:hAnsi="Arial" w:cs="Arial"/>
                <w:color w:val="000000"/>
                <w:sz w:val="16"/>
                <w:szCs w:val="16"/>
              </w:rPr>
              <w:t>161.0 </w:t>
            </w:r>
          </w:p>
        </w:tc>
        <w:tc>
          <w:tcPr>
            <w:tcW w:w="0" w:type="auto"/>
            <w:shd w:val="clear" w:color="auto" w:fill="FFFFFF"/>
            <w:tcMar>
              <w:top w:w="30" w:type="dxa"/>
              <w:left w:w="0" w:type="dxa"/>
              <w:bottom w:w="30" w:type="dxa"/>
              <w:right w:w="20" w:type="dxa"/>
            </w:tcMar>
            <w:vAlign w:val="bottom"/>
            <w:hideMark/>
          </w:tcPr>
          <w:p w14:paraId="2D96A9D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DEFC7"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E45CE4" w14:textId="77777777" w:rsidR="00000000" w:rsidRDefault="00C01C4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CC6820" w14:textId="77777777" w:rsidR="00000000" w:rsidRDefault="00C01C43">
            <w:pPr>
              <w:jc w:val="right"/>
              <w:rPr>
                <w:rFonts w:eastAsia="Times New Roman"/>
              </w:rPr>
            </w:pPr>
            <w:r>
              <w:rPr>
                <w:rFonts w:ascii="Arial" w:eastAsia="Times New Roman" w:hAnsi="Arial" w:cs="Arial"/>
                <w:color w:val="000000"/>
                <w:sz w:val="16"/>
                <w:szCs w:val="16"/>
              </w:rPr>
              <w:t>68.4 </w:t>
            </w:r>
          </w:p>
        </w:tc>
        <w:tc>
          <w:tcPr>
            <w:tcW w:w="0" w:type="auto"/>
            <w:shd w:val="clear" w:color="auto" w:fill="FFFFFF"/>
            <w:tcMar>
              <w:top w:w="30" w:type="dxa"/>
              <w:left w:w="0" w:type="dxa"/>
              <w:bottom w:w="30" w:type="dxa"/>
              <w:right w:w="20" w:type="dxa"/>
            </w:tcMar>
            <w:vAlign w:val="bottom"/>
            <w:hideMark/>
          </w:tcPr>
          <w:p w14:paraId="6EC3708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11A9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264FE6" w14:textId="77777777" w:rsidR="00000000" w:rsidRDefault="00C01C43">
            <w:pPr>
              <w:jc w:val="right"/>
              <w:rPr>
                <w:rFonts w:eastAsia="Times New Roman"/>
              </w:rPr>
            </w:pPr>
            <w:r>
              <w:rPr>
                <w:rFonts w:ascii="Arial" w:eastAsia="Times New Roman" w:hAnsi="Arial" w:cs="Arial"/>
                <w:color w:val="000000"/>
                <w:sz w:val="16"/>
                <w:szCs w:val="16"/>
              </w:rPr>
              <w:t>203.4 </w:t>
            </w:r>
          </w:p>
        </w:tc>
        <w:tc>
          <w:tcPr>
            <w:tcW w:w="0" w:type="auto"/>
            <w:shd w:val="clear" w:color="auto" w:fill="FFFFFF"/>
            <w:tcMar>
              <w:top w:w="30" w:type="dxa"/>
              <w:left w:w="0" w:type="dxa"/>
              <w:bottom w:w="30" w:type="dxa"/>
              <w:right w:w="20" w:type="dxa"/>
            </w:tcMar>
            <w:vAlign w:val="bottom"/>
            <w:hideMark/>
          </w:tcPr>
          <w:p w14:paraId="01D40F1D" w14:textId="77777777" w:rsidR="00000000" w:rsidRDefault="00C01C43">
            <w:pPr>
              <w:jc w:val="right"/>
              <w:rPr>
                <w:rFonts w:eastAsia="Times New Roman"/>
              </w:rPr>
            </w:pPr>
          </w:p>
        </w:tc>
      </w:tr>
      <w:tr w:rsidR="00000000" w14:paraId="56DCA30B" w14:textId="77777777">
        <w:trPr>
          <w:jc w:val="center"/>
        </w:trPr>
        <w:tc>
          <w:tcPr>
            <w:tcW w:w="0" w:type="auto"/>
            <w:gridSpan w:val="3"/>
            <w:shd w:val="clear" w:color="auto" w:fill="CCEEFF"/>
            <w:tcMar>
              <w:top w:w="0" w:type="dxa"/>
              <w:left w:w="20" w:type="dxa"/>
              <w:bottom w:w="0" w:type="dxa"/>
              <w:right w:w="20" w:type="dxa"/>
            </w:tcMar>
            <w:vAlign w:val="center"/>
            <w:hideMark/>
          </w:tcPr>
          <w:p w14:paraId="263AB78B"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A01D93" w14:textId="77777777" w:rsidR="00000000" w:rsidRDefault="00C01C4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A9B4E38" w14:textId="77777777" w:rsidR="00000000" w:rsidRDefault="00C01C43">
            <w:pPr>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14:paraId="13148E91"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AE0A73" w14:textId="77777777" w:rsidR="00000000" w:rsidRDefault="00C01C43">
            <w:pPr>
              <w:jc w:val="right"/>
              <w:rPr>
                <w:rFonts w:eastAsia="Times New Roman"/>
              </w:rPr>
            </w:pPr>
            <w:r>
              <w:rPr>
                <w:rFonts w:ascii="Arial" w:eastAsia="Times New Roman" w:hAnsi="Arial" w:cs="Arial"/>
                <w:color w:val="000000"/>
                <w:sz w:val="16"/>
                <w:szCs w:val="16"/>
              </w:rPr>
              <w:t>17.5 </w:t>
            </w:r>
          </w:p>
        </w:tc>
        <w:tc>
          <w:tcPr>
            <w:tcW w:w="0" w:type="auto"/>
            <w:shd w:val="clear" w:color="auto" w:fill="CCEEFF"/>
            <w:tcMar>
              <w:top w:w="30" w:type="dxa"/>
              <w:left w:w="0" w:type="dxa"/>
              <w:bottom w:w="30" w:type="dxa"/>
              <w:right w:w="20" w:type="dxa"/>
            </w:tcMar>
            <w:vAlign w:val="bottom"/>
            <w:hideMark/>
          </w:tcPr>
          <w:p w14:paraId="2DD392F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A595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011966" w14:textId="77777777" w:rsidR="00000000" w:rsidRDefault="00C01C43">
            <w:pPr>
              <w:jc w:val="right"/>
              <w:rPr>
                <w:rFonts w:eastAsia="Times New Roman"/>
              </w:rPr>
            </w:pPr>
            <w:r>
              <w:rPr>
                <w:rFonts w:ascii="Arial" w:eastAsia="Times New Roman" w:hAnsi="Arial" w:cs="Arial"/>
                <w:color w:val="000000"/>
                <w:sz w:val="16"/>
                <w:szCs w:val="16"/>
              </w:rPr>
              <w:t>7.7 </w:t>
            </w:r>
          </w:p>
        </w:tc>
        <w:tc>
          <w:tcPr>
            <w:tcW w:w="0" w:type="auto"/>
            <w:shd w:val="clear" w:color="auto" w:fill="CCEEFF"/>
            <w:tcMar>
              <w:top w:w="30" w:type="dxa"/>
              <w:left w:w="0" w:type="dxa"/>
              <w:bottom w:w="30" w:type="dxa"/>
              <w:right w:w="20" w:type="dxa"/>
            </w:tcMar>
            <w:vAlign w:val="bottom"/>
            <w:hideMark/>
          </w:tcPr>
          <w:p w14:paraId="15380E8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26541"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432D07" w14:textId="77777777" w:rsidR="00000000" w:rsidRDefault="00C01C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234B25" w14:textId="77777777" w:rsidR="00000000" w:rsidRDefault="00C01C43">
            <w:pPr>
              <w:jc w:val="right"/>
              <w:rPr>
                <w:rFonts w:eastAsia="Times New Roman"/>
              </w:rPr>
            </w:pPr>
            <w:r>
              <w:rPr>
                <w:rFonts w:ascii="Arial" w:eastAsia="Times New Roman" w:hAnsi="Arial" w:cs="Arial"/>
                <w:color w:val="000000"/>
                <w:sz w:val="16"/>
                <w:szCs w:val="16"/>
              </w:rPr>
              <w:t>23.5 </w:t>
            </w:r>
          </w:p>
        </w:tc>
        <w:tc>
          <w:tcPr>
            <w:tcW w:w="0" w:type="auto"/>
            <w:shd w:val="clear" w:color="auto" w:fill="CCEEFF"/>
            <w:tcMar>
              <w:top w:w="30" w:type="dxa"/>
              <w:left w:w="0" w:type="dxa"/>
              <w:bottom w:w="30" w:type="dxa"/>
              <w:right w:w="20" w:type="dxa"/>
            </w:tcMar>
            <w:vAlign w:val="bottom"/>
            <w:hideMark/>
          </w:tcPr>
          <w:p w14:paraId="2E06AFF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999BA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F5385A" w14:textId="77777777" w:rsidR="00000000" w:rsidRDefault="00C01C43">
            <w:pPr>
              <w:jc w:val="right"/>
              <w:rPr>
                <w:rFonts w:eastAsia="Times New Roman"/>
              </w:rPr>
            </w:pPr>
            <w:r>
              <w:rPr>
                <w:rFonts w:ascii="Arial" w:eastAsia="Times New Roman" w:hAnsi="Arial" w:cs="Arial"/>
                <w:color w:val="000000"/>
                <w:sz w:val="16"/>
                <w:szCs w:val="16"/>
              </w:rPr>
              <w:t>19.7 </w:t>
            </w:r>
          </w:p>
        </w:tc>
        <w:tc>
          <w:tcPr>
            <w:tcW w:w="0" w:type="auto"/>
            <w:shd w:val="clear" w:color="auto" w:fill="CCEEFF"/>
            <w:tcMar>
              <w:top w:w="30" w:type="dxa"/>
              <w:left w:w="0" w:type="dxa"/>
              <w:bottom w:w="30" w:type="dxa"/>
              <w:right w:w="20" w:type="dxa"/>
            </w:tcMar>
            <w:vAlign w:val="bottom"/>
            <w:hideMark/>
          </w:tcPr>
          <w:p w14:paraId="367F90A4" w14:textId="77777777" w:rsidR="00000000" w:rsidRDefault="00C01C43">
            <w:pPr>
              <w:jc w:val="right"/>
              <w:rPr>
                <w:rFonts w:eastAsia="Times New Roman"/>
              </w:rPr>
            </w:pPr>
          </w:p>
        </w:tc>
      </w:tr>
      <w:tr w:rsidR="00000000" w14:paraId="4FF49559" w14:textId="77777777">
        <w:trPr>
          <w:jc w:val="center"/>
        </w:trPr>
        <w:tc>
          <w:tcPr>
            <w:tcW w:w="0" w:type="auto"/>
            <w:gridSpan w:val="3"/>
            <w:shd w:val="clear" w:color="auto" w:fill="FFFFFF"/>
            <w:tcMar>
              <w:top w:w="0" w:type="dxa"/>
              <w:left w:w="20" w:type="dxa"/>
              <w:bottom w:w="0" w:type="dxa"/>
              <w:right w:w="20" w:type="dxa"/>
            </w:tcMar>
            <w:vAlign w:val="center"/>
            <w:hideMark/>
          </w:tcPr>
          <w:p w14:paraId="6967B110"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00AB5F"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BB3F5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878DE2B"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EFE5FF" w14:textId="77777777" w:rsidR="00000000" w:rsidRDefault="00C01C43">
            <w:pPr>
              <w:jc w:val="right"/>
              <w:rPr>
                <w:rFonts w:eastAsia="Times New Roman"/>
              </w:rPr>
            </w:pPr>
            <w:r>
              <w:rPr>
                <w:rFonts w:ascii="Arial" w:eastAsia="Times New Roman" w:hAnsi="Arial" w:cs="Arial"/>
                <w:color w:val="000000"/>
                <w:sz w:val="16"/>
                <w:szCs w:val="16"/>
              </w:rPr>
              <w:t>245.0 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574153"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B71F740"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2733E2" w14:textId="77777777" w:rsidR="00000000" w:rsidRDefault="00C01C43">
            <w:pPr>
              <w:jc w:val="right"/>
              <w:rPr>
                <w:rFonts w:eastAsia="Times New Roman"/>
              </w:rPr>
            </w:pPr>
            <w:r>
              <w:rPr>
                <w:rFonts w:ascii="Arial" w:eastAsia="Times New Roman" w:hAnsi="Arial" w:cs="Arial"/>
                <w:color w:val="000000"/>
                <w:sz w:val="16"/>
                <w:szCs w:val="16"/>
              </w:rPr>
              <w:t>257.3 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FE3293"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E72A91"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58A523"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C40CD9" w14:textId="77777777" w:rsidR="00000000" w:rsidRDefault="00C01C43">
            <w:pPr>
              <w:jc w:val="right"/>
              <w:rPr>
                <w:rFonts w:eastAsia="Times New Roman"/>
              </w:rPr>
            </w:pPr>
            <w:r>
              <w:rPr>
                <w:rFonts w:ascii="Arial" w:eastAsia="Times New Roman" w:hAnsi="Arial" w:cs="Arial"/>
                <w:color w:val="000000"/>
                <w:sz w:val="16"/>
                <w:szCs w:val="16"/>
              </w:rPr>
              <w:t>202.5 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2DD891"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DDA168E"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A0244C" w14:textId="77777777" w:rsidR="00000000" w:rsidRDefault="00C01C43">
            <w:pPr>
              <w:jc w:val="right"/>
              <w:rPr>
                <w:rFonts w:eastAsia="Times New Roman"/>
              </w:rPr>
            </w:pPr>
            <w:r>
              <w:rPr>
                <w:rFonts w:ascii="Arial" w:eastAsia="Times New Roman" w:hAnsi="Arial" w:cs="Arial"/>
                <w:color w:val="000000"/>
                <w:sz w:val="16"/>
                <w:szCs w:val="16"/>
              </w:rPr>
              <w:t>235.0 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9D41DC" w14:textId="77777777" w:rsidR="00000000" w:rsidRDefault="00C01C43">
            <w:pPr>
              <w:jc w:val="right"/>
              <w:rPr>
                <w:rFonts w:eastAsia="Times New Roman"/>
              </w:rPr>
            </w:pPr>
          </w:p>
        </w:tc>
      </w:tr>
      <w:tr w:rsidR="00000000" w14:paraId="3CA4BB8E" w14:textId="77777777">
        <w:trPr>
          <w:trHeight w:val="300"/>
          <w:jc w:val="center"/>
        </w:trPr>
        <w:tc>
          <w:tcPr>
            <w:tcW w:w="0" w:type="auto"/>
            <w:gridSpan w:val="3"/>
            <w:shd w:val="clear" w:color="auto" w:fill="CCEEFF"/>
            <w:tcMar>
              <w:top w:w="0" w:type="dxa"/>
              <w:left w:w="20" w:type="dxa"/>
              <w:bottom w:w="0" w:type="dxa"/>
              <w:right w:w="20" w:type="dxa"/>
            </w:tcMar>
            <w:vAlign w:val="center"/>
            <w:hideMark/>
          </w:tcPr>
          <w:p w14:paraId="75125E0E"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AF4069"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46E9C4"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82D414"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0ECED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22FF0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9F7ED8"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D21E9A"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ECD6C8"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F89286"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19C651"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D9EEA3" w14:textId="77777777" w:rsidR="00000000" w:rsidRDefault="00C01C43">
            <w:pPr>
              <w:rPr>
                <w:rFonts w:eastAsia="Times New Roman"/>
                <w:sz w:val="20"/>
                <w:szCs w:val="20"/>
              </w:rPr>
            </w:pPr>
          </w:p>
        </w:tc>
      </w:tr>
      <w:tr w:rsidR="00000000" w14:paraId="1811ADAA" w14:textId="77777777">
        <w:trPr>
          <w:jc w:val="center"/>
        </w:trPr>
        <w:tc>
          <w:tcPr>
            <w:tcW w:w="0" w:type="auto"/>
            <w:gridSpan w:val="6"/>
            <w:shd w:val="clear" w:color="auto" w:fill="FFFFFF"/>
            <w:tcMar>
              <w:top w:w="30" w:type="dxa"/>
              <w:left w:w="20" w:type="dxa"/>
              <w:bottom w:w="30" w:type="dxa"/>
              <w:right w:w="20" w:type="dxa"/>
            </w:tcMar>
            <w:vAlign w:val="bottom"/>
            <w:hideMark/>
          </w:tcPr>
          <w:p w14:paraId="16BC1659" w14:textId="77777777" w:rsidR="00000000" w:rsidRDefault="00C01C43">
            <w:pPr>
              <w:rPr>
                <w:rFonts w:eastAsia="Times New Roman"/>
              </w:rPr>
            </w:pPr>
            <w:r>
              <w:rPr>
                <w:rFonts w:ascii="Arial" w:eastAsia="Times New Roman" w:hAnsi="Arial" w:cs="Arial"/>
                <w:color w:val="000000"/>
                <w:sz w:val="16"/>
                <w:szCs w:val="16"/>
              </w:rPr>
              <w:t>Foreign currency contracts</w:t>
            </w:r>
          </w:p>
        </w:tc>
        <w:tc>
          <w:tcPr>
            <w:tcW w:w="0" w:type="auto"/>
            <w:gridSpan w:val="3"/>
            <w:shd w:val="clear" w:color="auto" w:fill="FFFFFF"/>
            <w:tcMar>
              <w:top w:w="30" w:type="dxa"/>
              <w:left w:w="20" w:type="dxa"/>
              <w:bottom w:w="30" w:type="dxa"/>
              <w:right w:w="20" w:type="dxa"/>
            </w:tcMar>
            <w:vAlign w:val="bottom"/>
            <w:hideMark/>
          </w:tcPr>
          <w:p w14:paraId="48B20D0D" w14:textId="77777777" w:rsidR="00000000" w:rsidRDefault="00C01C43">
            <w:pPr>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14:paraId="71AB98D1"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1275BF"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23C08E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EBB6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D7E8FB" w14:textId="77777777" w:rsidR="00000000" w:rsidRDefault="00C01C43">
            <w:pPr>
              <w:jc w:val="right"/>
              <w:rPr>
                <w:rFonts w:eastAsia="Times New Roman"/>
              </w:rPr>
            </w:pPr>
            <w:r>
              <w:rPr>
                <w:rFonts w:ascii="Arial" w:eastAsia="Times New Roman" w:hAnsi="Arial" w:cs="Arial"/>
                <w:color w:val="000000"/>
                <w:sz w:val="16"/>
                <w:szCs w:val="16"/>
              </w:rPr>
              <w:t>1.2 </w:t>
            </w:r>
          </w:p>
        </w:tc>
        <w:tc>
          <w:tcPr>
            <w:tcW w:w="0" w:type="auto"/>
            <w:shd w:val="clear" w:color="auto" w:fill="FFFFFF"/>
            <w:tcMar>
              <w:top w:w="30" w:type="dxa"/>
              <w:left w:w="0" w:type="dxa"/>
              <w:bottom w:w="30" w:type="dxa"/>
              <w:right w:w="20" w:type="dxa"/>
            </w:tcMar>
            <w:vAlign w:val="bottom"/>
            <w:hideMark/>
          </w:tcPr>
          <w:p w14:paraId="1911D67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DD25F"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5C6E5D" w14:textId="77777777" w:rsidR="00000000" w:rsidRDefault="00C01C4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02B62E"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A13FF1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E034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40802E" w14:textId="77777777" w:rsidR="00000000" w:rsidRDefault="00C01C43">
            <w:pPr>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14:paraId="21821FFB" w14:textId="77777777" w:rsidR="00000000" w:rsidRDefault="00C01C43">
            <w:pPr>
              <w:jc w:val="right"/>
              <w:rPr>
                <w:rFonts w:eastAsia="Times New Roman"/>
              </w:rPr>
            </w:pPr>
          </w:p>
        </w:tc>
      </w:tr>
      <w:tr w:rsidR="00000000" w14:paraId="578A767E" w14:textId="77777777">
        <w:trPr>
          <w:jc w:val="center"/>
        </w:trPr>
        <w:tc>
          <w:tcPr>
            <w:tcW w:w="0" w:type="auto"/>
            <w:gridSpan w:val="3"/>
            <w:vAlign w:val="center"/>
            <w:hideMark/>
          </w:tcPr>
          <w:p w14:paraId="793FFF30" w14:textId="77777777" w:rsidR="00000000" w:rsidRDefault="00C01C43">
            <w:pPr>
              <w:jc w:val="right"/>
              <w:rPr>
                <w:rFonts w:eastAsia="Times New Roman"/>
                <w:sz w:val="20"/>
                <w:szCs w:val="20"/>
              </w:rPr>
            </w:pPr>
          </w:p>
        </w:tc>
        <w:tc>
          <w:tcPr>
            <w:tcW w:w="0" w:type="auto"/>
            <w:gridSpan w:val="3"/>
            <w:vAlign w:val="center"/>
            <w:hideMark/>
          </w:tcPr>
          <w:p w14:paraId="272DC9A1" w14:textId="77777777" w:rsidR="00000000" w:rsidRDefault="00C01C43">
            <w:pPr>
              <w:rPr>
                <w:rFonts w:eastAsia="Times New Roman"/>
                <w:sz w:val="20"/>
                <w:szCs w:val="20"/>
              </w:rPr>
            </w:pPr>
          </w:p>
        </w:tc>
        <w:tc>
          <w:tcPr>
            <w:tcW w:w="0" w:type="auto"/>
            <w:gridSpan w:val="3"/>
            <w:vAlign w:val="center"/>
            <w:hideMark/>
          </w:tcPr>
          <w:p w14:paraId="229CDC43" w14:textId="77777777" w:rsidR="00000000" w:rsidRDefault="00C01C43">
            <w:pPr>
              <w:rPr>
                <w:rFonts w:eastAsia="Times New Roman"/>
                <w:sz w:val="20"/>
                <w:szCs w:val="20"/>
              </w:rPr>
            </w:pPr>
          </w:p>
        </w:tc>
        <w:tc>
          <w:tcPr>
            <w:tcW w:w="0" w:type="auto"/>
            <w:gridSpan w:val="3"/>
            <w:vAlign w:val="center"/>
            <w:hideMark/>
          </w:tcPr>
          <w:p w14:paraId="76BAC7B5" w14:textId="77777777" w:rsidR="00000000" w:rsidRDefault="00C01C43">
            <w:pPr>
              <w:rPr>
                <w:rFonts w:eastAsia="Times New Roman"/>
                <w:sz w:val="20"/>
                <w:szCs w:val="20"/>
              </w:rPr>
            </w:pPr>
          </w:p>
        </w:tc>
        <w:tc>
          <w:tcPr>
            <w:tcW w:w="0" w:type="auto"/>
            <w:gridSpan w:val="3"/>
            <w:vAlign w:val="center"/>
            <w:hideMark/>
          </w:tcPr>
          <w:p w14:paraId="768C74FE" w14:textId="77777777" w:rsidR="00000000" w:rsidRDefault="00C01C43">
            <w:pPr>
              <w:rPr>
                <w:rFonts w:eastAsia="Times New Roman"/>
                <w:sz w:val="20"/>
                <w:szCs w:val="20"/>
              </w:rPr>
            </w:pPr>
          </w:p>
        </w:tc>
        <w:tc>
          <w:tcPr>
            <w:tcW w:w="0" w:type="auto"/>
            <w:gridSpan w:val="3"/>
            <w:vAlign w:val="center"/>
            <w:hideMark/>
          </w:tcPr>
          <w:p w14:paraId="0571396D" w14:textId="77777777" w:rsidR="00000000" w:rsidRDefault="00C01C43">
            <w:pPr>
              <w:rPr>
                <w:rFonts w:eastAsia="Times New Roman"/>
                <w:sz w:val="20"/>
                <w:szCs w:val="20"/>
              </w:rPr>
            </w:pPr>
          </w:p>
        </w:tc>
        <w:tc>
          <w:tcPr>
            <w:tcW w:w="0" w:type="auto"/>
            <w:gridSpan w:val="3"/>
            <w:vAlign w:val="center"/>
            <w:hideMark/>
          </w:tcPr>
          <w:p w14:paraId="63B4B588" w14:textId="77777777" w:rsidR="00000000" w:rsidRDefault="00C01C43">
            <w:pPr>
              <w:rPr>
                <w:rFonts w:eastAsia="Times New Roman"/>
                <w:sz w:val="20"/>
                <w:szCs w:val="20"/>
              </w:rPr>
            </w:pPr>
          </w:p>
        </w:tc>
        <w:tc>
          <w:tcPr>
            <w:tcW w:w="0" w:type="auto"/>
            <w:gridSpan w:val="3"/>
            <w:vAlign w:val="center"/>
            <w:hideMark/>
          </w:tcPr>
          <w:p w14:paraId="26A4FF52" w14:textId="77777777" w:rsidR="00000000" w:rsidRDefault="00C01C43">
            <w:pPr>
              <w:rPr>
                <w:rFonts w:eastAsia="Times New Roman"/>
                <w:sz w:val="20"/>
                <w:szCs w:val="20"/>
              </w:rPr>
            </w:pPr>
          </w:p>
        </w:tc>
        <w:tc>
          <w:tcPr>
            <w:tcW w:w="0" w:type="auto"/>
            <w:gridSpan w:val="3"/>
            <w:vAlign w:val="center"/>
            <w:hideMark/>
          </w:tcPr>
          <w:p w14:paraId="22E3A942" w14:textId="77777777" w:rsidR="00000000" w:rsidRDefault="00C01C43">
            <w:pPr>
              <w:rPr>
                <w:rFonts w:eastAsia="Times New Roman"/>
                <w:sz w:val="20"/>
                <w:szCs w:val="20"/>
              </w:rPr>
            </w:pPr>
          </w:p>
        </w:tc>
        <w:tc>
          <w:tcPr>
            <w:tcW w:w="0" w:type="auto"/>
            <w:gridSpan w:val="3"/>
            <w:vAlign w:val="center"/>
            <w:hideMark/>
          </w:tcPr>
          <w:p w14:paraId="12E112DC" w14:textId="77777777" w:rsidR="00000000" w:rsidRDefault="00C01C43">
            <w:pPr>
              <w:rPr>
                <w:rFonts w:eastAsia="Times New Roman"/>
                <w:sz w:val="20"/>
                <w:szCs w:val="20"/>
              </w:rPr>
            </w:pPr>
          </w:p>
        </w:tc>
        <w:tc>
          <w:tcPr>
            <w:tcW w:w="0" w:type="auto"/>
            <w:gridSpan w:val="3"/>
            <w:vAlign w:val="center"/>
            <w:hideMark/>
          </w:tcPr>
          <w:p w14:paraId="5F9D3924" w14:textId="77777777" w:rsidR="00000000" w:rsidRDefault="00C01C43">
            <w:pPr>
              <w:rPr>
                <w:rFonts w:eastAsia="Times New Roman"/>
                <w:sz w:val="20"/>
                <w:szCs w:val="20"/>
              </w:rPr>
            </w:pPr>
          </w:p>
        </w:tc>
        <w:tc>
          <w:tcPr>
            <w:tcW w:w="0" w:type="auto"/>
            <w:gridSpan w:val="3"/>
            <w:vAlign w:val="center"/>
            <w:hideMark/>
          </w:tcPr>
          <w:p w14:paraId="2DA61543" w14:textId="77777777" w:rsidR="00000000" w:rsidRDefault="00C01C43">
            <w:pPr>
              <w:rPr>
                <w:rFonts w:eastAsia="Times New Roman"/>
                <w:sz w:val="20"/>
                <w:szCs w:val="20"/>
              </w:rPr>
            </w:pPr>
          </w:p>
        </w:tc>
      </w:tr>
      <w:tr w:rsidR="00000000" w14:paraId="65FB4189" w14:textId="77777777">
        <w:trPr>
          <w:jc w:val="center"/>
        </w:trPr>
        <w:tc>
          <w:tcPr>
            <w:tcW w:w="0" w:type="auto"/>
            <w:gridSpan w:val="3"/>
            <w:shd w:val="clear" w:color="auto" w:fill="CCEEFF"/>
            <w:tcMar>
              <w:top w:w="0" w:type="dxa"/>
              <w:left w:w="20" w:type="dxa"/>
              <w:bottom w:w="0" w:type="dxa"/>
              <w:right w:w="20" w:type="dxa"/>
            </w:tcMar>
            <w:vAlign w:val="center"/>
            <w:hideMark/>
          </w:tcPr>
          <w:p w14:paraId="75F0A0BA"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53016C" w14:textId="77777777" w:rsidR="00000000" w:rsidRDefault="00C01C4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A6A5DD5" w14:textId="77777777" w:rsidR="00000000" w:rsidRDefault="00C01C43">
            <w:pPr>
              <w:rPr>
                <w:rFonts w:eastAsia="Times New Roman"/>
              </w:rPr>
            </w:pPr>
            <w:r>
              <w:rPr>
                <w:rFonts w:ascii="Arial" w:eastAsia="Times New Roman" w:hAnsi="Arial" w:cs="Arial"/>
                <w:color w:val="000000"/>
                <w:sz w:val="16"/>
                <w:szCs w:val="16"/>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14:paraId="4D9E86CD"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A638D1" w14:textId="77777777" w:rsidR="00000000" w:rsidRDefault="00C01C43">
            <w:pPr>
              <w:jc w:val="right"/>
              <w:rPr>
                <w:rFonts w:eastAsia="Times New Roman"/>
              </w:rPr>
            </w:pPr>
            <w:r>
              <w:rPr>
                <w:rFonts w:ascii="Arial" w:eastAsia="Times New Roman" w:hAnsi="Arial" w:cs="Arial"/>
                <w:color w:val="000000"/>
                <w:sz w:val="16"/>
                <w:szCs w:val="16"/>
              </w:rPr>
              <w:t>7.5 </w:t>
            </w:r>
          </w:p>
        </w:tc>
        <w:tc>
          <w:tcPr>
            <w:tcW w:w="0" w:type="auto"/>
            <w:shd w:val="clear" w:color="auto" w:fill="CCEEFF"/>
            <w:tcMar>
              <w:top w:w="30" w:type="dxa"/>
              <w:left w:w="0" w:type="dxa"/>
              <w:bottom w:w="30" w:type="dxa"/>
              <w:right w:w="20" w:type="dxa"/>
            </w:tcMar>
            <w:vAlign w:val="bottom"/>
            <w:hideMark/>
          </w:tcPr>
          <w:p w14:paraId="64DE9BA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6BE9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CBA8E2" w14:textId="77777777" w:rsidR="00000000" w:rsidRDefault="00C01C43">
            <w:pPr>
              <w:jc w:val="right"/>
              <w:rPr>
                <w:rFonts w:eastAsia="Times New Roman"/>
              </w:rPr>
            </w:pPr>
            <w:r>
              <w:rPr>
                <w:rFonts w:ascii="Arial" w:eastAsia="Times New Roman" w:hAnsi="Arial" w:cs="Arial"/>
                <w:color w:val="000000"/>
                <w:sz w:val="16"/>
                <w:szCs w:val="16"/>
              </w:rPr>
              <w:t>0.9 </w:t>
            </w:r>
          </w:p>
        </w:tc>
        <w:tc>
          <w:tcPr>
            <w:tcW w:w="0" w:type="auto"/>
            <w:shd w:val="clear" w:color="auto" w:fill="CCEEFF"/>
            <w:tcMar>
              <w:top w:w="30" w:type="dxa"/>
              <w:left w:w="0" w:type="dxa"/>
              <w:bottom w:w="30" w:type="dxa"/>
              <w:right w:w="20" w:type="dxa"/>
            </w:tcMar>
            <w:vAlign w:val="bottom"/>
            <w:hideMark/>
          </w:tcPr>
          <w:p w14:paraId="0C1ADF1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EE1C6B"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C5409D" w14:textId="77777777" w:rsidR="00000000" w:rsidRDefault="00C01C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4C97BB" w14:textId="77777777" w:rsidR="00000000" w:rsidRDefault="00C01C43">
            <w:pPr>
              <w:jc w:val="right"/>
              <w:rPr>
                <w:rFonts w:eastAsia="Times New Roman"/>
              </w:rPr>
            </w:pPr>
            <w:r>
              <w:rPr>
                <w:rFonts w:ascii="Arial" w:eastAsia="Times New Roman" w:hAnsi="Arial" w:cs="Arial"/>
                <w:color w:val="000000"/>
                <w:sz w:val="16"/>
                <w:szCs w:val="16"/>
              </w:rPr>
              <w:t>19.6 </w:t>
            </w:r>
          </w:p>
        </w:tc>
        <w:tc>
          <w:tcPr>
            <w:tcW w:w="0" w:type="auto"/>
            <w:shd w:val="clear" w:color="auto" w:fill="CCEEFF"/>
            <w:tcMar>
              <w:top w:w="30" w:type="dxa"/>
              <w:left w:w="0" w:type="dxa"/>
              <w:bottom w:w="30" w:type="dxa"/>
              <w:right w:w="20" w:type="dxa"/>
            </w:tcMar>
            <w:vAlign w:val="bottom"/>
            <w:hideMark/>
          </w:tcPr>
          <w:p w14:paraId="1965D2D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5C61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9D273C" w14:textId="77777777" w:rsidR="00000000" w:rsidRDefault="00C01C43">
            <w:pPr>
              <w:jc w:val="right"/>
              <w:rPr>
                <w:rFonts w:eastAsia="Times New Roman"/>
              </w:rPr>
            </w:pPr>
            <w:r>
              <w:rPr>
                <w:rFonts w:ascii="Arial" w:eastAsia="Times New Roman" w:hAnsi="Arial" w:cs="Arial"/>
                <w:color w:val="000000"/>
                <w:sz w:val="16"/>
                <w:szCs w:val="16"/>
              </w:rPr>
              <w:t>11.4 </w:t>
            </w:r>
          </w:p>
        </w:tc>
        <w:tc>
          <w:tcPr>
            <w:tcW w:w="0" w:type="auto"/>
            <w:shd w:val="clear" w:color="auto" w:fill="CCEEFF"/>
            <w:tcMar>
              <w:top w:w="30" w:type="dxa"/>
              <w:left w:w="0" w:type="dxa"/>
              <w:bottom w:w="30" w:type="dxa"/>
              <w:right w:w="20" w:type="dxa"/>
            </w:tcMar>
            <w:vAlign w:val="bottom"/>
            <w:hideMark/>
          </w:tcPr>
          <w:p w14:paraId="2AF722B5" w14:textId="77777777" w:rsidR="00000000" w:rsidRDefault="00C01C43">
            <w:pPr>
              <w:jc w:val="right"/>
              <w:rPr>
                <w:rFonts w:eastAsia="Times New Roman"/>
              </w:rPr>
            </w:pPr>
          </w:p>
        </w:tc>
      </w:tr>
      <w:tr w:rsidR="00000000" w14:paraId="544BC234" w14:textId="77777777">
        <w:trPr>
          <w:jc w:val="center"/>
        </w:trPr>
        <w:tc>
          <w:tcPr>
            <w:tcW w:w="0" w:type="auto"/>
            <w:gridSpan w:val="3"/>
            <w:shd w:val="clear" w:color="auto" w:fill="FFFFFF"/>
            <w:tcMar>
              <w:top w:w="0" w:type="dxa"/>
              <w:left w:w="20" w:type="dxa"/>
              <w:bottom w:w="0" w:type="dxa"/>
              <w:right w:w="20" w:type="dxa"/>
            </w:tcMar>
            <w:vAlign w:val="center"/>
            <w:hideMark/>
          </w:tcPr>
          <w:p w14:paraId="730DFF0E"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FEB791" w14:textId="77777777" w:rsidR="00000000" w:rsidRDefault="00C01C4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8D51CB4" w14:textId="77777777" w:rsidR="00000000" w:rsidRDefault="00C01C43">
            <w:pPr>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14:paraId="42BAF5F0"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79DC25"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72FF36C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E4769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A7191D"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B7B2A3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0FD1DB"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F28FC8" w14:textId="77777777" w:rsidR="00000000" w:rsidRDefault="00C01C4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82C199" w14:textId="77777777" w:rsidR="00000000" w:rsidRDefault="00C01C43">
            <w:pPr>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14:paraId="7349F18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3DE4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33049C"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744C523" w14:textId="77777777" w:rsidR="00000000" w:rsidRDefault="00C01C43">
            <w:pPr>
              <w:jc w:val="right"/>
              <w:rPr>
                <w:rFonts w:eastAsia="Times New Roman"/>
              </w:rPr>
            </w:pPr>
          </w:p>
        </w:tc>
      </w:tr>
      <w:tr w:rsidR="00000000" w14:paraId="1CDFA0A0" w14:textId="77777777">
        <w:trPr>
          <w:jc w:val="center"/>
        </w:trPr>
        <w:tc>
          <w:tcPr>
            <w:tcW w:w="0" w:type="auto"/>
            <w:gridSpan w:val="3"/>
            <w:shd w:val="clear" w:color="auto" w:fill="CCEEFF"/>
            <w:tcMar>
              <w:top w:w="0" w:type="dxa"/>
              <w:left w:w="20" w:type="dxa"/>
              <w:bottom w:w="0" w:type="dxa"/>
              <w:right w:w="20" w:type="dxa"/>
            </w:tcMar>
            <w:vAlign w:val="center"/>
            <w:hideMark/>
          </w:tcPr>
          <w:p w14:paraId="796633B5" w14:textId="77777777" w:rsidR="00000000" w:rsidRDefault="00C01C43">
            <w:pPr>
              <w:jc w:val="right"/>
              <w:rPr>
                <w:rFonts w:eastAsia="Times New Roman"/>
                <w:sz w:val="20"/>
                <w:szCs w:val="20"/>
              </w:rPr>
            </w:pP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14:paraId="60DA9964" w14:textId="77777777" w:rsidR="00000000" w:rsidRDefault="00C01C43">
            <w:pPr>
              <w:rPr>
                <w:rFonts w:eastAsia="Times New Roman"/>
                <w:sz w:val="20"/>
                <w:szCs w:val="20"/>
              </w:rPr>
            </w:pP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14:paraId="3D3B8E3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CC65C5"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690578" w14:textId="77777777" w:rsidR="00000000" w:rsidRDefault="00C01C43">
            <w:pPr>
              <w:jc w:val="right"/>
              <w:rPr>
                <w:rFonts w:eastAsia="Times New Roman"/>
              </w:rPr>
            </w:pPr>
            <w:r>
              <w:rPr>
                <w:rFonts w:ascii="Arial" w:eastAsia="Times New Roman" w:hAnsi="Arial" w:cs="Arial"/>
                <w:color w:val="000000"/>
                <w:sz w:val="16"/>
                <w:szCs w:val="16"/>
              </w:rPr>
              <w:t>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038A55"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DED27F"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3E1007" w14:textId="77777777" w:rsidR="00000000" w:rsidRDefault="00C01C43">
            <w:pPr>
              <w:jc w:val="right"/>
              <w:rPr>
                <w:rFonts w:eastAsia="Times New Roman"/>
              </w:rPr>
            </w:pPr>
            <w:r>
              <w:rPr>
                <w:rFonts w:ascii="Arial" w:eastAsia="Times New Roman" w:hAnsi="Arial" w:cs="Arial"/>
                <w:color w:val="000000"/>
                <w:sz w:val="16"/>
                <w:szCs w:val="16"/>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F9B7BB"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0A5CF2"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9C8BDB"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ADFF29" w14:textId="77777777" w:rsidR="00000000" w:rsidRDefault="00C01C43">
            <w:pPr>
              <w:jc w:val="right"/>
              <w:rPr>
                <w:rFonts w:eastAsia="Times New Roman"/>
              </w:rPr>
            </w:pPr>
            <w:r>
              <w:rPr>
                <w:rFonts w:ascii="Arial" w:eastAsia="Times New Roman" w:hAnsi="Arial" w:cs="Arial"/>
                <w:color w:val="000000"/>
                <w:sz w:val="16"/>
                <w:szCs w:val="16"/>
              </w:rPr>
              <w:t>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22C758"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467A1E"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C7DA78" w14:textId="77777777" w:rsidR="00000000" w:rsidRDefault="00C01C43">
            <w:pPr>
              <w:jc w:val="right"/>
              <w:rPr>
                <w:rFonts w:eastAsia="Times New Roman"/>
              </w:rPr>
            </w:pPr>
            <w:r>
              <w:rPr>
                <w:rFonts w:ascii="Arial" w:eastAsia="Times New Roman" w:hAnsi="Arial" w:cs="Arial"/>
                <w:color w:val="000000"/>
                <w:sz w:val="16"/>
                <w:szCs w:val="16"/>
              </w:rPr>
              <w:t>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14F3F3" w14:textId="77777777" w:rsidR="00000000" w:rsidRDefault="00C01C43">
            <w:pPr>
              <w:jc w:val="right"/>
              <w:rPr>
                <w:rFonts w:eastAsia="Times New Roman"/>
              </w:rPr>
            </w:pPr>
          </w:p>
        </w:tc>
      </w:tr>
      <w:tr w:rsidR="00000000" w14:paraId="045F8856" w14:textId="77777777">
        <w:trPr>
          <w:jc w:val="center"/>
        </w:trPr>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4A21CA9A" w14:textId="77777777" w:rsidR="00000000" w:rsidRDefault="00C01C43">
            <w:pPr>
              <w:rPr>
                <w:rFonts w:eastAsia="Times New Roman"/>
              </w:rPr>
            </w:pPr>
            <w:r>
              <w:rPr>
                <w:rFonts w:ascii="Arial" w:eastAsia="Times New Roman" w:hAnsi="Arial" w:cs="Arial"/>
                <w:b/>
                <w:bCs/>
                <w:color w:val="000000"/>
                <w:sz w:val="16"/>
                <w:szCs w:val="16"/>
              </w:rPr>
              <w:t>Total derivatives not designated as hedging instruments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D6663CB" w14:textId="77777777" w:rsidR="00000000" w:rsidRDefault="00C01C4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0F212A" w14:textId="77777777" w:rsidR="00000000" w:rsidRDefault="00C01C43">
            <w:pPr>
              <w:jc w:val="right"/>
              <w:rPr>
                <w:rFonts w:eastAsia="Times New Roman"/>
              </w:rPr>
            </w:pPr>
            <w:r>
              <w:rPr>
                <w:rFonts w:ascii="Arial" w:eastAsia="Times New Roman" w:hAnsi="Arial" w:cs="Arial"/>
                <w:color w:val="000000"/>
                <w:sz w:val="16"/>
                <w:szCs w:val="16"/>
              </w:rPr>
              <w:t>252.5 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78077F"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C478AB"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55F051" w14:textId="77777777" w:rsidR="00000000" w:rsidRDefault="00C01C43">
            <w:pPr>
              <w:jc w:val="right"/>
              <w:rPr>
                <w:rFonts w:eastAsia="Times New Roman"/>
              </w:rPr>
            </w:pPr>
            <w:r>
              <w:rPr>
                <w:rFonts w:ascii="Arial" w:eastAsia="Times New Roman" w:hAnsi="Arial" w:cs="Arial"/>
                <w:color w:val="000000"/>
                <w:sz w:val="16"/>
                <w:szCs w:val="16"/>
              </w:rPr>
              <w:t>259.4 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F1361C"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B58C1E"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CD1A5C"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7935DB" w14:textId="77777777" w:rsidR="00000000" w:rsidRDefault="00C01C43">
            <w:pPr>
              <w:jc w:val="right"/>
              <w:rPr>
                <w:rFonts w:eastAsia="Times New Roman"/>
              </w:rPr>
            </w:pPr>
            <w:r>
              <w:rPr>
                <w:rFonts w:ascii="Arial" w:eastAsia="Times New Roman" w:hAnsi="Arial" w:cs="Arial"/>
                <w:color w:val="000000"/>
                <w:sz w:val="16"/>
                <w:szCs w:val="16"/>
              </w:rPr>
              <w:t>222.3 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13E4C1"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A3BA3EA"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0C461E" w14:textId="77777777" w:rsidR="00000000" w:rsidRDefault="00C01C43">
            <w:pPr>
              <w:jc w:val="right"/>
              <w:rPr>
                <w:rFonts w:eastAsia="Times New Roman"/>
              </w:rPr>
            </w:pPr>
            <w:r>
              <w:rPr>
                <w:rFonts w:ascii="Arial" w:eastAsia="Times New Roman" w:hAnsi="Arial" w:cs="Arial"/>
                <w:color w:val="000000"/>
                <w:sz w:val="16"/>
                <w:szCs w:val="16"/>
              </w:rPr>
              <w:t>246.6 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EA94E9" w14:textId="77777777" w:rsidR="00000000" w:rsidRDefault="00C01C43">
            <w:pPr>
              <w:jc w:val="right"/>
              <w:rPr>
                <w:rFonts w:eastAsia="Times New Roman"/>
              </w:rPr>
            </w:pPr>
          </w:p>
        </w:tc>
      </w:tr>
      <w:tr w:rsidR="00000000" w14:paraId="0C80601A" w14:textId="77777777">
        <w:trPr>
          <w:trHeight w:val="300"/>
          <w:jc w:val="center"/>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FE0EFA"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916E74"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47259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7AF133"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83D9FD"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4E9C0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C560B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1CE730"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DDDC93"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63DFD4"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8E751F"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300D70" w14:textId="77777777" w:rsidR="00000000" w:rsidRDefault="00C01C43">
            <w:pPr>
              <w:rPr>
                <w:rFonts w:eastAsia="Times New Roman"/>
                <w:sz w:val="20"/>
                <w:szCs w:val="20"/>
              </w:rPr>
            </w:pPr>
          </w:p>
        </w:tc>
      </w:tr>
      <w:tr w:rsidR="00000000" w14:paraId="6DBE1E91" w14:textId="77777777">
        <w:trPr>
          <w:jc w:val="center"/>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33F373D4" w14:textId="77777777" w:rsidR="00000000" w:rsidRDefault="00C01C43">
            <w:pPr>
              <w:rPr>
                <w:rFonts w:eastAsia="Times New Roman"/>
              </w:rPr>
            </w:pPr>
            <w:r>
              <w:rPr>
                <w:rFonts w:ascii="Arial" w:eastAsia="Times New Roman" w:hAnsi="Arial" w:cs="Arial"/>
                <w:b/>
                <w:bCs/>
                <w:color w:val="000000"/>
                <w:sz w:val="16"/>
                <w:szCs w:val="16"/>
              </w:rPr>
              <w:t>Total derivatives</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DAF5034" w14:textId="77777777" w:rsidR="00000000" w:rsidRDefault="00C01C43">
            <w:pPr>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9A4999A" w14:textId="77777777" w:rsidR="00000000" w:rsidRDefault="00C01C43">
            <w:pPr>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AA5AA6B" w14:textId="77777777" w:rsidR="00000000" w:rsidRDefault="00C01C4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87C646"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CE71DA" w14:textId="77777777" w:rsidR="00000000" w:rsidRDefault="00C01C43">
            <w:pPr>
              <w:jc w:val="right"/>
              <w:rPr>
                <w:rFonts w:eastAsia="Times New Roman"/>
              </w:rPr>
            </w:pPr>
            <w:r>
              <w:rPr>
                <w:rFonts w:ascii="Arial" w:eastAsia="Times New Roman" w:hAnsi="Arial" w:cs="Arial"/>
                <w:color w:val="000000"/>
                <w:sz w:val="16"/>
                <w:szCs w:val="16"/>
              </w:rPr>
              <w:t>378.5 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F28CF0"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115BDBD"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1CBA61"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26CFFE" w14:textId="77777777" w:rsidR="00000000" w:rsidRDefault="00C01C43">
            <w:pPr>
              <w:jc w:val="right"/>
              <w:rPr>
                <w:rFonts w:eastAsia="Times New Roman"/>
              </w:rPr>
            </w:pPr>
            <w:r>
              <w:rPr>
                <w:rFonts w:ascii="Arial" w:eastAsia="Times New Roman" w:hAnsi="Arial" w:cs="Arial"/>
                <w:color w:val="000000"/>
                <w:sz w:val="16"/>
                <w:szCs w:val="16"/>
              </w:rPr>
              <w:t>261.1 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05F1F4"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E1FFDB2" w14:textId="77777777" w:rsidR="00000000" w:rsidRDefault="00C01C43">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C5490C6" w14:textId="77777777" w:rsidR="00000000" w:rsidRDefault="00C01C4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42C01E"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2D0FD9D" w14:textId="77777777" w:rsidR="00000000" w:rsidRDefault="00C01C43">
            <w:pPr>
              <w:jc w:val="right"/>
              <w:rPr>
                <w:rFonts w:eastAsia="Times New Roman"/>
              </w:rPr>
            </w:pPr>
            <w:r>
              <w:rPr>
                <w:rFonts w:ascii="Arial" w:eastAsia="Times New Roman" w:hAnsi="Arial" w:cs="Arial"/>
                <w:color w:val="000000"/>
                <w:sz w:val="16"/>
                <w:szCs w:val="16"/>
              </w:rPr>
              <w:t>349.5 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9E4B26"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1B5C5D8"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73F5E3"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AD0093" w14:textId="77777777" w:rsidR="00000000" w:rsidRDefault="00C01C43">
            <w:pPr>
              <w:jc w:val="right"/>
              <w:rPr>
                <w:rFonts w:eastAsia="Times New Roman"/>
              </w:rPr>
            </w:pPr>
            <w:r>
              <w:rPr>
                <w:rFonts w:ascii="Arial" w:eastAsia="Times New Roman" w:hAnsi="Arial" w:cs="Arial"/>
                <w:color w:val="000000"/>
                <w:sz w:val="16"/>
                <w:szCs w:val="16"/>
              </w:rPr>
              <w:t>266.6 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FBCB97" w14:textId="77777777" w:rsidR="00000000" w:rsidRDefault="00C01C43">
            <w:pPr>
              <w:jc w:val="right"/>
              <w:rPr>
                <w:rFonts w:eastAsia="Times New Roman"/>
              </w:rPr>
            </w:pPr>
          </w:p>
        </w:tc>
      </w:tr>
    </w:tbl>
    <w:p w14:paraId="31A7A227" w14:textId="77777777" w:rsidR="00000000" w:rsidRDefault="00C01C43">
      <w:pPr>
        <w:jc w:val="both"/>
        <w:divId w:val="678196467"/>
        <w:rPr>
          <w:rFonts w:eastAsia="Times New Roman"/>
        </w:rPr>
      </w:pPr>
      <w:r>
        <w:rPr>
          <w:rFonts w:ascii="Arial" w:eastAsia="Times New Roman" w:hAnsi="Arial" w:cs="Arial"/>
          <w:color w:val="000000"/>
          <w:sz w:val="20"/>
          <w:szCs w:val="20"/>
        </w:rPr>
        <w:t>For information regarding our derivative instruments measured at fair value after ne</w:t>
      </w:r>
      <w:r>
        <w:rPr>
          <w:rFonts w:ascii="Arial" w:eastAsia="Times New Roman" w:hAnsi="Arial" w:cs="Arial"/>
          <w:color w:val="000000"/>
          <w:sz w:val="20"/>
          <w:szCs w:val="20"/>
        </w:rPr>
        <w:t>tting and collateral see "Note 12. Fair Value Measurements."</w:t>
      </w:r>
    </w:p>
    <w:p w14:paraId="07048737" w14:textId="77777777" w:rsidR="00000000" w:rsidRDefault="00C01C43">
      <w:pPr>
        <w:jc w:val="both"/>
        <w:rPr>
          <w:rFonts w:eastAsia="Times New Roman"/>
        </w:rPr>
      </w:pPr>
    </w:p>
    <w:p w14:paraId="53C402AD" w14:textId="77777777" w:rsidR="00000000" w:rsidRDefault="00C01C43">
      <w:pPr>
        <w:jc w:val="both"/>
        <w:rPr>
          <w:rFonts w:eastAsia="Times New Roman"/>
        </w:rPr>
      </w:pPr>
      <w:r>
        <w:rPr>
          <w:rFonts w:ascii="Arial" w:eastAsia="Times New Roman" w:hAnsi="Arial" w:cs="Arial"/>
          <w:color w:val="000000"/>
          <w:sz w:val="20"/>
          <w:szCs w:val="20"/>
        </w:rPr>
        <w:t>The following table summarizes the gross notional values of our commodity and foreign currency exchange derivative contracts used for risk management purposes that were outstanding as of Decemb</w:t>
      </w:r>
      <w:r>
        <w:rPr>
          <w:rFonts w:ascii="Arial" w:eastAsia="Times New Roman" w:hAnsi="Arial" w:cs="Arial"/>
          <w:color w:val="000000"/>
          <w:sz w:val="20"/>
          <w:szCs w:val="20"/>
        </w:rPr>
        <w:t>er 31, 2020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6103"/>
        <w:gridCol w:w="36"/>
        <w:gridCol w:w="37"/>
        <w:gridCol w:w="66"/>
        <w:gridCol w:w="37"/>
        <w:gridCol w:w="58"/>
        <w:gridCol w:w="818"/>
        <w:gridCol w:w="37"/>
        <w:gridCol w:w="36"/>
        <w:gridCol w:w="67"/>
        <w:gridCol w:w="36"/>
        <w:gridCol w:w="59"/>
        <w:gridCol w:w="820"/>
        <w:gridCol w:w="38"/>
      </w:tblGrid>
      <w:tr w:rsidR="00000000" w14:paraId="5B96E6B3" w14:textId="77777777">
        <w:trPr>
          <w:jc w:val="center"/>
        </w:trPr>
        <w:tc>
          <w:tcPr>
            <w:tcW w:w="50" w:type="pct"/>
            <w:vAlign w:val="center"/>
            <w:hideMark/>
          </w:tcPr>
          <w:p w14:paraId="21A77B72" w14:textId="77777777" w:rsidR="00000000" w:rsidRDefault="00C01C43">
            <w:pPr>
              <w:jc w:val="both"/>
              <w:rPr>
                <w:rFonts w:eastAsia="Times New Roman"/>
              </w:rPr>
            </w:pPr>
          </w:p>
        </w:tc>
        <w:tc>
          <w:tcPr>
            <w:tcW w:w="3687" w:type="pct"/>
            <w:vAlign w:val="center"/>
            <w:hideMark/>
          </w:tcPr>
          <w:p w14:paraId="31377AAA" w14:textId="77777777" w:rsidR="00000000" w:rsidRDefault="00C01C43">
            <w:pPr>
              <w:rPr>
                <w:rFonts w:eastAsia="Times New Roman"/>
                <w:sz w:val="20"/>
                <w:szCs w:val="20"/>
              </w:rPr>
            </w:pPr>
          </w:p>
        </w:tc>
        <w:tc>
          <w:tcPr>
            <w:tcW w:w="5" w:type="pct"/>
            <w:vAlign w:val="center"/>
            <w:hideMark/>
          </w:tcPr>
          <w:p w14:paraId="386992B7" w14:textId="77777777" w:rsidR="00000000" w:rsidRDefault="00C01C43">
            <w:pPr>
              <w:rPr>
                <w:rFonts w:eastAsia="Times New Roman"/>
                <w:sz w:val="20"/>
                <w:szCs w:val="20"/>
              </w:rPr>
            </w:pPr>
          </w:p>
        </w:tc>
        <w:tc>
          <w:tcPr>
            <w:tcW w:w="5" w:type="pct"/>
            <w:vAlign w:val="center"/>
            <w:hideMark/>
          </w:tcPr>
          <w:p w14:paraId="452E50D8" w14:textId="77777777" w:rsidR="00000000" w:rsidRDefault="00C01C43">
            <w:pPr>
              <w:rPr>
                <w:rFonts w:eastAsia="Times New Roman"/>
                <w:sz w:val="20"/>
                <w:szCs w:val="20"/>
              </w:rPr>
            </w:pPr>
          </w:p>
        </w:tc>
        <w:tc>
          <w:tcPr>
            <w:tcW w:w="55" w:type="pct"/>
            <w:vAlign w:val="center"/>
            <w:hideMark/>
          </w:tcPr>
          <w:p w14:paraId="1CE04A8F" w14:textId="77777777" w:rsidR="00000000" w:rsidRDefault="00C01C43">
            <w:pPr>
              <w:rPr>
                <w:rFonts w:eastAsia="Times New Roman"/>
                <w:sz w:val="20"/>
                <w:szCs w:val="20"/>
              </w:rPr>
            </w:pPr>
          </w:p>
        </w:tc>
        <w:tc>
          <w:tcPr>
            <w:tcW w:w="5" w:type="pct"/>
            <w:vAlign w:val="center"/>
            <w:hideMark/>
          </w:tcPr>
          <w:p w14:paraId="63990C7D" w14:textId="77777777" w:rsidR="00000000" w:rsidRDefault="00C01C43">
            <w:pPr>
              <w:rPr>
                <w:rFonts w:eastAsia="Times New Roman"/>
                <w:sz w:val="20"/>
                <w:szCs w:val="20"/>
              </w:rPr>
            </w:pPr>
          </w:p>
        </w:tc>
        <w:tc>
          <w:tcPr>
            <w:tcW w:w="50" w:type="pct"/>
            <w:vAlign w:val="center"/>
            <w:hideMark/>
          </w:tcPr>
          <w:p w14:paraId="01810EA0" w14:textId="77777777" w:rsidR="00000000" w:rsidRDefault="00C01C43">
            <w:pPr>
              <w:rPr>
                <w:rFonts w:eastAsia="Times New Roman"/>
                <w:sz w:val="20"/>
                <w:szCs w:val="20"/>
              </w:rPr>
            </w:pPr>
          </w:p>
        </w:tc>
        <w:tc>
          <w:tcPr>
            <w:tcW w:w="507" w:type="pct"/>
            <w:vAlign w:val="center"/>
            <w:hideMark/>
          </w:tcPr>
          <w:p w14:paraId="4F1AC33A" w14:textId="77777777" w:rsidR="00000000" w:rsidRDefault="00C01C43">
            <w:pPr>
              <w:rPr>
                <w:rFonts w:eastAsia="Times New Roman"/>
                <w:sz w:val="20"/>
                <w:szCs w:val="20"/>
              </w:rPr>
            </w:pPr>
          </w:p>
        </w:tc>
        <w:tc>
          <w:tcPr>
            <w:tcW w:w="5" w:type="pct"/>
            <w:vAlign w:val="center"/>
            <w:hideMark/>
          </w:tcPr>
          <w:p w14:paraId="50C05D44" w14:textId="77777777" w:rsidR="00000000" w:rsidRDefault="00C01C43">
            <w:pPr>
              <w:rPr>
                <w:rFonts w:eastAsia="Times New Roman"/>
                <w:sz w:val="20"/>
                <w:szCs w:val="20"/>
              </w:rPr>
            </w:pPr>
          </w:p>
        </w:tc>
        <w:tc>
          <w:tcPr>
            <w:tcW w:w="5" w:type="pct"/>
            <w:vAlign w:val="center"/>
            <w:hideMark/>
          </w:tcPr>
          <w:p w14:paraId="7EC6CCCC" w14:textId="77777777" w:rsidR="00000000" w:rsidRDefault="00C01C43">
            <w:pPr>
              <w:rPr>
                <w:rFonts w:eastAsia="Times New Roman"/>
                <w:sz w:val="20"/>
                <w:szCs w:val="20"/>
              </w:rPr>
            </w:pPr>
          </w:p>
        </w:tc>
        <w:tc>
          <w:tcPr>
            <w:tcW w:w="55" w:type="pct"/>
            <w:vAlign w:val="center"/>
            <w:hideMark/>
          </w:tcPr>
          <w:p w14:paraId="2BAB98CF" w14:textId="77777777" w:rsidR="00000000" w:rsidRDefault="00C01C43">
            <w:pPr>
              <w:rPr>
                <w:rFonts w:eastAsia="Times New Roman"/>
                <w:sz w:val="20"/>
                <w:szCs w:val="20"/>
              </w:rPr>
            </w:pPr>
          </w:p>
        </w:tc>
        <w:tc>
          <w:tcPr>
            <w:tcW w:w="5" w:type="pct"/>
            <w:vAlign w:val="center"/>
            <w:hideMark/>
          </w:tcPr>
          <w:p w14:paraId="711209D9" w14:textId="77777777" w:rsidR="00000000" w:rsidRDefault="00C01C43">
            <w:pPr>
              <w:rPr>
                <w:rFonts w:eastAsia="Times New Roman"/>
                <w:sz w:val="20"/>
                <w:szCs w:val="20"/>
              </w:rPr>
            </w:pPr>
          </w:p>
        </w:tc>
        <w:tc>
          <w:tcPr>
            <w:tcW w:w="50" w:type="pct"/>
            <w:vAlign w:val="center"/>
            <w:hideMark/>
          </w:tcPr>
          <w:p w14:paraId="5C10C311" w14:textId="77777777" w:rsidR="00000000" w:rsidRDefault="00C01C43">
            <w:pPr>
              <w:rPr>
                <w:rFonts w:eastAsia="Times New Roman"/>
                <w:sz w:val="20"/>
                <w:szCs w:val="20"/>
              </w:rPr>
            </w:pPr>
          </w:p>
        </w:tc>
        <w:tc>
          <w:tcPr>
            <w:tcW w:w="508" w:type="pct"/>
            <w:vAlign w:val="center"/>
            <w:hideMark/>
          </w:tcPr>
          <w:p w14:paraId="0A18391F" w14:textId="77777777" w:rsidR="00000000" w:rsidRDefault="00C01C43">
            <w:pPr>
              <w:rPr>
                <w:rFonts w:eastAsia="Times New Roman"/>
                <w:sz w:val="20"/>
                <w:szCs w:val="20"/>
              </w:rPr>
            </w:pPr>
          </w:p>
        </w:tc>
        <w:tc>
          <w:tcPr>
            <w:tcW w:w="5" w:type="pct"/>
            <w:vAlign w:val="center"/>
            <w:hideMark/>
          </w:tcPr>
          <w:p w14:paraId="5E541AD9" w14:textId="77777777" w:rsidR="00000000" w:rsidRDefault="00C01C43">
            <w:pPr>
              <w:rPr>
                <w:rFonts w:eastAsia="Times New Roman"/>
                <w:sz w:val="20"/>
                <w:szCs w:val="20"/>
              </w:rPr>
            </w:pPr>
          </w:p>
        </w:tc>
      </w:tr>
      <w:tr w:rsidR="00000000" w14:paraId="4A8DCA93" w14:textId="77777777">
        <w:trPr>
          <w:jc w:val="center"/>
        </w:trPr>
        <w:tc>
          <w:tcPr>
            <w:tcW w:w="0" w:type="auto"/>
            <w:gridSpan w:val="3"/>
            <w:tcMar>
              <w:top w:w="0" w:type="dxa"/>
              <w:left w:w="20" w:type="dxa"/>
              <w:bottom w:w="0" w:type="dxa"/>
              <w:right w:w="20" w:type="dxa"/>
            </w:tcMar>
            <w:vAlign w:val="center"/>
            <w:hideMark/>
          </w:tcPr>
          <w:p w14:paraId="471D4222" w14:textId="77777777" w:rsidR="00000000" w:rsidRDefault="00C01C43">
            <w:pPr>
              <w:rPr>
                <w:rFonts w:eastAsia="Times New Roman"/>
                <w:sz w:val="20"/>
                <w:szCs w:val="20"/>
              </w:rPr>
            </w:pPr>
          </w:p>
        </w:tc>
        <w:tc>
          <w:tcPr>
            <w:tcW w:w="0" w:type="auto"/>
            <w:gridSpan w:val="12"/>
            <w:tcMar>
              <w:top w:w="30" w:type="dxa"/>
              <w:left w:w="20" w:type="dxa"/>
              <w:bottom w:w="30" w:type="dxa"/>
              <w:right w:w="20" w:type="dxa"/>
            </w:tcMar>
            <w:vAlign w:val="bottom"/>
            <w:hideMark/>
          </w:tcPr>
          <w:p w14:paraId="487EFBC7" w14:textId="77777777" w:rsidR="00000000" w:rsidRDefault="00C01C43">
            <w:pPr>
              <w:jc w:val="center"/>
              <w:rPr>
                <w:rFonts w:eastAsia="Times New Roman"/>
              </w:rPr>
            </w:pPr>
            <w:r>
              <w:rPr>
                <w:rFonts w:ascii="Arial" w:eastAsia="Times New Roman" w:hAnsi="Arial" w:cs="Arial"/>
                <w:b/>
                <w:bCs/>
                <w:color w:val="000000"/>
                <w:sz w:val="16"/>
                <w:szCs w:val="16"/>
              </w:rPr>
              <w:t>As of December 31,</w:t>
            </w:r>
          </w:p>
        </w:tc>
      </w:tr>
      <w:tr w:rsidR="00000000" w14:paraId="657EEC3F" w14:textId="77777777">
        <w:trPr>
          <w:jc w:val="center"/>
        </w:trPr>
        <w:tc>
          <w:tcPr>
            <w:tcW w:w="0" w:type="auto"/>
            <w:gridSpan w:val="3"/>
            <w:tcMar>
              <w:top w:w="30" w:type="dxa"/>
              <w:left w:w="20" w:type="dxa"/>
              <w:bottom w:w="30" w:type="dxa"/>
              <w:right w:w="20" w:type="dxa"/>
            </w:tcMar>
            <w:vAlign w:val="bottom"/>
            <w:hideMark/>
          </w:tcPr>
          <w:p w14:paraId="3CA1359B" w14:textId="77777777" w:rsidR="00000000" w:rsidRDefault="00C01C43">
            <w:pPr>
              <w:rPr>
                <w:rFonts w:eastAsia="Times New Roman"/>
              </w:rPr>
            </w:pPr>
            <w:r>
              <w:rPr>
                <w:rFonts w:ascii="Arial" w:eastAsia="Times New Roman" w:hAnsi="Arial" w:cs="Arial"/>
                <w:b/>
                <w:bCs/>
                <w:color w:val="000000"/>
                <w:sz w:val="16"/>
                <w:szCs w:val="16"/>
              </w:rPr>
              <w:t>Derivative Instruments</w:t>
            </w:r>
          </w:p>
        </w:tc>
        <w:tc>
          <w:tcPr>
            <w:tcW w:w="0" w:type="auto"/>
            <w:gridSpan w:val="3"/>
            <w:tcBorders>
              <w:top w:val="single" w:sz="8" w:space="0" w:color="000000"/>
            </w:tcBorders>
            <w:tcMar>
              <w:top w:w="0" w:type="dxa"/>
              <w:left w:w="20" w:type="dxa"/>
              <w:bottom w:w="0" w:type="dxa"/>
              <w:right w:w="20" w:type="dxa"/>
            </w:tcMar>
            <w:vAlign w:val="center"/>
            <w:hideMark/>
          </w:tcPr>
          <w:p w14:paraId="0F924ABC" w14:textId="77777777" w:rsidR="00000000" w:rsidRDefault="00C01C4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49D673" w14:textId="77777777" w:rsidR="00000000" w:rsidRDefault="00C01C43">
            <w:pPr>
              <w:jc w:val="center"/>
              <w:rPr>
                <w:rFonts w:eastAsia="Times New Roman"/>
              </w:rPr>
            </w:pPr>
            <w:r>
              <w:rPr>
                <w:rFonts w:ascii="Arial" w:eastAsia="Times New Roman" w:hAnsi="Arial" w:cs="Arial"/>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14:paraId="7DB4F6E7"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71094F" w14:textId="77777777" w:rsidR="00000000" w:rsidRDefault="00C01C43">
            <w:pPr>
              <w:jc w:val="center"/>
              <w:rPr>
                <w:rFonts w:eastAsia="Times New Roman"/>
              </w:rPr>
            </w:pPr>
            <w:r>
              <w:rPr>
                <w:rFonts w:ascii="Arial" w:eastAsia="Times New Roman" w:hAnsi="Arial" w:cs="Arial"/>
                <w:b/>
                <w:bCs/>
                <w:color w:val="000000"/>
                <w:sz w:val="16"/>
                <w:szCs w:val="16"/>
              </w:rPr>
              <w:t>2020</w:t>
            </w:r>
          </w:p>
        </w:tc>
      </w:tr>
      <w:tr w:rsidR="00000000" w14:paraId="275E0F92" w14:textId="77777777">
        <w:trPr>
          <w:jc w:val="center"/>
        </w:trPr>
        <w:tc>
          <w:tcPr>
            <w:tcW w:w="0" w:type="auto"/>
            <w:gridSpan w:val="3"/>
            <w:tcBorders>
              <w:top w:val="single" w:sz="8" w:space="0" w:color="000000"/>
            </w:tcBorders>
            <w:tcMar>
              <w:top w:w="30" w:type="dxa"/>
              <w:left w:w="20" w:type="dxa"/>
              <w:bottom w:w="30" w:type="dxa"/>
              <w:right w:w="20" w:type="dxa"/>
            </w:tcMar>
            <w:vAlign w:val="bottom"/>
            <w:hideMark/>
          </w:tcPr>
          <w:p w14:paraId="513A10D7" w14:textId="77777777" w:rsidR="00000000" w:rsidRDefault="00C01C43">
            <w:pPr>
              <w:rPr>
                <w:rFonts w:eastAsia="Times New Roman"/>
              </w:rPr>
            </w:pPr>
            <w:r>
              <w:rPr>
                <w:rFonts w:ascii="Arial" w:eastAsia="Times New Roman" w:hAnsi="Arial" w:cs="Arial"/>
                <w:b/>
                <w:bCs/>
                <w:color w:val="000000"/>
                <w:sz w:val="16"/>
                <w:szCs w:val="16"/>
              </w:rPr>
              <w:t>Commodity contracts</w:t>
            </w:r>
          </w:p>
        </w:tc>
        <w:tc>
          <w:tcPr>
            <w:tcW w:w="0" w:type="auto"/>
            <w:gridSpan w:val="3"/>
            <w:tcBorders>
              <w:top w:val="single" w:sz="8" w:space="0" w:color="000000"/>
            </w:tcBorders>
            <w:tcMar>
              <w:top w:w="0" w:type="dxa"/>
              <w:left w:w="20" w:type="dxa"/>
              <w:bottom w:w="0" w:type="dxa"/>
              <w:right w:w="20" w:type="dxa"/>
            </w:tcMar>
            <w:vAlign w:val="center"/>
            <w:hideMark/>
          </w:tcPr>
          <w:p w14:paraId="3BA4EDC9" w14:textId="77777777" w:rsidR="00000000" w:rsidRDefault="00C01C4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142FE27" w14:textId="77777777" w:rsidR="00000000" w:rsidRDefault="00C01C4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1CF89B" w14:textId="77777777" w:rsidR="00000000" w:rsidRDefault="00C01C4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7A355D" w14:textId="77777777" w:rsidR="00000000" w:rsidRDefault="00C01C43">
            <w:pPr>
              <w:rPr>
                <w:rFonts w:eastAsia="Times New Roman"/>
                <w:sz w:val="20"/>
                <w:szCs w:val="20"/>
              </w:rPr>
            </w:pPr>
          </w:p>
        </w:tc>
      </w:tr>
      <w:tr w:rsidR="00000000" w14:paraId="7583DF0B" w14:textId="77777777">
        <w:trPr>
          <w:jc w:val="center"/>
        </w:trPr>
        <w:tc>
          <w:tcPr>
            <w:tcW w:w="0" w:type="auto"/>
            <w:gridSpan w:val="3"/>
            <w:shd w:val="clear" w:color="auto" w:fill="CCEEFF"/>
            <w:tcMar>
              <w:top w:w="30" w:type="dxa"/>
              <w:left w:w="140" w:type="dxa"/>
              <w:bottom w:w="30" w:type="dxa"/>
              <w:right w:w="20" w:type="dxa"/>
            </w:tcMar>
            <w:vAlign w:val="bottom"/>
            <w:hideMark/>
          </w:tcPr>
          <w:p w14:paraId="5E882556" w14:textId="77777777" w:rsidR="00000000" w:rsidRDefault="00C01C43">
            <w:pPr>
              <w:rPr>
                <w:rFonts w:eastAsia="Times New Roman"/>
              </w:rPr>
            </w:pPr>
            <w:r>
              <w:rPr>
                <w:rFonts w:ascii="Arial" w:eastAsia="Times New Roman" w:hAnsi="Arial" w:cs="Arial"/>
                <w:color w:val="000000"/>
                <w:sz w:val="16"/>
                <w:szCs w:val="16"/>
              </w:rPr>
              <w:t>Long</w:t>
            </w:r>
          </w:p>
        </w:tc>
        <w:tc>
          <w:tcPr>
            <w:tcW w:w="0" w:type="auto"/>
            <w:gridSpan w:val="3"/>
            <w:shd w:val="clear" w:color="auto" w:fill="CCEEFF"/>
            <w:tcMar>
              <w:top w:w="0" w:type="dxa"/>
              <w:left w:w="20" w:type="dxa"/>
              <w:bottom w:w="0" w:type="dxa"/>
              <w:right w:w="20" w:type="dxa"/>
            </w:tcMar>
            <w:vAlign w:val="center"/>
            <w:hideMark/>
          </w:tcPr>
          <w:p w14:paraId="280D3128" w14:textId="77777777" w:rsidR="00000000" w:rsidRDefault="00C01C4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D238800" w14:textId="77777777" w:rsidR="00000000" w:rsidRDefault="00C01C43">
            <w:pPr>
              <w:jc w:val="center"/>
              <w:rPr>
                <w:rFonts w:eastAsia="Times New Roman"/>
              </w:rPr>
            </w:pPr>
            <w:r>
              <w:rPr>
                <w:rFonts w:ascii="Arial" w:eastAsia="Times New Roman" w:hAnsi="Arial" w:cs="Arial"/>
                <w:color w:val="000000"/>
                <w:sz w:val="16"/>
                <w:szCs w:val="16"/>
              </w:rPr>
              <w:t>BBL</w:t>
            </w:r>
          </w:p>
        </w:tc>
        <w:tc>
          <w:tcPr>
            <w:tcW w:w="0" w:type="auto"/>
            <w:gridSpan w:val="3"/>
            <w:shd w:val="clear" w:color="auto" w:fill="CCEEFF"/>
            <w:tcMar>
              <w:top w:w="0" w:type="dxa"/>
              <w:left w:w="20" w:type="dxa"/>
              <w:bottom w:w="0" w:type="dxa"/>
              <w:right w:w="20" w:type="dxa"/>
            </w:tcMar>
            <w:vAlign w:val="center"/>
            <w:hideMark/>
          </w:tcPr>
          <w:p w14:paraId="772531E0" w14:textId="77777777" w:rsidR="00000000" w:rsidRDefault="00C01C43">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8F76252" w14:textId="77777777" w:rsidR="00000000" w:rsidRDefault="00C01C43">
            <w:pPr>
              <w:jc w:val="center"/>
              <w:rPr>
                <w:rFonts w:eastAsia="Times New Roman"/>
              </w:rPr>
            </w:pPr>
            <w:r>
              <w:rPr>
                <w:rFonts w:ascii="Arial" w:eastAsia="Times New Roman" w:hAnsi="Arial" w:cs="Arial"/>
                <w:color w:val="000000"/>
                <w:sz w:val="16"/>
                <w:szCs w:val="16"/>
              </w:rPr>
              <w:t>60.4</w:t>
            </w:r>
          </w:p>
        </w:tc>
      </w:tr>
      <w:tr w:rsidR="00000000" w14:paraId="6E8F21DB" w14:textId="77777777">
        <w:trPr>
          <w:jc w:val="center"/>
        </w:trPr>
        <w:tc>
          <w:tcPr>
            <w:tcW w:w="0" w:type="auto"/>
            <w:gridSpan w:val="3"/>
            <w:shd w:val="clear" w:color="auto" w:fill="FFFFFF"/>
            <w:tcMar>
              <w:top w:w="30" w:type="dxa"/>
              <w:left w:w="140" w:type="dxa"/>
              <w:bottom w:w="30" w:type="dxa"/>
              <w:right w:w="20" w:type="dxa"/>
            </w:tcMar>
            <w:vAlign w:val="bottom"/>
            <w:hideMark/>
          </w:tcPr>
          <w:p w14:paraId="5F10A17B" w14:textId="77777777" w:rsidR="00000000" w:rsidRDefault="00C01C43">
            <w:pPr>
              <w:rPr>
                <w:rFonts w:eastAsia="Times New Roman"/>
              </w:rPr>
            </w:pPr>
            <w:r>
              <w:rPr>
                <w:rFonts w:ascii="Arial" w:eastAsia="Times New Roman" w:hAnsi="Arial" w:cs="Arial"/>
                <w:color w:val="000000"/>
                <w:sz w:val="16"/>
                <w:szCs w:val="16"/>
              </w:rPr>
              <w:t>Short</w:t>
            </w:r>
          </w:p>
        </w:tc>
        <w:tc>
          <w:tcPr>
            <w:tcW w:w="0" w:type="auto"/>
            <w:gridSpan w:val="3"/>
            <w:shd w:val="clear" w:color="auto" w:fill="FFFFFF"/>
            <w:tcMar>
              <w:top w:w="0" w:type="dxa"/>
              <w:left w:w="20" w:type="dxa"/>
              <w:bottom w:w="0" w:type="dxa"/>
              <w:right w:w="20" w:type="dxa"/>
            </w:tcMar>
            <w:vAlign w:val="center"/>
            <w:hideMark/>
          </w:tcPr>
          <w:p w14:paraId="1C0FC886" w14:textId="77777777" w:rsidR="00000000" w:rsidRDefault="00C01C4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48C722E" w14:textId="77777777" w:rsidR="00000000" w:rsidRDefault="00C01C43">
            <w:pPr>
              <w:jc w:val="center"/>
              <w:rPr>
                <w:rFonts w:eastAsia="Times New Roman"/>
              </w:rPr>
            </w:pPr>
            <w:r>
              <w:rPr>
                <w:rFonts w:ascii="Arial" w:eastAsia="Times New Roman" w:hAnsi="Arial" w:cs="Arial"/>
                <w:color w:val="000000"/>
                <w:sz w:val="16"/>
                <w:szCs w:val="16"/>
              </w:rPr>
              <w:t>BBL</w:t>
            </w:r>
          </w:p>
        </w:tc>
        <w:tc>
          <w:tcPr>
            <w:tcW w:w="0" w:type="auto"/>
            <w:gridSpan w:val="3"/>
            <w:shd w:val="clear" w:color="auto" w:fill="FFFFFF"/>
            <w:tcMar>
              <w:top w:w="0" w:type="dxa"/>
              <w:left w:w="20" w:type="dxa"/>
              <w:bottom w:w="0" w:type="dxa"/>
              <w:right w:w="20" w:type="dxa"/>
            </w:tcMar>
            <w:vAlign w:val="center"/>
            <w:hideMark/>
          </w:tcPr>
          <w:p w14:paraId="3B051CB6" w14:textId="77777777" w:rsidR="00000000" w:rsidRDefault="00C01C43">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E2B4F54" w14:textId="77777777" w:rsidR="00000000" w:rsidRDefault="00C01C43">
            <w:pPr>
              <w:jc w:val="center"/>
              <w:rPr>
                <w:rFonts w:eastAsia="Times New Roman"/>
              </w:rPr>
            </w:pPr>
            <w:r>
              <w:rPr>
                <w:rFonts w:ascii="Arial" w:eastAsia="Times New Roman" w:hAnsi="Arial" w:cs="Arial"/>
                <w:color w:val="000000"/>
                <w:sz w:val="16"/>
                <w:szCs w:val="16"/>
              </w:rPr>
              <w:t>(48.8)</w:t>
            </w:r>
          </w:p>
        </w:tc>
      </w:tr>
      <w:tr w:rsidR="00000000" w14:paraId="1673F7BB" w14:textId="77777777">
        <w:trPr>
          <w:jc w:val="center"/>
        </w:trPr>
        <w:tc>
          <w:tcPr>
            <w:tcW w:w="0" w:type="auto"/>
            <w:gridSpan w:val="3"/>
            <w:tcMar>
              <w:top w:w="30" w:type="dxa"/>
              <w:left w:w="20" w:type="dxa"/>
              <w:bottom w:w="30" w:type="dxa"/>
              <w:right w:w="20" w:type="dxa"/>
            </w:tcMar>
            <w:vAlign w:val="bottom"/>
            <w:hideMark/>
          </w:tcPr>
          <w:p w14:paraId="0412AE52" w14:textId="77777777" w:rsidR="00000000" w:rsidRDefault="00C01C43">
            <w:pPr>
              <w:rPr>
                <w:rFonts w:eastAsia="Times New Roman"/>
              </w:rPr>
            </w:pPr>
            <w:r>
              <w:rPr>
                <w:rFonts w:ascii="Arial" w:eastAsia="Times New Roman" w:hAnsi="Arial" w:cs="Arial"/>
                <w:b/>
                <w:bCs/>
                <w:color w:val="000000"/>
                <w:sz w:val="16"/>
                <w:szCs w:val="16"/>
              </w:rPr>
              <w:t>Foreign currency exchange contracts</w:t>
            </w:r>
          </w:p>
        </w:tc>
        <w:tc>
          <w:tcPr>
            <w:tcW w:w="0" w:type="auto"/>
            <w:gridSpan w:val="3"/>
            <w:tcMar>
              <w:top w:w="0" w:type="dxa"/>
              <w:left w:w="20" w:type="dxa"/>
              <w:bottom w:w="0" w:type="dxa"/>
              <w:right w:w="20" w:type="dxa"/>
            </w:tcMar>
            <w:vAlign w:val="center"/>
            <w:hideMark/>
          </w:tcPr>
          <w:p w14:paraId="5BB638A9"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78A8800F"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7345C964"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574BEA9A" w14:textId="77777777" w:rsidR="00000000" w:rsidRDefault="00C01C43">
            <w:pPr>
              <w:rPr>
                <w:rFonts w:eastAsia="Times New Roman"/>
                <w:sz w:val="20"/>
                <w:szCs w:val="20"/>
              </w:rPr>
            </w:pPr>
          </w:p>
        </w:tc>
      </w:tr>
      <w:tr w:rsidR="00000000" w14:paraId="4949A373" w14:textId="77777777">
        <w:trPr>
          <w:jc w:val="center"/>
        </w:trPr>
        <w:tc>
          <w:tcPr>
            <w:tcW w:w="0" w:type="auto"/>
            <w:gridSpan w:val="3"/>
            <w:shd w:val="clear" w:color="auto" w:fill="CCEEFF"/>
            <w:tcMar>
              <w:top w:w="30" w:type="dxa"/>
              <w:left w:w="140" w:type="dxa"/>
              <w:bottom w:w="30" w:type="dxa"/>
              <w:right w:w="20" w:type="dxa"/>
            </w:tcMar>
            <w:vAlign w:val="bottom"/>
            <w:hideMark/>
          </w:tcPr>
          <w:p w14:paraId="79F375FB" w14:textId="77777777" w:rsidR="00000000" w:rsidRDefault="00C01C43">
            <w:pPr>
              <w:rPr>
                <w:rFonts w:eastAsia="Times New Roman"/>
              </w:rPr>
            </w:pPr>
            <w:r>
              <w:rPr>
                <w:rFonts w:ascii="Arial" w:eastAsia="Times New Roman" w:hAnsi="Arial" w:cs="Arial"/>
                <w:color w:val="000000"/>
                <w:sz w:val="16"/>
                <w:szCs w:val="16"/>
              </w:rPr>
              <w:t>Sell U.S. dollar, buy other currencies</w:t>
            </w:r>
          </w:p>
        </w:tc>
        <w:tc>
          <w:tcPr>
            <w:tcW w:w="0" w:type="auto"/>
            <w:gridSpan w:val="3"/>
            <w:shd w:val="clear" w:color="auto" w:fill="CCEEFF"/>
            <w:tcMar>
              <w:top w:w="0" w:type="dxa"/>
              <w:left w:w="20" w:type="dxa"/>
              <w:bottom w:w="0" w:type="dxa"/>
              <w:right w:w="20" w:type="dxa"/>
            </w:tcMar>
            <w:vAlign w:val="center"/>
            <w:hideMark/>
          </w:tcPr>
          <w:p w14:paraId="0C020F1B" w14:textId="77777777" w:rsidR="00000000" w:rsidRDefault="00C01C4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60A2818" w14:textId="77777777" w:rsidR="00000000" w:rsidRDefault="00C01C43">
            <w:pPr>
              <w:jc w:val="center"/>
              <w:rPr>
                <w:rFonts w:eastAsia="Times New Roman"/>
              </w:rPr>
            </w:pPr>
            <w:r>
              <w:rPr>
                <w:rFonts w:ascii="Arial" w:eastAsia="Times New Roman" w:hAnsi="Arial" w:cs="Arial"/>
                <w:color w:val="000000"/>
                <w:sz w:val="16"/>
                <w:szCs w:val="16"/>
              </w:rPr>
              <w:t>USD</w:t>
            </w:r>
          </w:p>
        </w:tc>
        <w:tc>
          <w:tcPr>
            <w:tcW w:w="0" w:type="auto"/>
            <w:gridSpan w:val="3"/>
            <w:shd w:val="clear" w:color="auto" w:fill="CCEEFF"/>
            <w:tcMar>
              <w:top w:w="0" w:type="dxa"/>
              <w:left w:w="20" w:type="dxa"/>
              <w:bottom w:w="0" w:type="dxa"/>
              <w:right w:w="20" w:type="dxa"/>
            </w:tcMar>
            <w:vAlign w:val="center"/>
            <w:hideMark/>
          </w:tcPr>
          <w:p w14:paraId="0EB0FDC8" w14:textId="77777777" w:rsidR="00000000" w:rsidRDefault="00C01C43">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704AC10" w14:textId="77777777" w:rsidR="00000000" w:rsidRDefault="00C01C43">
            <w:pPr>
              <w:jc w:val="center"/>
              <w:rPr>
                <w:rFonts w:eastAsia="Times New Roman"/>
              </w:rPr>
            </w:pPr>
            <w:r>
              <w:rPr>
                <w:rFonts w:ascii="Arial" w:eastAsia="Times New Roman" w:hAnsi="Arial" w:cs="Arial"/>
                <w:color w:val="000000"/>
                <w:sz w:val="16"/>
                <w:szCs w:val="16"/>
              </w:rPr>
              <w:t>(347.0)</w:t>
            </w:r>
          </w:p>
        </w:tc>
      </w:tr>
      <w:tr w:rsidR="00000000" w14:paraId="7159038D" w14:textId="77777777">
        <w:trPr>
          <w:jc w:val="center"/>
        </w:trPr>
        <w:tc>
          <w:tcPr>
            <w:tcW w:w="0" w:type="auto"/>
            <w:gridSpan w:val="3"/>
            <w:tcBorders>
              <w:bottom w:val="single" w:sz="8" w:space="0" w:color="000000"/>
            </w:tcBorders>
            <w:shd w:val="clear" w:color="auto" w:fill="FFFFFF"/>
            <w:tcMar>
              <w:top w:w="30" w:type="dxa"/>
              <w:left w:w="140" w:type="dxa"/>
              <w:bottom w:w="30" w:type="dxa"/>
              <w:right w:w="20" w:type="dxa"/>
            </w:tcMar>
            <w:vAlign w:val="bottom"/>
            <w:hideMark/>
          </w:tcPr>
          <w:p w14:paraId="2910511D" w14:textId="77777777" w:rsidR="00000000" w:rsidRDefault="00C01C43">
            <w:pPr>
              <w:rPr>
                <w:rFonts w:eastAsia="Times New Roman"/>
              </w:rPr>
            </w:pPr>
            <w:r>
              <w:rPr>
                <w:rFonts w:ascii="Arial" w:eastAsia="Times New Roman" w:hAnsi="Arial" w:cs="Arial"/>
                <w:color w:val="000000"/>
                <w:sz w:val="16"/>
                <w:szCs w:val="16"/>
              </w:rPr>
              <w:t>Buy U.S. dollar, sell other currencies</w:t>
            </w: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14:paraId="7204934F" w14:textId="77777777" w:rsidR="00000000" w:rsidRDefault="00C01C43">
            <w:pP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14:paraId="34942C5F" w14:textId="77777777" w:rsidR="00000000" w:rsidRDefault="00C01C43">
            <w:pPr>
              <w:jc w:val="center"/>
              <w:rPr>
                <w:rFonts w:eastAsia="Times New Roman"/>
              </w:rPr>
            </w:pPr>
            <w:r>
              <w:rPr>
                <w:rFonts w:ascii="Arial" w:eastAsia="Times New Roman" w:hAnsi="Arial" w:cs="Arial"/>
                <w:color w:val="000000"/>
                <w:sz w:val="16"/>
                <w:szCs w:val="16"/>
              </w:rPr>
              <w:t>USD</w:t>
            </w: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14:paraId="3376F6EE" w14:textId="77777777" w:rsidR="00000000" w:rsidRDefault="00C01C43">
            <w:pPr>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14:paraId="75EBC7B3" w14:textId="77777777" w:rsidR="00000000" w:rsidRDefault="00C01C43">
            <w:pPr>
              <w:jc w:val="center"/>
              <w:rPr>
                <w:rFonts w:eastAsia="Times New Roman"/>
              </w:rPr>
            </w:pPr>
            <w:r>
              <w:rPr>
                <w:rFonts w:ascii="Arial" w:eastAsia="Times New Roman" w:hAnsi="Arial" w:cs="Arial"/>
                <w:color w:val="000000"/>
                <w:sz w:val="16"/>
                <w:szCs w:val="16"/>
              </w:rPr>
              <w:t>559.7</w:t>
            </w:r>
          </w:p>
        </w:tc>
      </w:tr>
    </w:tbl>
    <w:p w14:paraId="7EEA3D38" w14:textId="77777777" w:rsidR="00000000" w:rsidRDefault="00C01C43">
      <w:pPr>
        <w:jc w:val="both"/>
        <w:divId w:val="1742098484"/>
        <w:rPr>
          <w:rFonts w:eastAsia="Times New Roman"/>
        </w:rPr>
      </w:pPr>
    </w:p>
    <w:p w14:paraId="7B3B7710" w14:textId="77777777" w:rsidR="00000000" w:rsidRDefault="00C01C43">
      <w:pPr>
        <w:jc w:val="both"/>
        <w:divId w:val="26763381"/>
        <w:rPr>
          <w:rFonts w:eastAsia="Times New Roman"/>
        </w:rPr>
      </w:pPr>
    </w:p>
    <w:p w14:paraId="3353AC68" w14:textId="77777777" w:rsidR="00000000" w:rsidRDefault="00C01C43">
      <w:pPr>
        <w:jc w:val="center"/>
        <w:divId w:val="365757021"/>
        <w:rPr>
          <w:rFonts w:eastAsia="Times New Roman"/>
        </w:rPr>
      </w:pPr>
      <w:r>
        <w:rPr>
          <w:rFonts w:ascii="Arial" w:eastAsia="Times New Roman" w:hAnsi="Arial" w:cs="Arial"/>
          <w:color w:val="000000"/>
          <w:sz w:val="16"/>
          <w:szCs w:val="16"/>
        </w:rPr>
        <w:t>64</w:t>
      </w:r>
    </w:p>
    <w:p w14:paraId="2C09D48B" w14:textId="77777777" w:rsidR="00000000" w:rsidRDefault="00C01C43">
      <w:pPr>
        <w:rPr>
          <w:rFonts w:eastAsia="Times New Roman"/>
        </w:rPr>
      </w:pPr>
      <w:r>
        <w:rPr>
          <w:rFonts w:eastAsia="Times New Roman"/>
        </w:rPr>
        <w:pict w14:anchorId="2FD19CFB">
          <v:rect id="_x0000_i1093" style="width:0;height:1.5pt" o:hralign="center" o:hrstd="t" o:hr="t" fillcolor="#a0a0a0" stroked="f"/>
        </w:pict>
      </w:r>
    </w:p>
    <w:p w14:paraId="102BAC45" w14:textId="77777777" w:rsidR="00000000" w:rsidRDefault="00C01C43">
      <w:pPr>
        <w:divId w:val="1109397771"/>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67C8963" w14:textId="77777777" w:rsidR="00000000" w:rsidRDefault="00C01C43">
      <w:pPr>
        <w:jc w:val="both"/>
        <w:divId w:val="960696097"/>
        <w:rPr>
          <w:rFonts w:eastAsia="Times New Roman"/>
        </w:rPr>
      </w:pPr>
      <w:r>
        <w:rPr>
          <w:rFonts w:ascii="Arial" w:eastAsia="Times New Roman" w:hAnsi="Arial" w:cs="Arial"/>
          <w:color w:val="000000"/>
          <w:sz w:val="20"/>
          <w:szCs w:val="20"/>
        </w:rPr>
        <w:t>As of December </w:t>
      </w:r>
      <w:r>
        <w:rPr>
          <w:rFonts w:ascii="Arial" w:eastAsia="Times New Roman" w:hAnsi="Arial" w:cs="Arial"/>
          <w:color w:val="000000"/>
          <w:sz w:val="20"/>
          <w:szCs w:val="20"/>
        </w:rPr>
        <w:t>31, 2020 and 2019, the following amounts were recorded within our Consolidated Balance Sheets related to cumulative basis adjustments for fair value hedges (in million):</w:t>
      </w:r>
    </w:p>
    <w:tbl>
      <w:tblPr>
        <w:tblW w:w="5000" w:type="pct"/>
        <w:tblCellMar>
          <w:top w:w="15" w:type="dxa"/>
          <w:left w:w="15" w:type="dxa"/>
          <w:bottom w:w="15" w:type="dxa"/>
          <w:right w:w="15" w:type="dxa"/>
        </w:tblCellMar>
        <w:tblLook w:val="04A0" w:firstRow="1" w:lastRow="0" w:firstColumn="1" w:lastColumn="0" w:noHBand="0" w:noVBand="1"/>
      </w:tblPr>
      <w:tblGrid>
        <w:gridCol w:w="37"/>
        <w:gridCol w:w="2397"/>
        <w:gridCol w:w="36"/>
        <w:gridCol w:w="36"/>
        <w:gridCol w:w="36"/>
        <w:gridCol w:w="36"/>
        <w:gridCol w:w="111"/>
        <w:gridCol w:w="1169"/>
        <w:gridCol w:w="37"/>
        <w:gridCol w:w="36"/>
        <w:gridCol w:w="36"/>
        <w:gridCol w:w="36"/>
        <w:gridCol w:w="110"/>
        <w:gridCol w:w="1169"/>
        <w:gridCol w:w="37"/>
        <w:gridCol w:w="36"/>
        <w:gridCol w:w="36"/>
        <w:gridCol w:w="36"/>
        <w:gridCol w:w="111"/>
        <w:gridCol w:w="1205"/>
        <w:gridCol w:w="38"/>
        <w:gridCol w:w="37"/>
        <w:gridCol w:w="37"/>
        <w:gridCol w:w="37"/>
        <w:gridCol w:w="110"/>
        <w:gridCol w:w="1267"/>
        <w:gridCol w:w="37"/>
      </w:tblGrid>
      <w:tr w:rsidR="00000000" w14:paraId="2AAA0751" w14:textId="77777777">
        <w:trPr>
          <w:divId w:val="917791988"/>
        </w:trPr>
        <w:tc>
          <w:tcPr>
            <w:tcW w:w="50" w:type="pct"/>
            <w:vAlign w:val="center"/>
            <w:hideMark/>
          </w:tcPr>
          <w:p w14:paraId="22AF8F41" w14:textId="77777777" w:rsidR="00000000" w:rsidRDefault="00C01C43">
            <w:pPr>
              <w:jc w:val="both"/>
              <w:rPr>
                <w:rFonts w:eastAsia="Times New Roman"/>
              </w:rPr>
            </w:pPr>
          </w:p>
        </w:tc>
        <w:tc>
          <w:tcPr>
            <w:tcW w:w="1472" w:type="pct"/>
            <w:vAlign w:val="center"/>
            <w:hideMark/>
          </w:tcPr>
          <w:p w14:paraId="441786DB" w14:textId="77777777" w:rsidR="00000000" w:rsidRDefault="00C01C43">
            <w:pPr>
              <w:rPr>
                <w:rFonts w:eastAsia="Times New Roman"/>
                <w:sz w:val="20"/>
                <w:szCs w:val="20"/>
              </w:rPr>
            </w:pPr>
          </w:p>
        </w:tc>
        <w:tc>
          <w:tcPr>
            <w:tcW w:w="5" w:type="pct"/>
            <w:vAlign w:val="center"/>
            <w:hideMark/>
          </w:tcPr>
          <w:p w14:paraId="559D5C05" w14:textId="77777777" w:rsidR="00000000" w:rsidRDefault="00C01C43">
            <w:pPr>
              <w:rPr>
                <w:rFonts w:eastAsia="Times New Roman"/>
                <w:sz w:val="20"/>
                <w:szCs w:val="20"/>
              </w:rPr>
            </w:pPr>
          </w:p>
        </w:tc>
        <w:tc>
          <w:tcPr>
            <w:tcW w:w="5" w:type="pct"/>
            <w:vAlign w:val="center"/>
            <w:hideMark/>
          </w:tcPr>
          <w:p w14:paraId="10E00B34" w14:textId="77777777" w:rsidR="00000000" w:rsidRDefault="00C01C43">
            <w:pPr>
              <w:rPr>
                <w:rFonts w:eastAsia="Times New Roman"/>
                <w:sz w:val="20"/>
                <w:szCs w:val="20"/>
              </w:rPr>
            </w:pPr>
          </w:p>
        </w:tc>
        <w:tc>
          <w:tcPr>
            <w:tcW w:w="26" w:type="pct"/>
            <w:vAlign w:val="center"/>
            <w:hideMark/>
          </w:tcPr>
          <w:p w14:paraId="7E1A8621" w14:textId="77777777" w:rsidR="00000000" w:rsidRDefault="00C01C43">
            <w:pPr>
              <w:rPr>
                <w:rFonts w:eastAsia="Times New Roman"/>
                <w:sz w:val="20"/>
                <w:szCs w:val="20"/>
              </w:rPr>
            </w:pPr>
          </w:p>
        </w:tc>
        <w:tc>
          <w:tcPr>
            <w:tcW w:w="5" w:type="pct"/>
            <w:vAlign w:val="center"/>
            <w:hideMark/>
          </w:tcPr>
          <w:p w14:paraId="5A98A1B0" w14:textId="77777777" w:rsidR="00000000" w:rsidRDefault="00C01C43">
            <w:pPr>
              <w:rPr>
                <w:rFonts w:eastAsia="Times New Roman"/>
                <w:sz w:val="20"/>
                <w:szCs w:val="20"/>
              </w:rPr>
            </w:pPr>
          </w:p>
        </w:tc>
        <w:tc>
          <w:tcPr>
            <w:tcW w:w="50" w:type="pct"/>
            <w:vAlign w:val="center"/>
            <w:hideMark/>
          </w:tcPr>
          <w:p w14:paraId="2C7FC6F6" w14:textId="77777777" w:rsidR="00000000" w:rsidRDefault="00C01C43">
            <w:pPr>
              <w:rPr>
                <w:rFonts w:eastAsia="Times New Roman"/>
                <w:sz w:val="20"/>
                <w:szCs w:val="20"/>
              </w:rPr>
            </w:pPr>
          </w:p>
        </w:tc>
        <w:tc>
          <w:tcPr>
            <w:tcW w:w="756" w:type="pct"/>
            <w:vAlign w:val="center"/>
            <w:hideMark/>
          </w:tcPr>
          <w:p w14:paraId="3D00A608" w14:textId="77777777" w:rsidR="00000000" w:rsidRDefault="00C01C43">
            <w:pPr>
              <w:rPr>
                <w:rFonts w:eastAsia="Times New Roman"/>
                <w:sz w:val="20"/>
                <w:szCs w:val="20"/>
              </w:rPr>
            </w:pPr>
          </w:p>
        </w:tc>
        <w:tc>
          <w:tcPr>
            <w:tcW w:w="5" w:type="pct"/>
            <w:vAlign w:val="center"/>
            <w:hideMark/>
          </w:tcPr>
          <w:p w14:paraId="5CEE5280" w14:textId="77777777" w:rsidR="00000000" w:rsidRDefault="00C01C43">
            <w:pPr>
              <w:rPr>
                <w:rFonts w:eastAsia="Times New Roman"/>
                <w:sz w:val="20"/>
                <w:szCs w:val="20"/>
              </w:rPr>
            </w:pPr>
          </w:p>
        </w:tc>
        <w:tc>
          <w:tcPr>
            <w:tcW w:w="5" w:type="pct"/>
            <w:vAlign w:val="center"/>
            <w:hideMark/>
          </w:tcPr>
          <w:p w14:paraId="3DDFF149" w14:textId="77777777" w:rsidR="00000000" w:rsidRDefault="00C01C43">
            <w:pPr>
              <w:rPr>
                <w:rFonts w:eastAsia="Times New Roman"/>
                <w:sz w:val="20"/>
                <w:szCs w:val="20"/>
              </w:rPr>
            </w:pPr>
          </w:p>
        </w:tc>
        <w:tc>
          <w:tcPr>
            <w:tcW w:w="26" w:type="pct"/>
            <w:vAlign w:val="center"/>
            <w:hideMark/>
          </w:tcPr>
          <w:p w14:paraId="53384FDD" w14:textId="77777777" w:rsidR="00000000" w:rsidRDefault="00C01C43">
            <w:pPr>
              <w:rPr>
                <w:rFonts w:eastAsia="Times New Roman"/>
                <w:sz w:val="20"/>
                <w:szCs w:val="20"/>
              </w:rPr>
            </w:pPr>
          </w:p>
        </w:tc>
        <w:tc>
          <w:tcPr>
            <w:tcW w:w="5" w:type="pct"/>
            <w:vAlign w:val="center"/>
            <w:hideMark/>
          </w:tcPr>
          <w:p w14:paraId="325CC307" w14:textId="77777777" w:rsidR="00000000" w:rsidRDefault="00C01C43">
            <w:pPr>
              <w:rPr>
                <w:rFonts w:eastAsia="Times New Roman"/>
                <w:sz w:val="20"/>
                <w:szCs w:val="20"/>
              </w:rPr>
            </w:pPr>
          </w:p>
        </w:tc>
        <w:tc>
          <w:tcPr>
            <w:tcW w:w="50" w:type="pct"/>
            <w:vAlign w:val="center"/>
            <w:hideMark/>
          </w:tcPr>
          <w:p w14:paraId="2BB2B30B" w14:textId="77777777" w:rsidR="00000000" w:rsidRDefault="00C01C43">
            <w:pPr>
              <w:rPr>
                <w:rFonts w:eastAsia="Times New Roman"/>
                <w:sz w:val="20"/>
                <w:szCs w:val="20"/>
              </w:rPr>
            </w:pPr>
          </w:p>
        </w:tc>
        <w:tc>
          <w:tcPr>
            <w:tcW w:w="756" w:type="pct"/>
            <w:vAlign w:val="center"/>
            <w:hideMark/>
          </w:tcPr>
          <w:p w14:paraId="018B7C20" w14:textId="77777777" w:rsidR="00000000" w:rsidRDefault="00C01C43">
            <w:pPr>
              <w:rPr>
                <w:rFonts w:eastAsia="Times New Roman"/>
                <w:sz w:val="20"/>
                <w:szCs w:val="20"/>
              </w:rPr>
            </w:pPr>
          </w:p>
        </w:tc>
        <w:tc>
          <w:tcPr>
            <w:tcW w:w="5" w:type="pct"/>
            <w:vAlign w:val="center"/>
            <w:hideMark/>
          </w:tcPr>
          <w:p w14:paraId="5F2583E8" w14:textId="77777777" w:rsidR="00000000" w:rsidRDefault="00C01C43">
            <w:pPr>
              <w:rPr>
                <w:rFonts w:eastAsia="Times New Roman"/>
                <w:sz w:val="20"/>
                <w:szCs w:val="20"/>
              </w:rPr>
            </w:pPr>
          </w:p>
        </w:tc>
        <w:tc>
          <w:tcPr>
            <w:tcW w:w="5" w:type="pct"/>
            <w:vAlign w:val="center"/>
            <w:hideMark/>
          </w:tcPr>
          <w:p w14:paraId="3D424289" w14:textId="77777777" w:rsidR="00000000" w:rsidRDefault="00C01C43">
            <w:pPr>
              <w:rPr>
                <w:rFonts w:eastAsia="Times New Roman"/>
                <w:sz w:val="20"/>
                <w:szCs w:val="20"/>
              </w:rPr>
            </w:pPr>
          </w:p>
        </w:tc>
        <w:tc>
          <w:tcPr>
            <w:tcW w:w="26" w:type="pct"/>
            <w:vAlign w:val="center"/>
            <w:hideMark/>
          </w:tcPr>
          <w:p w14:paraId="31FF4C40" w14:textId="77777777" w:rsidR="00000000" w:rsidRDefault="00C01C43">
            <w:pPr>
              <w:rPr>
                <w:rFonts w:eastAsia="Times New Roman"/>
                <w:sz w:val="20"/>
                <w:szCs w:val="20"/>
              </w:rPr>
            </w:pPr>
          </w:p>
        </w:tc>
        <w:tc>
          <w:tcPr>
            <w:tcW w:w="5" w:type="pct"/>
            <w:vAlign w:val="center"/>
            <w:hideMark/>
          </w:tcPr>
          <w:p w14:paraId="2A1CFBDB" w14:textId="77777777" w:rsidR="00000000" w:rsidRDefault="00C01C43">
            <w:pPr>
              <w:rPr>
                <w:rFonts w:eastAsia="Times New Roman"/>
                <w:sz w:val="20"/>
                <w:szCs w:val="20"/>
              </w:rPr>
            </w:pPr>
          </w:p>
        </w:tc>
        <w:tc>
          <w:tcPr>
            <w:tcW w:w="50" w:type="pct"/>
            <w:vAlign w:val="center"/>
            <w:hideMark/>
          </w:tcPr>
          <w:p w14:paraId="34F6DAC6" w14:textId="77777777" w:rsidR="00000000" w:rsidRDefault="00C01C43">
            <w:pPr>
              <w:rPr>
                <w:rFonts w:eastAsia="Times New Roman"/>
                <w:sz w:val="20"/>
                <w:szCs w:val="20"/>
              </w:rPr>
            </w:pPr>
          </w:p>
        </w:tc>
        <w:tc>
          <w:tcPr>
            <w:tcW w:w="778" w:type="pct"/>
            <w:vAlign w:val="center"/>
            <w:hideMark/>
          </w:tcPr>
          <w:p w14:paraId="7D33AC14" w14:textId="77777777" w:rsidR="00000000" w:rsidRDefault="00C01C43">
            <w:pPr>
              <w:rPr>
                <w:rFonts w:eastAsia="Times New Roman"/>
                <w:sz w:val="20"/>
                <w:szCs w:val="20"/>
              </w:rPr>
            </w:pPr>
          </w:p>
        </w:tc>
        <w:tc>
          <w:tcPr>
            <w:tcW w:w="5" w:type="pct"/>
            <w:vAlign w:val="center"/>
            <w:hideMark/>
          </w:tcPr>
          <w:p w14:paraId="425D666A" w14:textId="77777777" w:rsidR="00000000" w:rsidRDefault="00C01C43">
            <w:pPr>
              <w:rPr>
                <w:rFonts w:eastAsia="Times New Roman"/>
                <w:sz w:val="20"/>
                <w:szCs w:val="20"/>
              </w:rPr>
            </w:pPr>
          </w:p>
        </w:tc>
        <w:tc>
          <w:tcPr>
            <w:tcW w:w="5" w:type="pct"/>
            <w:vAlign w:val="center"/>
            <w:hideMark/>
          </w:tcPr>
          <w:p w14:paraId="142EC0C2" w14:textId="77777777" w:rsidR="00000000" w:rsidRDefault="00C01C43">
            <w:pPr>
              <w:rPr>
                <w:rFonts w:eastAsia="Times New Roman"/>
                <w:sz w:val="20"/>
                <w:szCs w:val="20"/>
              </w:rPr>
            </w:pPr>
          </w:p>
        </w:tc>
        <w:tc>
          <w:tcPr>
            <w:tcW w:w="26" w:type="pct"/>
            <w:vAlign w:val="center"/>
            <w:hideMark/>
          </w:tcPr>
          <w:p w14:paraId="60A59A8E" w14:textId="77777777" w:rsidR="00000000" w:rsidRDefault="00C01C43">
            <w:pPr>
              <w:rPr>
                <w:rFonts w:eastAsia="Times New Roman"/>
                <w:sz w:val="20"/>
                <w:szCs w:val="20"/>
              </w:rPr>
            </w:pPr>
          </w:p>
        </w:tc>
        <w:tc>
          <w:tcPr>
            <w:tcW w:w="5" w:type="pct"/>
            <w:vAlign w:val="center"/>
            <w:hideMark/>
          </w:tcPr>
          <w:p w14:paraId="4C272FBF" w14:textId="77777777" w:rsidR="00000000" w:rsidRDefault="00C01C43">
            <w:pPr>
              <w:rPr>
                <w:rFonts w:eastAsia="Times New Roman"/>
                <w:sz w:val="20"/>
                <w:szCs w:val="20"/>
              </w:rPr>
            </w:pPr>
          </w:p>
        </w:tc>
        <w:tc>
          <w:tcPr>
            <w:tcW w:w="50" w:type="pct"/>
            <w:vAlign w:val="center"/>
            <w:hideMark/>
          </w:tcPr>
          <w:p w14:paraId="165F9D63" w14:textId="77777777" w:rsidR="00000000" w:rsidRDefault="00C01C43">
            <w:pPr>
              <w:rPr>
                <w:rFonts w:eastAsia="Times New Roman"/>
                <w:sz w:val="20"/>
                <w:szCs w:val="20"/>
              </w:rPr>
            </w:pPr>
          </w:p>
        </w:tc>
        <w:tc>
          <w:tcPr>
            <w:tcW w:w="815" w:type="pct"/>
            <w:vAlign w:val="center"/>
            <w:hideMark/>
          </w:tcPr>
          <w:p w14:paraId="6D25A120" w14:textId="77777777" w:rsidR="00000000" w:rsidRDefault="00C01C43">
            <w:pPr>
              <w:rPr>
                <w:rFonts w:eastAsia="Times New Roman"/>
                <w:sz w:val="20"/>
                <w:szCs w:val="20"/>
              </w:rPr>
            </w:pPr>
          </w:p>
        </w:tc>
        <w:tc>
          <w:tcPr>
            <w:tcW w:w="5" w:type="pct"/>
            <w:vAlign w:val="center"/>
            <w:hideMark/>
          </w:tcPr>
          <w:p w14:paraId="57A33160" w14:textId="77777777" w:rsidR="00000000" w:rsidRDefault="00C01C43">
            <w:pPr>
              <w:rPr>
                <w:rFonts w:eastAsia="Times New Roman"/>
                <w:sz w:val="20"/>
                <w:szCs w:val="20"/>
              </w:rPr>
            </w:pPr>
          </w:p>
        </w:tc>
      </w:tr>
      <w:tr w:rsidR="00000000" w14:paraId="7BCDA62C" w14:textId="77777777">
        <w:trPr>
          <w:divId w:val="917791988"/>
        </w:trPr>
        <w:tc>
          <w:tcPr>
            <w:tcW w:w="0" w:type="auto"/>
            <w:gridSpan w:val="3"/>
            <w:tcMar>
              <w:top w:w="30" w:type="dxa"/>
              <w:left w:w="20" w:type="dxa"/>
              <w:bottom w:w="30" w:type="dxa"/>
              <w:right w:w="20" w:type="dxa"/>
            </w:tcMar>
            <w:vAlign w:val="bottom"/>
            <w:hideMark/>
          </w:tcPr>
          <w:p w14:paraId="57E7874A" w14:textId="77777777" w:rsidR="00000000" w:rsidRDefault="00C01C43">
            <w:pPr>
              <w:jc w:val="center"/>
              <w:rPr>
                <w:rFonts w:eastAsia="Times New Roman"/>
              </w:rPr>
            </w:pPr>
            <w:r>
              <w:rPr>
                <w:rFonts w:ascii="Arial" w:eastAsia="Times New Roman" w:hAnsi="Arial" w:cs="Arial"/>
                <w:b/>
                <w:bCs/>
                <w:color w:val="000000"/>
                <w:sz w:val="16"/>
                <w:szCs w:val="16"/>
              </w:rPr>
              <w:t>Line item in the Consolidated Balance Sheets in which the hedged item is included</w:t>
            </w:r>
          </w:p>
        </w:tc>
        <w:tc>
          <w:tcPr>
            <w:tcW w:w="0" w:type="auto"/>
            <w:gridSpan w:val="3"/>
            <w:tcMar>
              <w:top w:w="0" w:type="dxa"/>
              <w:left w:w="20" w:type="dxa"/>
              <w:bottom w:w="0" w:type="dxa"/>
              <w:right w:w="20" w:type="dxa"/>
            </w:tcMar>
            <w:vAlign w:val="center"/>
            <w:hideMark/>
          </w:tcPr>
          <w:p w14:paraId="683E0C0E" w14:textId="77777777" w:rsidR="00000000" w:rsidRDefault="00C01C4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2F615DB0" w14:textId="77777777" w:rsidR="00000000" w:rsidRDefault="00C01C43">
            <w:pPr>
              <w:jc w:val="center"/>
              <w:rPr>
                <w:rFonts w:eastAsia="Times New Roman"/>
              </w:rPr>
            </w:pPr>
            <w:r>
              <w:rPr>
                <w:rFonts w:ascii="Arial" w:eastAsia="Times New Roman" w:hAnsi="Arial" w:cs="Arial"/>
                <w:b/>
                <w:bCs/>
                <w:color w:val="000000"/>
                <w:sz w:val="16"/>
                <w:szCs w:val="16"/>
              </w:rPr>
              <w:t>Carrying Amount of Hedged Asset/(Liabilities)</w:t>
            </w:r>
          </w:p>
        </w:tc>
        <w:tc>
          <w:tcPr>
            <w:tcW w:w="0" w:type="auto"/>
            <w:gridSpan w:val="3"/>
            <w:tcMar>
              <w:top w:w="0" w:type="dxa"/>
              <w:left w:w="20" w:type="dxa"/>
              <w:bottom w:w="0" w:type="dxa"/>
              <w:right w:w="20" w:type="dxa"/>
            </w:tcMar>
            <w:vAlign w:val="center"/>
            <w:hideMark/>
          </w:tcPr>
          <w:p w14:paraId="4553F24B" w14:textId="77777777" w:rsidR="00000000" w:rsidRDefault="00C01C4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4082FA6B" w14:textId="77777777" w:rsidR="00000000" w:rsidRDefault="00C01C43">
            <w:pPr>
              <w:jc w:val="center"/>
              <w:rPr>
                <w:rFonts w:eastAsia="Times New Roman"/>
              </w:rPr>
            </w:pPr>
            <w:r>
              <w:rPr>
                <w:rFonts w:ascii="Arial" w:eastAsia="Times New Roman" w:hAnsi="Arial" w:cs="Arial"/>
                <w:b/>
                <w:bCs/>
                <w:color w:val="000000"/>
                <w:sz w:val="16"/>
                <w:szCs w:val="16"/>
              </w:rPr>
              <w:t>Cumulative Amount of Fair Value Hedging Adjustment Included in the Carrying Amount of the Hedged Asset/(Liabilit</w:t>
            </w:r>
            <w:r>
              <w:rPr>
                <w:rFonts w:ascii="Arial" w:eastAsia="Times New Roman" w:hAnsi="Arial" w:cs="Arial"/>
                <w:b/>
                <w:bCs/>
                <w:color w:val="000000"/>
                <w:sz w:val="16"/>
                <w:szCs w:val="16"/>
              </w:rPr>
              <w:t>ies)</w:t>
            </w:r>
          </w:p>
        </w:tc>
      </w:tr>
      <w:tr w:rsidR="00000000" w14:paraId="0A94D001" w14:textId="77777777">
        <w:trPr>
          <w:divId w:val="917791988"/>
        </w:trPr>
        <w:tc>
          <w:tcPr>
            <w:tcW w:w="0" w:type="auto"/>
            <w:gridSpan w:val="3"/>
            <w:tcBorders>
              <w:top w:val="single" w:sz="8" w:space="0" w:color="000000"/>
            </w:tcBorders>
            <w:tcMar>
              <w:top w:w="0" w:type="dxa"/>
              <w:left w:w="20" w:type="dxa"/>
              <w:bottom w:w="0" w:type="dxa"/>
              <w:right w:w="20" w:type="dxa"/>
            </w:tcMar>
            <w:vAlign w:val="center"/>
            <w:hideMark/>
          </w:tcPr>
          <w:p w14:paraId="1B6CD4E1" w14:textId="77777777" w:rsidR="00000000" w:rsidRDefault="00C01C43">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92F8EFC" w14:textId="77777777" w:rsidR="00000000" w:rsidRDefault="00C01C4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08D2BD1" w14:textId="77777777" w:rsidR="00000000" w:rsidRDefault="00C01C43">
            <w:pPr>
              <w:jc w:val="center"/>
              <w:rPr>
                <w:rFonts w:eastAsia="Times New Roman"/>
              </w:rPr>
            </w:pPr>
            <w:r>
              <w:rPr>
                <w:rFonts w:ascii="Arial" w:eastAsia="Times New Roman" w:hAnsi="Arial" w:cs="Arial"/>
                <w:b/>
                <w:bCs/>
                <w:color w:val="000000"/>
                <w:sz w:val="16"/>
                <w:szCs w:val="16"/>
              </w:rPr>
              <w:t>As of</w:t>
            </w:r>
          </w:p>
        </w:tc>
        <w:tc>
          <w:tcPr>
            <w:tcW w:w="0" w:type="auto"/>
            <w:gridSpan w:val="3"/>
            <w:tcBorders>
              <w:top w:val="single" w:sz="8" w:space="0" w:color="000000"/>
            </w:tcBorders>
            <w:tcMar>
              <w:top w:w="0" w:type="dxa"/>
              <w:left w:w="20" w:type="dxa"/>
              <w:bottom w:w="0" w:type="dxa"/>
              <w:right w:w="20" w:type="dxa"/>
            </w:tcMar>
            <w:vAlign w:val="center"/>
            <w:hideMark/>
          </w:tcPr>
          <w:p w14:paraId="72D6DBB2" w14:textId="77777777" w:rsidR="00000000" w:rsidRDefault="00C01C4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7B735B9" w14:textId="77777777" w:rsidR="00000000" w:rsidRDefault="00C01C43">
            <w:pPr>
              <w:jc w:val="center"/>
              <w:rPr>
                <w:rFonts w:eastAsia="Times New Roman"/>
              </w:rPr>
            </w:pPr>
            <w:r>
              <w:rPr>
                <w:rFonts w:ascii="Arial" w:eastAsia="Times New Roman" w:hAnsi="Arial" w:cs="Arial"/>
                <w:b/>
                <w:bCs/>
                <w:color w:val="000000"/>
                <w:sz w:val="16"/>
                <w:szCs w:val="16"/>
              </w:rPr>
              <w:t>As of</w:t>
            </w:r>
          </w:p>
        </w:tc>
      </w:tr>
      <w:tr w:rsidR="00000000" w14:paraId="77A72455" w14:textId="77777777">
        <w:trPr>
          <w:divId w:val="917791988"/>
        </w:trPr>
        <w:tc>
          <w:tcPr>
            <w:tcW w:w="0" w:type="auto"/>
            <w:gridSpan w:val="3"/>
            <w:tcBorders>
              <w:top w:val="single" w:sz="8" w:space="0" w:color="000000"/>
            </w:tcBorders>
            <w:tcMar>
              <w:top w:w="0" w:type="dxa"/>
              <w:left w:w="20" w:type="dxa"/>
              <w:bottom w:w="0" w:type="dxa"/>
              <w:right w:w="20" w:type="dxa"/>
            </w:tcMar>
            <w:vAlign w:val="center"/>
            <w:hideMark/>
          </w:tcPr>
          <w:p w14:paraId="09FC6905" w14:textId="77777777" w:rsidR="00000000" w:rsidRDefault="00C01C43">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3559033" w14:textId="77777777" w:rsidR="00000000" w:rsidRDefault="00C01C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7489D4E2" w14:textId="77777777" w:rsidR="00000000" w:rsidRDefault="00C01C43">
            <w:pPr>
              <w:jc w:val="center"/>
              <w:rPr>
                <w:rFonts w:eastAsia="Times New Roman"/>
              </w:rPr>
            </w:pPr>
            <w:r>
              <w:rPr>
                <w:rFonts w:ascii="Arial" w:eastAsia="Times New Roman" w:hAnsi="Arial" w:cs="Arial"/>
                <w:b/>
                <w:bCs/>
                <w:color w:val="000000"/>
                <w:sz w:val="16"/>
                <w:szCs w:val="16"/>
              </w:rPr>
              <w:t>December 31, 2020</w:t>
            </w:r>
          </w:p>
        </w:tc>
        <w:tc>
          <w:tcPr>
            <w:tcW w:w="0" w:type="auto"/>
            <w:gridSpan w:val="3"/>
            <w:tcBorders>
              <w:top w:val="single" w:sz="8" w:space="0" w:color="000000"/>
            </w:tcBorders>
            <w:tcMar>
              <w:top w:w="0" w:type="dxa"/>
              <w:left w:w="20" w:type="dxa"/>
              <w:bottom w:w="0" w:type="dxa"/>
              <w:right w:w="20" w:type="dxa"/>
            </w:tcMar>
            <w:vAlign w:val="center"/>
            <w:hideMark/>
          </w:tcPr>
          <w:p w14:paraId="66B8D291"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B72F73D" w14:textId="77777777" w:rsidR="00000000" w:rsidRDefault="00C01C43">
            <w:pPr>
              <w:jc w:val="center"/>
              <w:rPr>
                <w:rFonts w:eastAsia="Times New Roman"/>
              </w:rPr>
            </w:pPr>
            <w:r>
              <w:rPr>
                <w:rFonts w:ascii="Arial" w:eastAsia="Times New Roman" w:hAnsi="Arial" w:cs="Arial"/>
                <w:b/>
                <w:bCs/>
                <w:color w:val="000000"/>
                <w:sz w:val="16"/>
                <w:szCs w:val="16"/>
              </w:rPr>
              <w:t>December 31, 2019</w:t>
            </w:r>
          </w:p>
        </w:tc>
        <w:tc>
          <w:tcPr>
            <w:tcW w:w="0" w:type="auto"/>
            <w:gridSpan w:val="3"/>
            <w:tcBorders>
              <w:top w:val="single" w:sz="8" w:space="0" w:color="000000"/>
            </w:tcBorders>
            <w:tcMar>
              <w:top w:w="0" w:type="dxa"/>
              <w:left w:w="20" w:type="dxa"/>
              <w:bottom w:w="0" w:type="dxa"/>
              <w:right w:w="20" w:type="dxa"/>
            </w:tcMar>
            <w:vAlign w:val="center"/>
            <w:hideMark/>
          </w:tcPr>
          <w:p w14:paraId="6483D4F2"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308D366F" w14:textId="77777777" w:rsidR="00000000" w:rsidRDefault="00C01C43">
            <w:pPr>
              <w:jc w:val="center"/>
              <w:rPr>
                <w:rFonts w:eastAsia="Times New Roman"/>
              </w:rPr>
            </w:pPr>
            <w:r>
              <w:rPr>
                <w:rFonts w:ascii="Arial" w:eastAsia="Times New Roman" w:hAnsi="Arial" w:cs="Arial"/>
                <w:b/>
                <w:bCs/>
                <w:color w:val="000000"/>
                <w:sz w:val="16"/>
                <w:szCs w:val="16"/>
              </w:rPr>
              <w:t>December 31, 2020</w:t>
            </w:r>
          </w:p>
        </w:tc>
        <w:tc>
          <w:tcPr>
            <w:tcW w:w="0" w:type="auto"/>
            <w:gridSpan w:val="3"/>
            <w:tcBorders>
              <w:top w:val="single" w:sz="8" w:space="0" w:color="000000"/>
            </w:tcBorders>
            <w:tcMar>
              <w:top w:w="0" w:type="dxa"/>
              <w:left w:w="20" w:type="dxa"/>
              <w:bottom w:w="0" w:type="dxa"/>
              <w:right w:w="20" w:type="dxa"/>
            </w:tcMar>
            <w:vAlign w:val="center"/>
            <w:hideMark/>
          </w:tcPr>
          <w:p w14:paraId="346E1718"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E78B43B" w14:textId="77777777" w:rsidR="00000000" w:rsidRDefault="00C01C43">
            <w:pPr>
              <w:jc w:val="center"/>
              <w:rPr>
                <w:rFonts w:eastAsia="Times New Roman"/>
              </w:rPr>
            </w:pPr>
            <w:r>
              <w:rPr>
                <w:rFonts w:ascii="Arial" w:eastAsia="Times New Roman" w:hAnsi="Arial" w:cs="Arial"/>
                <w:b/>
                <w:bCs/>
                <w:color w:val="000000"/>
                <w:sz w:val="16"/>
                <w:szCs w:val="16"/>
              </w:rPr>
              <w:t>December 31, 2019</w:t>
            </w:r>
          </w:p>
        </w:tc>
      </w:tr>
      <w:tr w:rsidR="00000000" w14:paraId="0E05AC6A" w14:textId="77777777">
        <w:trPr>
          <w:divId w:val="917791988"/>
        </w:trPr>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hideMark/>
          </w:tcPr>
          <w:p w14:paraId="6229B61B" w14:textId="77777777" w:rsidR="00000000" w:rsidRDefault="00C01C43">
            <w:pPr>
              <w:rPr>
                <w:rFonts w:eastAsia="Times New Roman"/>
              </w:rPr>
            </w:pPr>
            <w:r>
              <w:rPr>
                <w:rFonts w:ascii="Arial" w:eastAsia="Times New Roman" w:hAnsi="Arial" w:cs="Arial"/>
                <w:color w:val="000000"/>
                <w:sz w:val="16"/>
                <w:szCs w:val="16"/>
              </w:rPr>
              <w:t>Inventory</w:t>
            </w: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14:paraId="753C12EE" w14:textId="77777777" w:rsidR="00000000" w:rsidRDefault="00C01C43">
            <w:pPr>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hideMark/>
          </w:tcPr>
          <w:p w14:paraId="1CAF2E99"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hideMark/>
          </w:tcPr>
          <w:p w14:paraId="079B5A0F" w14:textId="77777777" w:rsidR="00000000" w:rsidRDefault="00C01C43">
            <w:pPr>
              <w:jc w:val="right"/>
              <w:rPr>
                <w:rFonts w:eastAsia="Times New Roman"/>
              </w:rPr>
            </w:pPr>
            <w:r>
              <w:rPr>
                <w:rFonts w:ascii="Arial" w:eastAsia="Times New Roman" w:hAnsi="Arial" w:cs="Arial"/>
                <w:color w:val="000000"/>
                <w:sz w:val="16"/>
                <w:szCs w:val="16"/>
              </w:rPr>
              <w:t>44.5 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hideMark/>
          </w:tcPr>
          <w:p w14:paraId="6DDAA6F2" w14:textId="77777777" w:rsidR="00000000" w:rsidRDefault="00C01C43">
            <w:pPr>
              <w:jc w:val="right"/>
              <w:rPr>
                <w:rFonts w:eastAsia="Times New Roman"/>
              </w:rPr>
            </w:pP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14:paraId="78438646" w14:textId="77777777" w:rsidR="00000000" w:rsidRDefault="00C01C43">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hideMark/>
          </w:tcPr>
          <w:p w14:paraId="51832F14"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hideMark/>
          </w:tcPr>
          <w:p w14:paraId="30B1F1A7" w14:textId="77777777" w:rsidR="00000000" w:rsidRDefault="00C01C43">
            <w:pPr>
              <w:jc w:val="right"/>
              <w:rPr>
                <w:rFonts w:eastAsia="Times New Roman"/>
              </w:rPr>
            </w:pPr>
            <w:r>
              <w:rPr>
                <w:rFonts w:ascii="Arial" w:eastAsia="Times New Roman" w:hAnsi="Arial" w:cs="Arial"/>
                <w:color w:val="000000"/>
                <w:sz w:val="16"/>
                <w:szCs w:val="16"/>
              </w:rPr>
              <w:t>30.7 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hideMark/>
          </w:tcPr>
          <w:p w14:paraId="35904FE9" w14:textId="77777777" w:rsidR="00000000" w:rsidRDefault="00C01C43">
            <w:pPr>
              <w:jc w:val="right"/>
              <w:rPr>
                <w:rFonts w:eastAsia="Times New Roman"/>
              </w:rPr>
            </w:pP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14:paraId="7C5678FB" w14:textId="77777777" w:rsidR="00000000" w:rsidRDefault="00C01C43">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hideMark/>
          </w:tcPr>
          <w:p w14:paraId="1C6C1F22"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hideMark/>
          </w:tcPr>
          <w:p w14:paraId="7AF32F31" w14:textId="77777777" w:rsidR="00000000" w:rsidRDefault="00C01C43">
            <w:pPr>
              <w:jc w:val="right"/>
              <w:rPr>
                <w:rFonts w:eastAsia="Times New Roman"/>
              </w:rPr>
            </w:pPr>
            <w:r>
              <w:rPr>
                <w:rFonts w:ascii="Arial" w:eastAsia="Times New Roman" w:hAnsi="Arial" w:cs="Arial"/>
                <w:color w:val="000000"/>
                <w:sz w:val="16"/>
                <w:szCs w:val="16"/>
              </w:rPr>
              <w:t>4.9 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hideMark/>
          </w:tcPr>
          <w:p w14:paraId="5E6674D1" w14:textId="77777777" w:rsidR="00000000" w:rsidRDefault="00C01C43">
            <w:pPr>
              <w:jc w:val="right"/>
              <w:rPr>
                <w:rFonts w:eastAsia="Times New Roman"/>
              </w:rPr>
            </w:pP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14:paraId="1B9C663F" w14:textId="77777777" w:rsidR="00000000" w:rsidRDefault="00C01C43">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hideMark/>
          </w:tcPr>
          <w:p w14:paraId="5A0B3D13"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hideMark/>
          </w:tcPr>
          <w:p w14:paraId="7C32F8F6" w14:textId="77777777" w:rsidR="00000000" w:rsidRDefault="00C01C43">
            <w:pPr>
              <w:jc w:val="right"/>
              <w:rPr>
                <w:rFonts w:eastAsia="Times New Roman"/>
              </w:rPr>
            </w:pPr>
            <w:r>
              <w:rPr>
                <w:rFonts w:ascii="Arial" w:eastAsia="Times New Roman" w:hAnsi="Arial" w:cs="Arial"/>
                <w:color w:val="000000"/>
                <w:sz w:val="16"/>
                <w:szCs w:val="16"/>
              </w:rPr>
              <w:t>2.3 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hideMark/>
          </w:tcPr>
          <w:p w14:paraId="4A85E742" w14:textId="77777777" w:rsidR="00000000" w:rsidRDefault="00C01C43">
            <w:pPr>
              <w:jc w:val="right"/>
              <w:rPr>
                <w:rFonts w:eastAsia="Times New Roman"/>
              </w:rPr>
            </w:pPr>
          </w:p>
        </w:tc>
      </w:tr>
    </w:tbl>
    <w:p w14:paraId="0AB42565" w14:textId="77777777" w:rsidR="00000000" w:rsidRDefault="00C01C43">
      <w:pPr>
        <w:ind w:firstLine="360"/>
        <w:jc w:val="both"/>
        <w:rPr>
          <w:rFonts w:eastAsia="Times New Roman"/>
        </w:rPr>
      </w:pPr>
    </w:p>
    <w:p w14:paraId="3C0B40B9" w14:textId="77777777" w:rsidR="00000000" w:rsidRDefault="00C01C43">
      <w:pPr>
        <w:jc w:val="both"/>
        <w:rPr>
          <w:rFonts w:eastAsia="Times New Roman"/>
        </w:rPr>
      </w:pPr>
      <w:r>
        <w:rPr>
          <w:rFonts w:ascii="Arial" w:eastAsia="Times New Roman" w:hAnsi="Arial" w:cs="Arial"/>
          <w:color w:val="000000"/>
          <w:sz w:val="20"/>
          <w:szCs w:val="20"/>
        </w:rPr>
        <w:t>The following table presents the effect of fair value and cash flow hedges on income and expense line items in our Consolidated</w:t>
      </w:r>
      <w:r>
        <w:rPr>
          <w:rFonts w:ascii="Arial" w:eastAsia="Times New Roman" w:hAnsi="Arial" w:cs="Arial"/>
          <w:color w:val="000000"/>
          <w:sz w:val="20"/>
          <w:szCs w:val="20"/>
        </w:rPr>
        <w:t xml:space="preserve">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49"/>
        <w:gridCol w:w="38"/>
        <w:gridCol w:w="40"/>
        <w:gridCol w:w="1370"/>
        <w:gridCol w:w="39"/>
        <w:gridCol w:w="36"/>
        <w:gridCol w:w="36"/>
        <w:gridCol w:w="36"/>
        <w:gridCol w:w="109"/>
        <w:gridCol w:w="668"/>
        <w:gridCol w:w="36"/>
        <w:gridCol w:w="36"/>
        <w:gridCol w:w="36"/>
        <w:gridCol w:w="36"/>
        <w:gridCol w:w="109"/>
        <w:gridCol w:w="668"/>
        <w:gridCol w:w="36"/>
        <w:gridCol w:w="36"/>
        <w:gridCol w:w="36"/>
        <w:gridCol w:w="36"/>
        <w:gridCol w:w="110"/>
        <w:gridCol w:w="652"/>
        <w:gridCol w:w="36"/>
        <w:gridCol w:w="36"/>
        <w:gridCol w:w="36"/>
        <w:gridCol w:w="36"/>
        <w:gridCol w:w="109"/>
        <w:gridCol w:w="668"/>
        <w:gridCol w:w="36"/>
        <w:gridCol w:w="36"/>
        <w:gridCol w:w="36"/>
        <w:gridCol w:w="36"/>
        <w:gridCol w:w="109"/>
        <w:gridCol w:w="668"/>
        <w:gridCol w:w="36"/>
        <w:gridCol w:w="36"/>
        <w:gridCol w:w="36"/>
        <w:gridCol w:w="36"/>
        <w:gridCol w:w="109"/>
        <w:gridCol w:w="668"/>
        <w:gridCol w:w="36"/>
        <w:gridCol w:w="36"/>
        <w:gridCol w:w="36"/>
        <w:gridCol w:w="36"/>
        <w:gridCol w:w="109"/>
        <w:gridCol w:w="668"/>
        <w:gridCol w:w="36"/>
      </w:tblGrid>
      <w:tr w:rsidR="00000000" w14:paraId="275FD0B9" w14:textId="77777777">
        <w:trPr>
          <w:divId w:val="453914570"/>
        </w:trPr>
        <w:tc>
          <w:tcPr>
            <w:tcW w:w="50" w:type="pct"/>
            <w:vAlign w:val="center"/>
            <w:hideMark/>
          </w:tcPr>
          <w:p w14:paraId="16BED96B" w14:textId="77777777" w:rsidR="00000000" w:rsidRDefault="00C01C43">
            <w:pPr>
              <w:jc w:val="both"/>
              <w:rPr>
                <w:rFonts w:eastAsia="Times New Roman"/>
              </w:rPr>
            </w:pPr>
          </w:p>
        </w:tc>
        <w:tc>
          <w:tcPr>
            <w:tcW w:w="566" w:type="pct"/>
            <w:vAlign w:val="center"/>
            <w:hideMark/>
          </w:tcPr>
          <w:p w14:paraId="32A79A0A" w14:textId="77777777" w:rsidR="00000000" w:rsidRDefault="00C01C43">
            <w:pPr>
              <w:rPr>
                <w:rFonts w:eastAsia="Times New Roman"/>
                <w:sz w:val="20"/>
                <w:szCs w:val="20"/>
              </w:rPr>
            </w:pPr>
          </w:p>
        </w:tc>
        <w:tc>
          <w:tcPr>
            <w:tcW w:w="5" w:type="pct"/>
            <w:vAlign w:val="center"/>
            <w:hideMark/>
          </w:tcPr>
          <w:p w14:paraId="62CD4600" w14:textId="77777777" w:rsidR="00000000" w:rsidRDefault="00C01C43">
            <w:pPr>
              <w:rPr>
                <w:rFonts w:eastAsia="Times New Roman"/>
                <w:sz w:val="20"/>
                <w:szCs w:val="20"/>
              </w:rPr>
            </w:pPr>
          </w:p>
        </w:tc>
        <w:tc>
          <w:tcPr>
            <w:tcW w:w="50" w:type="pct"/>
            <w:vAlign w:val="center"/>
            <w:hideMark/>
          </w:tcPr>
          <w:p w14:paraId="78035C11" w14:textId="77777777" w:rsidR="00000000" w:rsidRDefault="00C01C43">
            <w:pPr>
              <w:rPr>
                <w:rFonts w:eastAsia="Times New Roman"/>
                <w:sz w:val="20"/>
                <w:szCs w:val="20"/>
              </w:rPr>
            </w:pPr>
          </w:p>
        </w:tc>
        <w:tc>
          <w:tcPr>
            <w:tcW w:w="1180" w:type="pct"/>
            <w:vAlign w:val="center"/>
            <w:hideMark/>
          </w:tcPr>
          <w:p w14:paraId="33EFF1DC" w14:textId="77777777" w:rsidR="00000000" w:rsidRDefault="00C01C43">
            <w:pPr>
              <w:rPr>
                <w:rFonts w:eastAsia="Times New Roman"/>
                <w:sz w:val="20"/>
                <w:szCs w:val="20"/>
              </w:rPr>
            </w:pPr>
          </w:p>
        </w:tc>
        <w:tc>
          <w:tcPr>
            <w:tcW w:w="5" w:type="pct"/>
            <w:vAlign w:val="center"/>
            <w:hideMark/>
          </w:tcPr>
          <w:p w14:paraId="171E5E2A" w14:textId="77777777" w:rsidR="00000000" w:rsidRDefault="00C01C43">
            <w:pPr>
              <w:rPr>
                <w:rFonts w:eastAsia="Times New Roman"/>
                <w:sz w:val="20"/>
                <w:szCs w:val="20"/>
              </w:rPr>
            </w:pPr>
          </w:p>
        </w:tc>
        <w:tc>
          <w:tcPr>
            <w:tcW w:w="5" w:type="pct"/>
            <w:vAlign w:val="center"/>
            <w:hideMark/>
          </w:tcPr>
          <w:p w14:paraId="030F318D" w14:textId="77777777" w:rsidR="00000000" w:rsidRDefault="00C01C43">
            <w:pPr>
              <w:rPr>
                <w:rFonts w:eastAsia="Times New Roman"/>
                <w:sz w:val="20"/>
                <w:szCs w:val="20"/>
              </w:rPr>
            </w:pPr>
          </w:p>
        </w:tc>
        <w:tc>
          <w:tcPr>
            <w:tcW w:w="26" w:type="pct"/>
            <w:vAlign w:val="center"/>
            <w:hideMark/>
          </w:tcPr>
          <w:p w14:paraId="78EC9BDA" w14:textId="77777777" w:rsidR="00000000" w:rsidRDefault="00C01C43">
            <w:pPr>
              <w:rPr>
                <w:rFonts w:eastAsia="Times New Roman"/>
                <w:sz w:val="20"/>
                <w:szCs w:val="20"/>
              </w:rPr>
            </w:pPr>
          </w:p>
        </w:tc>
        <w:tc>
          <w:tcPr>
            <w:tcW w:w="5" w:type="pct"/>
            <w:vAlign w:val="center"/>
            <w:hideMark/>
          </w:tcPr>
          <w:p w14:paraId="2823EBCA" w14:textId="77777777" w:rsidR="00000000" w:rsidRDefault="00C01C43">
            <w:pPr>
              <w:rPr>
                <w:rFonts w:eastAsia="Times New Roman"/>
                <w:sz w:val="20"/>
                <w:szCs w:val="20"/>
              </w:rPr>
            </w:pPr>
          </w:p>
        </w:tc>
        <w:tc>
          <w:tcPr>
            <w:tcW w:w="50" w:type="pct"/>
            <w:vAlign w:val="center"/>
            <w:hideMark/>
          </w:tcPr>
          <w:p w14:paraId="05197D07" w14:textId="77777777" w:rsidR="00000000" w:rsidRDefault="00C01C43">
            <w:pPr>
              <w:rPr>
                <w:rFonts w:eastAsia="Times New Roman"/>
                <w:sz w:val="20"/>
                <w:szCs w:val="20"/>
              </w:rPr>
            </w:pPr>
          </w:p>
        </w:tc>
        <w:tc>
          <w:tcPr>
            <w:tcW w:w="354" w:type="pct"/>
            <w:vAlign w:val="center"/>
            <w:hideMark/>
          </w:tcPr>
          <w:p w14:paraId="3DDE2473" w14:textId="77777777" w:rsidR="00000000" w:rsidRDefault="00C01C43">
            <w:pPr>
              <w:rPr>
                <w:rFonts w:eastAsia="Times New Roman"/>
                <w:sz w:val="20"/>
                <w:szCs w:val="20"/>
              </w:rPr>
            </w:pPr>
          </w:p>
        </w:tc>
        <w:tc>
          <w:tcPr>
            <w:tcW w:w="5" w:type="pct"/>
            <w:vAlign w:val="center"/>
            <w:hideMark/>
          </w:tcPr>
          <w:p w14:paraId="0E291E61" w14:textId="77777777" w:rsidR="00000000" w:rsidRDefault="00C01C43">
            <w:pPr>
              <w:rPr>
                <w:rFonts w:eastAsia="Times New Roman"/>
                <w:sz w:val="20"/>
                <w:szCs w:val="20"/>
              </w:rPr>
            </w:pPr>
          </w:p>
        </w:tc>
        <w:tc>
          <w:tcPr>
            <w:tcW w:w="5" w:type="pct"/>
            <w:vAlign w:val="center"/>
            <w:hideMark/>
          </w:tcPr>
          <w:p w14:paraId="5A7F3778" w14:textId="77777777" w:rsidR="00000000" w:rsidRDefault="00C01C43">
            <w:pPr>
              <w:rPr>
                <w:rFonts w:eastAsia="Times New Roman"/>
                <w:sz w:val="20"/>
                <w:szCs w:val="20"/>
              </w:rPr>
            </w:pPr>
          </w:p>
        </w:tc>
        <w:tc>
          <w:tcPr>
            <w:tcW w:w="26" w:type="pct"/>
            <w:vAlign w:val="center"/>
            <w:hideMark/>
          </w:tcPr>
          <w:p w14:paraId="5D7FD454" w14:textId="77777777" w:rsidR="00000000" w:rsidRDefault="00C01C43">
            <w:pPr>
              <w:rPr>
                <w:rFonts w:eastAsia="Times New Roman"/>
                <w:sz w:val="20"/>
                <w:szCs w:val="20"/>
              </w:rPr>
            </w:pPr>
          </w:p>
        </w:tc>
        <w:tc>
          <w:tcPr>
            <w:tcW w:w="5" w:type="pct"/>
            <w:vAlign w:val="center"/>
            <w:hideMark/>
          </w:tcPr>
          <w:p w14:paraId="0C017D46" w14:textId="77777777" w:rsidR="00000000" w:rsidRDefault="00C01C43">
            <w:pPr>
              <w:rPr>
                <w:rFonts w:eastAsia="Times New Roman"/>
                <w:sz w:val="20"/>
                <w:szCs w:val="20"/>
              </w:rPr>
            </w:pPr>
          </w:p>
        </w:tc>
        <w:tc>
          <w:tcPr>
            <w:tcW w:w="50" w:type="pct"/>
            <w:vAlign w:val="center"/>
            <w:hideMark/>
          </w:tcPr>
          <w:p w14:paraId="302FA958" w14:textId="77777777" w:rsidR="00000000" w:rsidRDefault="00C01C43">
            <w:pPr>
              <w:rPr>
                <w:rFonts w:eastAsia="Times New Roman"/>
                <w:sz w:val="20"/>
                <w:szCs w:val="20"/>
              </w:rPr>
            </w:pPr>
          </w:p>
        </w:tc>
        <w:tc>
          <w:tcPr>
            <w:tcW w:w="354" w:type="pct"/>
            <w:vAlign w:val="center"/>
            <w:hideMark/>
          </w:tcPr>
          <w:p w14:paraId="2F805050" w14:textId="77777777" w:rsidR="00000000" w:rsidRDefault="00C01C43">
            <w:pPr>
              <w:rPr>
                <w:rFonts w:eastAsia="Times New Roman"/>
                <w:sz w:val="20"/>
                <w:szCs w:val="20"/>
              </w:rPr>
            </w:pPr>
          </w:p>
        </w:tc>
        <w:tc>
          <w:tcPr>
            <w:tcW w:w="5" w:type="pct"/>
            <w:vAlign w:val="center"/>
            <w:hideMark/>
          </w:tcPr>
          <w:p w14:paraId="6895E181" w14:textId="77777777" w:rsidR="00000000" w:rsidRDefault="00C01C43">
            <w:pPr>
              <w:rPr>
                <w:rFonts w:eastAsia="Times New Roman"/>
                <w:sz w:val="20"/>
                <w:szCs w:val="20"/>
              </w:rPr>
            </w:pPr>
          </w:p>
        </w:tc>
        <w:tc>
          <w:tcPr>
            <w:tcW w:w="5" w:type="pct"/>
            <w:vAlign w:val="center"/>
            <w:hideMark/>
          </w:tcPr>
          <w:p w14:paraId="58F906E6" w14:textId="77777777" w:rsidR="00000000" w:rsidRDefault="00C01C43">
            <w:pPr>
              <w:rPr>
                <w:rFonts w:eastAsia="Times New Roman"/>
                <w:sz w:val="20"/>
                <w:szCs w:val="20"/>
              </w:rPr>
            </w:pPr>
          </w:p>
        </w:tc>
        <w:tc>
          <w:tcPr>
            <w:tcW w:w="26" w:type="pct"/>
            <w:vAlign w:val="center"/>
            <w:hideMark/>
          </w:tcPr>
          <w:p w14:paraId="648A9B1E" w14:textId="77777777" w:rsidR="00000000" w:rsidRDefault="00C01C43">
            <w:pPr>
              <w:rPr>
                <w:rFonts w:eastAsia="Times New Roman"/>
                <w:sz w:val="20"/>
                <w:szCs w:val="20"/>
              </w:rPr>
            </w:pPr>
          </w:p>
        </w:tc>
        <w:tc>
          <w:tcPr>
            <w:tcW w:w="5" w:type="pct"/>
            <w:vAlign w:val="center"/>
            <w:hideMark/>
          </w:tcPr>
          <w:p w14:paraId="346DA784" w14:textId="77777777" w:rsidR="00000000" w:rsidRDefault="00C01C43">
            <w:pPr>
              <w:rPr>
                <w:rFonts w:eastAsia="Times New Roman"/>
                <w:sz w:val="20"/>
                <w:szCs w:val="20"/>
              </w:rPr>
            </w:pPr>
          </w:p>
        </w:tc>
        <w:tc>
          <w:tcPr>
            <w:tcW w:w="50" w:type="pct"/>
            <w:vAlign w:val="center"/>
            <w:hideMark/>
          </w:tcPr>
          <w:p w14:paraId="6DC02FB8" w14:textId="77777777" w:rsidR="00000000" w:rsidRDefault="00C01C43">
            <w:pPr>
              <w:rPr>
                <w:rFonts w:eastAsia="Times New Roman"/>
                <w:sz w:val="20"/>
                <w:szCs w:val="20"/>
              </w:rPr>
            </w:pPr>
          </w:p>
        </w:tc>
        <w:tc>
          <w:tcPr>
            <w:tcW w:w="361" w:type="pct"/>
            <w:vAlign w:val="center"/>
            <w:hideMark/>
          </w:tcPr>
          <w:p w14:paraId="00F38B9A" w14:textId="77777777" w:rsidR="00000000" w:rsidRDefault="00C01C43">
            <w:pPr>
              <w:rPr>
                <w:rFonts w:eastAsia="Times New Roman"/>
                <w:sz w:val="20"/>
                <w:szCs w:val="20"/>
              </w:rPr>
            </w:pPr>
          </w:p>
        </w:tc>
        <w:tc>
          <w:tcPr>
            <w:tcW w:w="5" w:type="pct"/>
            <w:vAlign w:val="center"/>
            <w:hideMark/>
          </w:tcPr>
          <w:p w14:paraId="1A3F39D6" w14:textId="77777777" w:rsidR="00000000" w:rsidRDefault="00C01C43">
            <w:pPr>
              <w:rPr>
                <w:rFonts w:eastAsia="Times New Roman"/>
                <w:sz w:val="20"/>
                <w:szCs w:val="20"/>
              </w:rPr>
            </w:pPr>
          </w:p>
        </w:tc>
        <w:tc>
          <w:tcPr>
            <w:tcW w:w="5" w:type="pct"/>
            <w:vAlign w:val="center"/>
            <w:hideMark/>
          </w:tcPr>
          <w:p w14:paraId="069A84A3" w14:textId="77777777" w:rsidR="00000000" w:rsidRDefault="00C01C43">
            <w:pPr>
              <w:rPr>
                <w:rFonts w:eastAsia="Times New Roman"/>
                <w:sz w:val="20"/>
                <w:szCs w:val="20"/>
              </w:rPr>
            </w:pPr>
          </w:p>
        </w:tc>
        <w:tc>
          <w:tcPr>
            <w:tcW w:w="26" w:type="pct"/>
            <w:vAlign w:val="center"/>
            <w:hideMark/>
          </w:tcPr>
          <w:p w14:paraId="70DF218A" w14:textId="77777777" w:rsidR="00000000" w:rsidRDefault="00C01C43">
            <w:pPr>
              <w:rPr>
                <w:rFonts w:eastAsia="Times New Roman"/>
                <w:sz w:val="20"/>
                <w:szCs w:val="20"/>
              </w:rPr>
            </w:pPr>
          </w:p>
        </w:tc>
        <w:tc>
          <w:tcPr>
            <w:tcW w:w="5" w:type="pct"/>
            <w:vAlign w:val="center"/>
            <w:hideMark/>
          </w:tcPr>
          <w:p w14:paraId="3B1695CB" w14:textId="77777777" w:rsidR="00000000" w:rsidRDefault="00C01C43">
            <w:pPr>
              <w:rPr>
                <w:rFonts w:eastAsia="Times New Roman"/>
                <w:sz w:val="20"/>
                <w:szCs w:val="20"/>
              </w:rPr>
            </w:pPr>
          </w:p>
        </w:tc>
        <w:tc>
          <w:tcPr>
            <w:tcW w:w="50" w:type="pct"/>
            <w:vAlign w:val="center"/>
            <w:hideMark/>
          </w:tcPr>
          <w:p w14:paraId="6C7D6921" w14:textId="77777777" w:rsidR="00000000" w:rsidRDefault="00C01C43">
            <w:pPr>
              <w:rPr>
                <w:rFonts w:eastAsia="Times New Roman"/>
                <w:sz w:val="20"/>
                <w:szCs w:val="20"/>
              </w:rPr>
            </w:pPr>
          </w:p>
        </w:tc>
        <w:tc>
          <w:tcPr>
            <w:tcW w:w="354" w:type="pct"/>
            <w:vAlign w:val="center"/>
            <w:hideMark/>
          </w:tcPr>
          <w:p w14:paraId="223715C5" w14:textId="77777777" w:rsidR="00000000" w:rsidRDefault="00C01C43">
            <w:pPr>
              <w:rPr>
                <w:rFonts w:eastAsia="Times New Roman"/>
                <w:sz w:val="20"/>
                <w:szCs w:val="20"/>
              </w:rPr>
            </w:pPr>
          </w:p>
        </w:tc>
        <w:tc>
          <w:tcPr>
            <w:tcW w:w="5" w:type="pct"/>
            <w:vAlign w:val="center"/>
            <w:hideMark/>
          </w:tcPr>
          <w:p w14:paraId="364AE6EE" w14:textId="77777777" w:rsidR="00000000" w:rsidRDefault="00C01C43">
            <w:pPr>
              <w:rPr>
                <w:rFonts w:eastAsia="Times New Roman"/>
                <w:sz w:val="20"/>
                <w:szCs w:val="20"/>
              </w:rPr>
            </w:pPr>
          </w:p>
        </w:tc>
        <w:tc>
          <w:tcPr>
            <w:tcW w:w="5" w:type="pct"/>
            <w:vAlign w:val="center"/>
            <w:hideMark/>
          </w:tcPr>
          <w:p w14:paraId="728A136C" w14:textId="77777777" w:rsidR="00000000" w:rsidRDefault="00C01C43">
            <w:pPr>
              <w:rPr>
                <w:rFonts w:eastAsia="Times New Roman"/>
                <w:sz w:val="20"/>
                <w:szCs w:val="20"/>
              </w:rPr>
            </w:pPr>
          </w:p>
        </w:tc>
        <w:tc>
          <w:tcPr>
            <w:tcW w:w="26" w:type="pct"/>
            <w:vAlign w:val="center"/>
            <w:hideMark/>
          </w:tcPr>
          <w:p w14:paraId="361803B5" w14:textId="77777777" w:rsidR="00000000" w:rsidRDefault="00C01C43">
            <w:pPr>
              <w:rPr>
                <w:rFonts w:eastAsia="Times New Roman"/>
                <w:sz w:val="20"/>
                <w:szCs w:val="20"/>
              </w:rPr>
            </w:pPr>
          </w:p>
        </w:tc>
        <w:tc>
          <w:tcPr>
            <w:tcW w:w="5" w:type="pct"/>
            <w:vAlign w:val="center"/>
            <w:hideMark/>
          </w:tcPr>
          <w:p w14:paraId="5252F8C4" w14:textId="77777777" w:rsidR="00000000" w:rsidRDefault="00C01C43">
            <w:pPr>
              <w:rPr>
                <w:rFonts w:eastAsia="Times New Roman"/>
                <w:sz w:val="20"/>
                <w:szCs w:val="20"/>
              </w:rPr>
            </w:pPr>
          </w:p>
        </w:tc>
        <w:tc>
          <w:tcPr>
            <w:tcW w:w="50" w:type="pct"/>
            <w:vAlign w:val="center"/>
            <w:hideMark/>
          </w:tcPr>
          <w:p w14:paraId="541E5204" w14:textId="77777777" w:rsidR="00000000" w:rsidRDefault="00C01C43">
            <w:pPr>
              <w:rPr>
                <w:rFonts w:eastAsia="Times New Roman"/>
                <w:sz w:val="20"/>
                <w:szCs w:val="20"/>
              </w:rPr>
            </w:pPr>
          </w:p>
        </w:tc>
        <w:tc>
          <w:tcPr>
            <w:tcW w:w="354" w:type="pct"/>
            <w:vAlign w:val="center"/>
            <w:hideMark/>
          </w:tcPr>
          <w:p w14:paraId="2A3D42FD" w14:textId="77777777" w:rsidR="00000000" w:rsidRDefault="00C01C43">
            <w:pPr>
              <w:rPr>
                <w:rFonts w:eastAsia="Times New Roman"/>
                <w:sz w:val="20"/>
                <w:szCs w:val="20"/>
              </w:rPr>
            </w:pPr>
          </w:p>
        </w:tc>
        <w:tc>
          <w:tcPr>
            <w:tcW w:w="5" w:type="pct"/>
            <w:vAlign w:val="center"/>
            <w:hideMark/>
          </w:tcPr>
          <w:p w14:paraId="0B3FAE18" w14:textId="77777777" w:rsidR="00000000" w:rsidRDefault="00C01C43">
            <w:pPr>
              <w:rPr>
                <w:rFonts w:eastAsia="Times New Roman"/>
                <w:sz w:val="20"/>
                <w:szCs w:val="20"/>
              </w:rPr>
            </w:pPr>
          </w:p>
        </w:tc>
        <w:tc>
          <w:tcPr>
            <w:tcW w:w="5" w:type="pct"/>
            <w:vAlign w:val="center"/>
            <w:hideMark/>
          </w:tcPr>
          <w:p w14:paraId="25067B74" w14:textId="77777777" w:rsidR="00000000" w:rsidRDefault="00C01C43">
            <w:pPr>
              <w:rPr>
                <w:rFonts w:eastAsia="Times New Roman"/>
                <w:sz w:val="20"/>
                <w:szCs w:val="20"/>
              </w:rPr>
            </w:pPr>
          </w:p>
        </w:tc>
        <w:tc>
          <w:tcPr>
            <w:tcW w:w="26" w:type="pct"/>
            <w:vAlign w:val="center"/>
            <w:hideMark/>
          </w:tcPr>
          <w:p w14:paraId="04BAD57B" w14:textId="77777777" w:rsidR="00000000" w:rsidRDefault="00C01C43">
            <w:pPr>
              <w:rPr>
                <w:rFonts w:eastAsia="Times New Roman"/>
                <w:sz w:val="20"/>
                <w:szCs w:val="20"/>
              </w:rPr>
            </w:pPr>
          </w:p>
        </w:tc>
        <w:tc>
          <w:tcPr>
            <w:tcW w:w="5" w:type="pct"/>
            <w:vAlign w:val="center"/>
            <w:hideMark/>
          </w:tcPr>
          <w:p w14:paraId="0E9C75FA" w14:textId="77777777" w:rsidR="00000000" w:rsidRDefault="00C01C43">
            <w:pPr>
              <w:rPr>
                <w:rFonts w:eastAsia="Times New Roman"/>
                <w:sz w:val="20"/>
                <w:szCs w:val="20"/>
              </w:rPr>
            </w:pPr>
          </w:p>
        </w:tc>
        <w:tc>
          <w:tcPr>
            <w:tcW w:w="50" w:type="pct"/>
            <w:vAlign w:val="center"/>
            <w:hideMark/>
          </w:tcPr>
          <w:p w14:paraId="2366A454" w14:textId="77777777" w:rsidR="00000000" w:rsidRDefault="00C01C43">
            <w:pPr>
              <w:rPr>
                <w:rFonts w:eastAsia="Times New Roman"/>
                <w:sz w:val="20"/>
                <w:szCs w:val="20"/>
              </w:rPr>
            </w:pPr>
          </w:p>
        </w:tc>
        <w:tc>
          <w:tcPr>
            <w:tcW w:w="354" w:type="pct"/>
            <w:vAlign w:val="center"/>
            <w:hideMark/>
          </w:tcPr>
          <w:p w14:paraId="33BB004F" w14:textId="77777777" w:rsidR="00000000" w:rsidRDefault="00C01C43">
            <w:pPr>
              <w:rPr>
                <w:rFonts w:eastAsia="Times New Roman"/>
                <w:sz w:val="20"/>
                <w:szCs w:val="20"/>
              </w:rPr>
            </w:pPr>
          </w:p>
        </w:tc>
        <w:tc>
          <w:tcPr>
            <w:tcW w:w="5" w:type="pct"/>
            <w:vAlign w:val="center"/>
            <w:hideMark/>
          </w:tcPr>
          <w:p w14:paraId="2807AFB7" w14:textId="77777777" w:rsidR="00000000" w:rsidRDefault="00C01C43">
            <w:pPr>
              <w:rPr>
                <w:rFonts w:eastAsia="Times New Roman"/>
                <w:sz w:val="20"/>
                <w:szCs w:val="20"/>
              </w:rPr>
            </w:pPr>
          </w:p>
        </w:tc>
        <w:tc>
          <w:tcPr>
            <w:tcW w:w="5" w:type="pct"/>
            <w:vAlign w:val="center"/>
            <w:hideMark/>
          </w:tcPr>
          <w:p w14:paraId="49ECD13A" w14:textId="77777777" w:rsidR="00000000" w:rsidRDefault="00C01C43">
            <w:pPr>
              <w:rPr>
                <w:rFonts w:eastAsia="Times New Roman"/>
                <w:sz w:val="20"/>
                <w:szCs w:val="20"/>
              </w:rPr>
            </w:pPr>
          </w:p>
        </w:tc>
        <w:tc>
          <w:tcPr>
            <w:tcW w:w="41" w:type="pct"/>
            <w:vAlign w:val="center"/>
            <w:hideMark/>
          </w:tcPr>
          <w:p w14:paraId="1D237E6E" w14:textId="77777777" w:rsidR="00000000" w:rsidRDefault="00C01C43">
            <w:pPr>
              <w:rPr>
                <w:rFonts w:eastAsia="Times New Roman"/>
                <w:sz w:val="20"/>
                <w:szCs w:val="20"/>
              </w:rPr>
            </w:pPr>
          </w:p>
        </w:tc>
        <w:tc>
          <w:tcPr>
            <w:tcW w:w="5" w:type="pct"/>
            <w:vAlign w:val="center"/>
            <w:hideMark/>
          </w:tcPr>
          <w:p w14:paraId="75B60C10" w14:textId="77777777" w:rsidR="00000000" w:rsidRDefault="00C01C43">
            <w:pPr>
              <w:rPr>
                <w:rFonts w:eastAsia="Times New Roman"/>
                <w:sz w:val="20"/>
                <w:szCs w:val="20"/>
              </w:rPr>
            </w:pPr>
          </w:p>
        </w:tc>
        <w:tc>
          <w:tcPr>
            <w:tcW w:w="50" w:type="pct"/>
            <w:vAlign w:val="center"/>
            <w:hideMark/>
          </w:tcPr>
          <w:p w14:paraId="63F9B44D" w14:textId="77777777" w:rsidR="00000000" w:rsidRDefault="00C01C43">
            <w:pPr>
              <w:rPr>
                <w:rFonts w:eastAsia="Times New Roman"/>
                <w:sz w:val="20"/>
                <w:szCs w:val="20"/>
              </w:rPr>
            </w:pPr>
          </w:p>
        </w:tc>
        <w:tc>
          <w:tcPr>
            <w:tcW w:w="354" w:type="pct"/>
            <w:vAlign w:val="center"/>
            <w:hideMark/>
          </w:tcPr>
          <w:p w14:paraId="7D86DCCA" w14:textId="77777777" w:rsidR="00000000" w:rsidRDefault="00C01C43">
            <w:pPr>
              <w:rPr>
                <w:rFonts w:eastAsia="Times New Roman"/>
                <w:sz w:val="20"/>
                <w:szCs w:val="20"/>
              </w:rPr>
            </w:pPr>
          </w:p>
        </w:tc>
        <w:tc>
          <w:tcPr>
            <w:tcW w:w="5" w:type="pct"/>
            <w:vAlign w:val="center"/>
            <w:hideMark/>
          </w:tcPr>
          <w:p w14:paraId="39D12406" w14:textId="77777777" w:rsidR="00000000" w:rsidRDefault="00C01C43">
            <w:pPr>
              <w:rPr>
                <w:rFonts w:eastAsia="Times New Roman"/>
                <w:sz w:val="20"/>
                <w:szCs w:val="20"/>
              </w:rPr>
            </w:pPr>
          </w:p>
        </w:tc>
      </w:tr>
      <w:tr w:rsidR="00000000" w14:paraId="7FF8442E" w14:textId="77777777">
        <w:trPr>
          <w:divId w:val="453914570"/>
          <w:trHeight w:val="240"/>
        </w:trPr>
        <w:tc>
          <w:tcPr>
            <w:tcW w:w="0" w:type="auto"/>
            <w:gridSpan w:val="3"/>
            <w:tcMar>
              <w:top w:w="0" w:type="dxa"/>
              <w:left w:w="20" w:type="dxa"/>
              <w:bottom w:w="0" w:type="dxa"/>
              <w:right w:w="20" w:type="dxa"/>
            </w:tcMar>
            <w:vAlign w:val="center"/>
            <w:hideMark/>
          </w:tcPr>
          <w:p w14:paraId="21D71B2E"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543A829C"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63B17EC6"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2B59658C" w14:textId="77777777" w:rsidR="00000000" w:rsidRDefault="00C01C43">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14:paraId="1F9969C1" w14:textId="77777777" w:rsidR="00000000" w:rsidRDefault="00C01C43">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14:paraId="5B7AC5F0" w14:textId="77777777" w:rsidR="00000000" w:rsidRDefault="00C01C43">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14:paraId="10086434" w14:textId="77777777" w:rsidR="00000000" w:rsidRDefault="00C01C43">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14:paraId="2CF8D477" w14:textId="77777777" w:rsidR="00000000" w:rsidRDefault="00C01C43">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14:paraId="60FBAE33" w14:textId="77777777" w:rsidR="00000000" w:rsidRDefault="00C01C43">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14:paraId="3256B39E" w14:textId="77777777" w:rsidR="00000000" w:rsidRDefault="00C01C43">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14:paraId="43358D1D" w14:textId="77777777" w:rsidR="00000000" w:rsidRDefault="00C01C43">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14:paraId="78736DC5" w14:textId="77777777" w:rsidR="00000000" w:rsidRDefault="00C01C43">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14:paraId="7F470F68" w14:textId="77777777" w:rsidR="00000000" w:rsidRDefault="00C01C43">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14:paraId="6426F7E6" w14:textId="77777777" w:rsidR="00000000" w:rsidRDefault="00C01C43">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14:paraId="46011AC8" w14:textId="77777777" w:rsidR="00000000" w:rsidRDefault="00C01C43">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14:paraId="336D3789" w14:textId="77777777" w:rsidR="00000000" w:rsidRDefault="00C01C43">
            <w:pPr>
              <w:rPr>
                <w:rFonts w:eastAsia="Times New Roman"/>
                <w:sz w:val="20"/>
                <w:szCs w:val="20"/>
              </w:rPr>
            </w:pPr>
          </w:p>
        </w:tc>
      </w:tr>
      <w:tr w:rsidR="00000000" w14:paraId="046177D2" w14:textId="77777777">
        <w:trPr>
          <w:divId w:val="453914570"/>
        </w:trPr>
        <w:tc>
          <w:tcPr>
            <w:tcW w:w="0" w:type="auto"/>
            <w:gridSpan w:val="3"/>
            <w:tcMar>
              <w:top w:w="0" w:type="dxa"/>
              <w:left w:w="20" w:type="dxa"/>
              <w:bottom w:w="0" w:type="dxa"/>
              <w:right w:w="20" w:type="dxa"/>
            </w:tcMar>
            <w:vAlign w:val="center"/>
            <w:hideMark/>
          </w:tcPr>
          <w:p w14:paraId="725C8880"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62ED9700"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4FC6C89F" w14:textId="77777777" w:rsidR="00000000" w:rsidRDefault="00C01C43">
            <w:pPr>
              <w:rPr>
                <w:rFonts w:eastAsia="Times New Roman"/>
                <w:sz w:val="20"/>
                <w:szCs w:val="20"/>
              </w:rPr>
            </w:pPr>
          </w:p>
        </w:tc>
        <w:tc>
          <w:tcPr>
            <w:tcW w:w="0" w:type="auto"/>
            <w:gridSpan w:val="39"/>
            <w:tcBorders>
              <w:top w:val="single" w:sz="8" w:space="0" w:color="000000"/>
              <w:bottom w:val="single" w:sz="8" w:space="0" w:color="000000"/>
            </w:tcBorders>
            <w:tcMar>
              <w:top w:w="30" w:type="dxa"/>
              <w:left w:w="20" w:type="dxa"/>
              <w:bottom w:w="30" w:type="dxa"/>
              <w:right w:w="20" w:type="dxa"/>
            </w:tcMar>
            <w:hideMark/>
          </w:tcPr>
          <w:p w14:paraId="180B4BA3" w14:textId="77777777" w:rsidR="00000000" w:rsidRDefault="00C01C43">
            <w:pPr>
              <w:jc w:val="center"/>
              <w:rPr>
                <w:rFonts w:eastAsia="Times New Roman"/>
              </w:rPr>
            </w:pPr>
            <w:r>
              <w:rPr>
                <w:rFonts w:ascii="Arial" w:eastAsia="Times New Roman" w:hAnsi="Arial" w:cs="Arial"/>
                <w:b/>
                <w:bCs/>
                <w:color w:val="000000"/>
                <w:sz w:val="16"/>
                <w:szCs w:val="16"/>
              </w:rPr>
              <w:t>Location and Amount of Gain and (Loss) Recognized in Income on Fair Value and Cash Flow Hedging Relationships</w:t>
            </w:r>
          </w:p>
        </w:tc>
      </w:tr>
      <w:tr w:rsidR="00000000" w14:paraId="79B5AFBD" w14:textId="77777777">
        <w:trPr>
          <w:divId w:val="453914570"/>
        </w:trPr>
        <w:tc>
          <w:tcPr>
            <w:tcW w:w="0" w:type="auto"/>
            <w:gridSpan w:val="3"/>
            <w:tcMar>
              <w:top w:w="0" w:type="dxa"/>
              <w:left w:w="20" w:type="dxa"/>
              <w:bottom w:w="0" w:type="dxa"/>
              <w:right w:w="20" w:type="dxa"/>
            </w:tcMar>
            <w:vAlign w:val="center"/>
            <w:hideMark/>
          </w:tcPr>
          <w:p w14:paraId="2A3E7155"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388E8CA4"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4FB64359" w14:textId="77777777" w:rsidR="00000000" w:rsidRDefault="00C01C43">
            <w:pPr>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14:paraId="1E428A05" w14:textId="77777777" w:rsidR="00000000" w:rsidRDefault="00C01C43">
            <w:pPr>
              <w:jc w:val="center"/>
              <w:rPr>
                <w:rFonts w:eastAsia="Times New Roman"/>
              </w:rPr>
            </w:pPr>
            <w:r>
              <w:rPr>
                <w:rFonts w:ascii="Arial" w:eastAsia="Times New Roman" w:hAnsi="Arial" w:cs="Arial"/>
                <w:b/>
                <w:bCs/>
                <w:color w:val="000000"/>
                <w:sz w:val="16"/>
                <w:szCs w:val="16"/>
              </w:rPr>
              <w:t>For the Twelve Months Ended December 31,</w:t>
            </w:r>
          </w:p>
        </w:tc>
      </w:tr>
      <w:tr w:rsidR="00000000" w14:paraId="3F0A630A" w14:textId="77777777">
        <w:trPr>
          <w:divId w:val="453914570"/>
        </w:trPr>
        <w:tc>
          <w:tcPr>
            <w:tcW w:w="0" w:type="auto"/>
            <w:gridSpan w:val="3"/>
            <w:tcMar>
              <w:top w:w="0" w:type="dxa"/>
              <w:left w:w="20" w:type="dxa"/>
              <w:bottom w:w="0" w:type="dxa"/>
              <w:right w:w="20" w:type="dxa"/>
            </w:tcMar>
            <w:vAlign w:val="center"/>
            <w:hideMark/>
          </w:tcPr>
          <w:p w14:paraId="4A23E244"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5DAC273D"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306A3583" w14:textId="77777777" w:rsidR="00000000" w:rsidRDefault="00C01C43">
            <w:pPr>
              <w:rPr>
                <w:rFonts w:eastAsia="Times New Roman"/>
                <w:sz w:val="20"/>
                <w:szCs w:val="20"/>
              </w:rPr>
            </w:pPr>
          </w:p>
        </w:tc>
        <w:tc>
          <w:tcPr>
            <w:tcW w:w="0" w:type="auto"/>
            <w:gridSpan w:val="15"/>
            <w:tcMar>
              <w:top w:w="30" w:type="dxa"/>
              <w:left w:w="20" w:type="dxa"/>
              <w:bottom w:w="30" w:type="dxa"/>
              <w:right w:w="20" w:type="dxa"/>
            </w:tcMar>
            <w:vAlign w:val="bottom"/>
            <w:hideMark/>
          </w:tcPr>
          <w:p w14:paraId="7593C112"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4062D19D" w14:textId="77777777" w:rsidR="00000000" w:rsidRDefault="00C01C43">
            <w:pPr>
              <w:jc w:val="center"/>
              <w:rPr>
                <w:rFonts w:eastAsia="Times New Roman"/>
              </w:rPr>
            </w:pPr>
          </w:p>
        </w:tc>
        <w:tc>
          <w:tcPr>
            <w:tcW w:w="0" w:type="auto"/>
            <w:gridSpan w:val="9"/>
            <w:tcMar>
              <w:top w:w="30" w:type="dxa"/>
              <w:left w:w="20" w:type="dxa"/>
              <w:bottom w:w="30" w:type="dxa"/>
              <w:right w:w="20" w:type="dxa"/>
            </w:tcMar>
            <w:vAlign w:val="bottom"/>
            <w:hideMark/>
          </w:tcPr>
          <w:p w14:paraId="2A105A77"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506B4652" w14:textId="77777777" w:rsidR="00000000" w:rsidRDefault="00C01C43">
            <w:pPr>
              <w:jc w:val="center"/>
              <w:rPr>
                <w:rFonts w:eastAsia="Times New Roman"/>
              </w:rPr>
            </w:pPr>
          </w:p>
        </w:tc>
        <w:tc>
          <w:tcPr>
            <w:tcW w:w="0" w:type="auto"/>
            <w:gridSpan w:val="9"/>
            <w:tcMar>
              <w:top w:w="30" w:type="dxa"/>
              <w:left w:w="20" w:type="dxa"/>
              <w:bottom w:w="30" w:type="dxa"/>
              <w:right w:w="20" w:type="dxa"/>
            </w:tcMar>
            <w:hideMark/>
          </w:tcPr>
          <w:p w14:paraId="3E758F61"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42A824A9" w14:textId="77777777">
        <w:trPr>
          <w:divId w:val="453914570"/>
        </w:trPr>
        <w:tc>
          <w:tcPr>
            <w:tcW w:w="0" w:type="auto"/>
            <w:gridSpan w:val="6"/>
            <w:shd w:val="clear" w:color="auto" w:fill="CCEEFF"/>
            <w:tcMar>
              <w:top w:w="0" w:type="dxa"/>
              <w:left w:w="20" w:type="dxa"/>
              <w:bottom w:w="0" w:type="dxa"/>
              <w:right w:w="20" w:type="dxa"/>
            </w:tcMar>
            <w:vAlign w:val="center"/>
            <w:hideMark/>
          </w:tcPr>
          <w:p w14:paraId="0C865891" w14:textId="77777777" w:rsidR="00000000" w:rsidRDefault="00C01C43">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075AA"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1AEBD12" w14:textId="77777777" w:rsidR="00000000" w:rsidRDefault="00C01C43">
            <w:pPr>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982BDC" w14:textId="77777777" w:rsidR="00000000" w:rsidRDefault="00C01C43">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3D78C55" w14:textId="77777777" w:rsidR="00000000" w:rsidRDefault="00C01C43">
            <w:pPr>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2F8AEC" w14:textId="77777777" w:rsidR="00000000" w:rsidRDefault="00C01C43">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DF144BF" w14:textId="77777777" w:rsidR="00000000" w:rsidRDefault="00C01C43">
            <w:pPr>
              <w:jc w:val="center"/>
              <w:rPr>
                <w:rFonts w:eastAsia="Times New Roman"/>
              </w:rPr>
            </w:pPr>
            <w:r>
              <w:rPr>
                <w:rFonts w:ascii="Arial" w:eastAsia="Times New Roman" w:hAnsi="Arial" w:cs="Arial"/>
                <w:b/>
                <w:bCs/>
                <w:color w:val="000000"/>
                <w:sz w:val="16"/>
                <w:szCs w:val="16"/>
              </w:rPr>
              <w:t>Interest expense and other financing costs,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E71208" w14:textId="77777777" w:rsidR="00000000" w:rsidRDefault="00C01C43">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AAB6AB1" w14:textId="77777777" w:rsidR="00000000" w:rsidRDefault="00C01C43">
            <w:pPr>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28BB1A" w14:textId="77777777" w:rsidR="00000000" w:rsidRDefault="00C01C43">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E9EB421" w14:textId="77777777" w:rsidR="00000000" w:rsidRDefault="00C01C43">
            <w:pPr>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712E2E" w14:textId="77777777" w:rsidR="00000000" w:rsidRDefault="00C01C43">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6056C88" w14:textId="77777777" w:rsidR="00000000" w:rsidRDefault="00C01C43">
            <w:pPr>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2184BB" w14:textId="77777777" w:rsidR="00000000" w:rsidRDefault="00C01C43">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5EDE647" w14:textId="77777777" w:rsidR="00000000" w:rsidRDefault="00C01C43">
            <w:pPr>
              <w:jc w:val="center"/>
              <w:rPr>
                <w:rFonts w:eastAsia="Times New Roman"/>
              </w:rPr>
            </w:pPr>
            <w:r>
              <w:rPr>
                <w:rFonts w:ascii="Arial" w:eastAsia="Times New Roman" w:hAnsi="Arial" w:cs="Arial"/>
                <w:b/>
                <w:bCs/>
                <w:color w:val="000000"/>
                <w:sz w:val="16"/>
                <w:szCs w:val="16"/>
              </w:rPr>
              <w:t>Cost of Revenue</w:t>
            </w:r>
          </w:p>
        </w:tc>
      </w:tr>
      <w:tr w:rsidR="00C01C43" w14:paraId="57FD1581" w14:textId="77777777">
        <w:trPr>
          <w:divId w:val="453914570"/>
        </w:trPr>
        <w:tc>
          <w:tcPr>
            <w:tcW w:w="0" w:type="auto"/>
            <w:gridSpan w:val="6"/>
            <w:shd w:val="clear" w:color="auto" w:fill="FFFFFF"/>
            <w:tcMar>
              <w:top w:w="30" w:type="dxa"/>
              <w:left w:w="20" w:type="dxa"/>
              <w:bottom w:w="30" w:type="dxa"/>
              <w:right w:w="20" w:type="dxa"/>
            </w:tcMar>
            <w:hideMark/>
          </w:tcPr>
          <w:p w14:paraId="47932C67" w14:textId="77777777" w:rsidR="00000000" w:rsidRDefault="00C01C43">
            <w:pPr>
              <w:rPr>
                <w:rFonts w:eastAsia="Times New Roman"/>
              </w:rPr>
            </w:pPr>
            <w:r>
              <w:rPr>
                <w:rFonts w:ascii="Arial" w:eastAsia="Times New Roman" w:hAnsi="Arial" w:cs="Arial"/>
                <w:color w:val="000000"/>
                <w:sz w:val="16"/>
                <w:szCs w:val="16"/>
              </w:rPr>
              <w:t>Total amounts of income and expense line items in which the effects of fair value or cash flow hedged are recorded</w:t>
            </w:r>
          </w:p>
        </w:tc>
        <w:tc>
          <w:tcPr>
            <w:tcW w:w="0" w:type="auto"/>
            <w:gridSpan w:val="3"/>
            <w:shd w:val="clear" w:color="auto" w:fill="FFFFFF"/>
            <w:tcMar>
              <w:top w:w="0" w:type="dxa"/>
              <w:left w:w="20" w:type="dxa"/>
              <w:bottom w:w="0" w:type="dxa"/>
              <w:right w:w="20" w:type="dxa"/>
            </w:tcMar>
            <w:vAlign w:val="center"/>
            <w:hideMark/>
          </w:tcPr>
          <w:p w14:paraId="741B506B" w14:textId="77777777" w:rsidR="00000000" w:rsidRDefault="00C01C4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6E91361"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699497A" w14:textId="77777777" w:rsidR="00000000" w:rsidRDefault="00C01C43">
            <w:pPr>
              <w:jc w:val="right"/>
              <w:rPr>
                <w:rFonts w:eastAsia="Times New Roman"/>
              </w:rPr>
            </w:pPr>
            <w:r>
              <w:rPr>
                <w:rFonts w:ascii="Arial" w:eastAsia="Times New Roman" w:hAnsi="Arial" w:cs="Arial"/>
                <w:color w:val="000000"/>
                <w:sz w:val="16"/>
                <w:szCs w:val="16"/>
              </w:rPr>
              <w:t>20,358.3 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1A4B3FA"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992B74"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D24CC5E"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7C12593" w14:textId="77777777" w:rsidR="00000000" w:rsidRDefault="00C01C43">
            <w:pPr>
              <w:jc w:val="right"/>
              <w:rPr>
                <w:rFonts w:eastAsia="Times New Roman"/>
              </w:rPr>
            </w:pPr>
            <w:r>
              <w:rPr>
                <w:rFonts w:ascii="Arial" w:eastAsia="Times New Roman" w:hAnsi="Arial" w:cs="Arial"/>
                <w:color w:val="000000"/>
                <w:sz w:val="16"/>
                <w:szCs w:val="16"/>
              </w:rPr>
              <w:t>19,506.5 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7CB5E74"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FF3711D"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94751CE"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01A37BB" w14:textId="77777777" w:rsidR="00000000" w:rsidRDefault="00C01C43">
            <w:pPr>
              <w:jc w:val="right"/>
              <w:rPr>
                <w:rFonts w:eastAsia="Times New Roman"/>
              </w:rPr>
            </w:pPr>
            <w:r>
              <w:rPr>
                <w:rFonts w:ascii="Arial" w:eastAsia="Times New Roman" w:hAnsi="Arial" w:cs="Arial"/>
                <w:color w:val="000000"/>
                <w:sz w:val="16"/>
                <w:szCs w:val="16"/>
              </w:rPr>
              <w:t>48.6 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8D8F05B"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5898A5B"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88DA0D9"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C606BDE" w14:textId="77777777" w:rsidR="00000000" w:rsidRDefault="00C01C43">
            <w:pPr>
              <w:jc w:val="right"/>
              <w:rPr>
                <w:rFonts w:eastAsia="Times New Roman"/>
              </w:rPr>
            </w:pPr>
            <w:r>
              <w:rPr>
                <w:rFonts w:ascii="Arial" w:eastAsia="Times New Roman" w:hAnsi="Arial" w:cs="Arial"/>
                <w:color w:val="000000"/>
                <w:sz w:val="16"/>
                <w:szCs w:val="16"/>
              </w:rPr>
              <w:t>36,819.0 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A16DE9D"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672B5E"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2F77211"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9DFC380" w14:textId="77777777" w:rsidR="00000000" w:rsidRDefault="00C01C43">
            <w:pPr>
              <w:jc w:val="right"/>
              <w:rPr>
                <w:rFonts w:eastAsia="Times New Roman"/>
              </w:rPr>
            </w:pPr>
            <w:r>
              <w:rPr>
                <w:rFonts w:ascii="Arial" w:eastAsia="Times New Roman" w:hAnsi="Arial" w:cs="Arial"/>
                <w:color w:val="000000"/>
                <w:sz w:val="16"/>
                <w:szCs w:val="16"/>
              </w:rPr>
              <w:t>35,707.0 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5BF0B8"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A2EC045"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E9319F7"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C57FF29" w14:textId="77777777" w:rsidR="00000000" w:rsidRDefault="00C01C43">
            <w:pPr>
              <w:jc w:val="right"/>
              <w:rPr>
                <w:rFonts w:eastAsia="Times New Roman"/>
              </w:rPr>
            </w:pPr>
            <w:r>
              <w:rPr>
                <w:rFonts w:ascii="Arial" w:eastAsia="Times New Roman" w:hAnsi="Arial" w:cs="Arial"/>
                <w:color w:val="000000"/>
                <w:sz w:val="16"/>
                <w:szCs w:val="16"/>
              </w:rPr>
              <w:t>39,750.3 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E4870E"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1E2902"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818148E"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ED97BD4" w14:textId="77777777" w:rsidR="00000000" w:rsidRDefault="00C01C43">
            <w:pPr>
              <w:jc w:val="right"/>
              <w:rPr>
                <w:rFonts w:eastAsia="Times New Roman"/>
              </w:rPr>
            </w:pPr>
            <w:r>
              <w:rPr>
                <w:rFonts w:ascii="Arial" w:eastAsia="Times New Roman" w:hAnsi="Arial" w:cs="Arial"/>
                <w:color w:val="000000"/>
                <w:sz w:val="16"/>
                <w:szCs w:val="16"/>
              </w:rPr>
              <w:t>38,731.8 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7051C1" w14:textId="77777777" w:rsidR="00000000" w:rsidRDefault="00C01C43">
            <w:pPr>
              <w:jc w:val="right"/>
              <w:rPr>
                <w:rFonts w:eastAsia="Times New Roman"/>
              </w:rPr>
            </w:pPr>
          </w:p>
        </w:tc>
      </w:tr>
      <w:tr w:rsidR="00000000" w14:paraId="63A9CC50" w14:textId="77777777">
        <w:trPr>
          <w:divId w:val="453914570"/>
        </w:trPr>
        <w:tc>
          <w:tcPr>
            <w:tcW w:w="0" w:type="auto"/>
            <w:gridSpan w:val="6"/>
            <w:shd w:val="clear" w:color="auto" w:fill="CCEEFF"/>
            <w:tcMar>
              <w:top w:w="30" w:type="dxa"/>
              <w:left w:w="140" w:type="dxa"/>
              <w:bottom w:w="30" w:type="dxa"/>
              <w:right w:w="20" w:type="dxa"/>
            </w:tcMar>
            <w:hideMark/>
          </w:tcPr>
          <w:p w14:paraId="232EDF24" w14:textId="77777777" w:rsidR="00000000" w:rsidRDefault="00C01C43">
            <w:pPr>
              <w:rPr>
                <w:rFonts w:eastAsia="Times New Roman"/>
              </w:rPr>
            </w:pPr>
            <w:r>
              <w:rPr>
                <w:rFonts w:ascii="Arial" w:eastAsia="Times New Roman" w:hAnsi="Arial" w:cs="Arial"/>
                <w:color w:val="000000"/>
                <w:sz w:val="16"/>
                <w:szCs w:val="16"/>
              </w:rPr>
              <w:t>Gain (Loss) on fair value hedge relationships</w:t>
            </w:r>
          </w:p>
        </w:tc>
        <w:tc>
          <w:tcPr>
            <w:tcW w:w="0" w:type="auto"/>
            <w:gridSpan w:val="3"/>
            <w:shd w:val="clear" w:color="auto" w:fill="CCEEFF"/>
            <w:tcMar>
              <w:top w:w="0" w:type="dxa"/>
              <w:left w:w="20" w:type="dxa"/>
              <w:bottom w:w="0" w:type="dxa"/>
              <w:right w:w="20" w:type="dxa"/>
            </w:tcMar>
            <w:vAlign w:val="center"/>
            <w:hideMark/>
          </w:tcPr>
          <w:p w14:paraId="5833236C" w14:textId="77777777" w:rsidR="00000000" w:rsidRDefault="00C01C4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2BAAE"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2073E2"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0A9AAA"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DC455F"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5E30A5"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7CE968"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130EDA"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2D9364"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7C4722"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C1BB19"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335617"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7AB068"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CE6FF5" w14:textId="77777777" w:rsidR="00000000" w:rsidRDefault="00C01C43">
            <w:pPr>
              <w:rPr>
                <w:rFonts w:eastAsia="Times New Roman"/>
                <w:sz w:val="20"/>
                <w:szCs w:val="20"/>
              </w:rPr>
            </w:pPr>
          </w:p>
        </w:tc>
      </w:tr>
      <w:tr w:rsidR="00000000" w14:paraId="27A6DF85" w14:textId="77777777">
        <w:trPr>
          <w:divId w:val="453914570"/>
        </w:trPr>
        <w:tc>
          <w:tcPr>
            <w:tcW w:w="0" w:type="auto"/>
            <w:gridSpan w:val="6"/>
            <w:shd w:val="clear" w:color="auto" w:fill="FFFFFF"/>
            <w:tcMar>
              <w:top w:w="30" w:type="dxa"/>
              <w:left w:w="125" w:type="dxa"/>
              <w:bottom w:w="30" w:type="dxa"/>
              <w:right w:w="20" w:type="dxa"/>
            </w:tcMar>
            <w:hideMark/>
          </w:tcPr>
          <w:p w14:paraId="04100FC1" w14:textId="77777777" w:rsidR="00000000" w:rsidRDefault="00C01C43">
            <w:pPr>
              <w:rPr>
                <w:rFonts w:eastAsia="Times New Roman"/>
              </w:rPr>
            </w:pPr>
            <w:r>
              <w:rPr>
                <w:rFonts w:ascii="Arial" w:eastAsia="Times New Roman" w:hAnsi="Arial" w:cs="Arial"/>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14:paraId="773907CC" w14:textId="77777777" w:rsidR="00000000" w:rsidRDefault="00C01C43">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D0F26"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6B1053"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5E3318"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DAEB9F"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8E0CAC"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89217C"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D68DC2"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08FAC2"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88AF8D"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C3B492"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F34B17"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94632F"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ADD3E6" w14:textId="77777777" w:rsidR="00000000" w:rsidRDefault="00C01C43">
            <w:pPr>
              <w:rPr>
                <w:rFonts w:eastAsia="Times New Roman"/>
                <w:sz w:val="20"/>
                <w:szCs w:val="20"/>
              </w:rPr>
            </w:pPr>
          </w:p>
        </w:tc>
      </w:tr>
      <w:tr w:rsidR="00000000" w14:paraId="06A45BFA" w14:textId="77777777">
        <w:trPr>
          <w:divId w:val="453914570"/>
        </w:trPr>
        <w:tc>
          <w:tcPr>
            <w:tcW w:w="0" w:type="auto"/>
            <w:gridSpan w:val="3"/>
            <w:shd w:val="clear" w:color="auto" w:fill="CCEEFF"/>
            <w:tcMar>
              <w:top w:w="0" w:type="dxa"/>
              <w:left w:w="20" w:type="dxa"/>
              <w:bottom w:w="0" w:type="dxa"/>
              <w:right w:w="20" w:type="dxa"/>
            </w:tcMar>
            <w:vAlign w:val="center"/>
            <w:hideMark/>
          </w:tcPr>
          <w:p w14:paraId="47D9B74D" w14:textId="77777777" w:rsidR="00000000" w:rsidRDefault="00C01C43">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0659DCFB" w14:textId="77777777" w:rsidR="00000000" w:rsidRDefault="00C01C43">
            <w:pPr>
              <w:rPr>
                <w:rFonts w:eastAsia="Times New Roman"/>
              </w:rPr>
            </w:pPr>
            <w:r>
              <w:rPr>
                <w:rFonts w:ascii="Arial" w:eastAsia="Times New Roman" w:hAnsi="Arial" w:cs="Arial"/>
                <w:color w:val="000000"/>
                <w:sz w:val="16"/>
                <w:szCs w:val="16"/>
              </w:rPr>
              <w:t>Hedged Item</w:t>
            </w:r>
          </w:p>
        </w:tc>
        <w:tc>
          <w:tcPr>
            <w:tcW w:w="0" w:type="auto"/>
            <w:gridSpan w:val="3"/>
            <w:shd w:val="clear" w:color="auto" w:fill="CCEEFF"/>
            <w:tcMar>
              <w:top w:w="0" w:type="dxa"/>
              <w:left w:w="20" w:type="dxa"/>
              <w:bottom w:w="0" w:type="dxa"/>
              <w:right w:w="20" w:type="dxa"/>
            </w:tcMar>
            <w:vAlign w:val="center"/>
            <w:hideMark/>
          </w:tcPr>
          <w:p w14:paraId="407F3671"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B585BCC"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37C69DA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9A723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1CBFCA" w14:textId="77777777" w:rsidR="00000000" w:rsidRDefault="00C01C43">
            <w:pPr>
              <w:jc w:val="right"/>
              <w:rPr>
                <w:rFonts w:eastAsia="Times New Roman"/>
              </w:rPr>
            </w:pPr>
            <w:r>
              <w:rPr>
                <w:rFonts w:ascii="Arial" w:eastAsia="Times New Roman" w:hAnsi="Arial" w:cs="Arial"/>
                <w:color w:val="000000"/>
                <w:sz w:val="16"/>
                <w:szCs w:val="16"/>
              </w:rPr>
              <w:t>(8.2)</w:t>
            </w:r>
          </w:p>
        </w:tc>
        <w:tc>
          <w:tcPr>
            <w:tcW w:w="0" w:type="auto"/>
            <w:shd w:val="clear" w:color="auto" w:fill="CCEEFF"/>
            <w:tcMar>
              <w:top w:w="30" w:type="dxa"/>
              <w:left w:w="0" w:type="dxa"/>
              <w:bottom w:w="30" w:type="dxa"/>
              <w:right w:w="20" w:type="dxa"/>
            </w:tcMar>
            <w:vAlign w:val="center"/>
            <w:hideMark/>
          </w:tcPr>
          <w:p w14:paraId="0AF65C0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34985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C4EC65"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11AD874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2C800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39157D"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67FA410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DF44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B1F560" w14:textId="77777777" w:rsidR="00000000" w:rsidRDefault="00C01C43">
            <w:pPr>
              <w:jc w:val="right"/>
              <w:rPr>
                <w:rFonts w:eastAsia="Times New Roman"/>
              </w:rPr>
            </w:pPr>
            <w:r>
              <w:rPr>
                <w:rFonts w:ascii="Arial" w:eastAsia="Times New Roman" w:hAnsi="Arial" w:cs="Arial"/>
                <w:color w:val="000000"/>
                <w:sz w:val="16"/>
                <w:szCs w:val="16"/>
              </w:rPr>
              <w:t>18.1 </w:t>
            </w:r>
          </w:p>
        </w:tc>
        <w:tc>
          <w:tcPr>
            <w:tcW w:w="0" w:type="auto"/>
            <w:shd w:val="clear" w:color="auto" w:fill="CCEEFF"/>
            <w:tcMar>
              <w:top w:w="30" w:type="dxa"/>
              <w:left w:w="0" w:type="dxa"/>
              <w:bottom w:w="30" w:type="dxa"/>
              <w:right w:w="20" w:type="dxa"/>
            </w:tcMar>
            <w:vAlign w:val="center"/>
            <w:hideMark/>
          </w:tcPr>
          <w:p w14:paraId="6A1F680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77E1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DCD0C8"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0A426AB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5A59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AE2590" w14:textId="77777777" w:rsidR="00000000" w:rsidRDefault="00C01C43">
            <w:pPr>
              <w:jc w:val="right"/>
              <w:rPr>
                <w:rFonts w:eastAsia="Times New Roman"/>
              </w:rPr>
            </w:pPr>
            <w:r>
              <w:rPr>
                <w:rFonts w:ascii="Arial" w:eastAsia="Times New Roman" w:hAnsi="Arial" w:cs="Arial"/>
                <w:color w:val="000000"/>
                <w:sz w:val="16"/>
                <w:szCs w:val="16"/>
              </w:rPr>
              <w:t>(1.6)</w:t>
            </w:r>
          </w:p>
        </w:tc>
        <w:tc>
          <w:tcPr>
            <w:tcW w:w="0" w:type="auto"/>
            <w:shd w:val="clear" w:color="auto" w:fill="CCEEFF"/>
            <w:tcMar>
              <w:top w:w="30" w:type="dxa"/>
              <w:left w:w="0" w:type="dxa"/>
              <w:bottom w:w="30" w:type="dxa"/>
              <w:right w:w="20" w:type="dxa"/>
            </w:tcMar>
            <w:vAlign w:val="center"/>
            <w:hideMark/>
          </w:tcPr>
          <w:p w14:paraId="73E3D662" w14:textId="77777777" w:rsidR="00000000" w:rsidRDefault="00C01C43">
            <w:pPr>
              <w:jc w:val="right"/>
              <w:rPr>
                <w:rFonts w:eastAsia="Times New Roman"/>
              </w:rPr>
            </w:pPr>
          </w:p>
        </w:tc>
      </w:tr>
      <w:tr w:rsidR="00000000" w14:paraId="5C36C472" w14:textId="77777777">
        <w:trPr>
          <w:divId w:val="453914570"/>
        </w:trPr>
        <w:tc>
          <w:tcPr>
            <w:tcW w:w="0" w:type="auto"/>
            <w:gridSpan w:val="3"/>
            <w:shd w:val="clear" w:color="auto" w:fill="FFFFFF"/>
            <w:tcMar>
              <w:top w:w="0" w:type="dxa"/>
              <w:left w:w="20" w:type="dxa"/>
              <w:bottom w:w="0" w:type="dxa"/>
              <w:right w:w="20" w:type="dxa"/>
            </w:tcMar>
            <w:vAlign w:val="center"/>
            <w:hideMark/>
          </w:tcPr>
          <w:p w14:paraId="6A69285C" w14:textId="77777777" w:rsidR="00000000" w:rsidRDefault="00C01C43">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5F3E4782" w14:textId="77777777" w:rsidR="00000000" w:rsidRDefault="00C01C43">
            <w:pPr>
              <w:rPr>
                <w:rFonts w:eastAsia="Times New Roman"/>
              </w:rPr>
            </w:pPr>
            <w:r>
              <w:rPr>
                <w:rFonts w:ascii="Arial" w:eastAsia="Times New Roman" w:hAnsi="Arial" w:cs="Arial"/>
                <w:color w:val="000000"/>
                <w:sz w:val="16"/>
                <w:szCs w:val="16"/>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14:paraId="734A2A41"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F43EC41"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center"/>
            <w:hideMark/>
          </w:tcPr>
          <w:p w14:paraId="6BCB888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407F5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61717D" w14:textId="77777777" w:rsidR="00000000" w:rsidRDefault="00C01C43">
            <w:pPr>
              <w:jc w:val="right"/>
              <w:rPr>
                <w:rFonts w:eastAsia="Times New Roman"/>
              </w:rPr>
            </w:pPr>
            <w:r>
              <w:rPr>
                <w:rFonts w:ascii="Arial" w:eastAsia="Times New Roman" w:hAnsi="Arial" w:cs="Arial"/>
                <w:color w:val="000000"/>
                <w:sz w:val="16"/>
                <w:szCs w:val="16"/>
              </w:rPr>
              <w:t>9.4 </w:t>
            </w:r>
          </w:p>
        </w:tc>
        <w:tc>
          <w:tcPr>
            <w:tcW w:w="0" w:type="auto"/>
            <w:shd w:val="clear" w:color="auto" w:fill="FFFFFF"/>
            <w:tcMar>
              <w:top w:w="30" w:type="dxa"/>
              <w:left w:w="0" w:type="dxa"/>
              <w:bottom w:w="30" w:type="dxa"/>
              <w:right w:w="20" w:type="dxa"/>
            </w:tcMar>
            <w:vAlign w:val="center"/>
            <w:hideMark/>
          </w:tcPr>
          <w:p w14:paraId="104B964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0579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BE029E"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center"/>
            <w:hideMark/>
          </w:tcPr>
          <w:p w14:paraId="6977466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D4E9E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1E5939"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center"/>
            <w:hideMark/>
          </w:tcPr>
          <w:p w14:paraId="1551C7C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6A28F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B22F05" w14:textId="77777777" w:rsidR="00000000" w:rsidRDefault="00C01C43">
            <w:pPr>
              <w:jc w:val="right"/>
              <w:rPr>
                <w:rFonts w:eastAsia="Times New Roman"/>
              </w:rPr>
            </w:pPr>
            <w:r>
              <w:rPr>
                <w:rFonts w:ascii="Arial" w:eastAsia="Times New Roman" w:hAnsi="Arial" w:cs="Arial"/>
                <w:color w:val="000000"/>
                <w:sz w:val="16"/>
                <w:szCs w:val="16"/>
              </w:rPr>
              <w:t>(16.1)</w:t>
            </w:r>
          </w:p>
        </w:tc>
        <w:tc>
          <w:tcPr>
            <w:tcW w:w="0" w:type="auto"/>
            <w:shd w:val="clear" w:color="auto" w:fill="FFFFFF"/>
            <w:tcMar>
              <w:top w:w="30" w:type="dxa"/>
              <w:left w:w="0" w:type="dxa"/>
              <w:bottom w:w="30" w:type="dxa"/>
              <w:right w:w="20" w:type="dxa"/>
            </w:tcMar>
            <w:vAlign w:val="center"/>
            <w:hideMark/>
          </w:tcPr>
          <w:p w14:paraId="0AC2C1F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6D60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9E7D99"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center"/>
            <w:hideMark/>
          </w:tcPr>
          <w:p w14:paraId="68453E8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7BD8A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33F0FD" w14:textId="77777777" w:rsidR="00000000" w:rsidRDefault="00C01C43">
            <w:pPr>
              <w:jc w:val="right"/>
              <w:rPr>
                <w:rFonts w:eastAsia="Times New Roman"/>
              </w:rPr>
            </w:pPr>
            <w:r>
              <w:rPr>
                <w:rFonts w:ascii="Arial" w:eastAsia="Times New Roman" w:hAnsi="Arial" w:cs="Arial"/>
                <w:color w:val="000000"/>
                <w:sz w:val="16"/>
                <w:szCs w:val="16"/>
              </w:rPr>
              <w:t>0.5 </w:t>
            </w:r>
          </w:p>
        </w:tc>
        <w:tc>
          <w:tcPr>
            <w:tcW w:w="0" w:type="auto"/>
            <w:shd w:val="clear" w:color="auto" w:fill="FFFFFF"/>
            <w:tcMar>
              <w:top w:w="30" w:type="dxa"/>
              <w:left w:w="0" w:type="dxa"/>
              <w:bottom w:w="30" w:type="dxa"/>
              <w:right w:w="20" w:type="dxa"/>
            </w:tcMar>
            <w:vAlign w:val="center"/>
            <w:hideMark/>
          </w:tcPr>
          <w:p w14:paraId="40B0DDB8" w14:textId="77777777" w:rsidR="00000000" w:rsidRDefault="00C01C43">
            <w:pPr>
              <w:jc w:val="right"/>
              <w:rPr>
                <w:rFonts w:eastAsia="Times New Roman"/>
              </w:rPr>
            </w:pPr>
          </w:p>
        </w:tc>
      </w:tr>
      <w:tr w:rsidR="00000000" w14:paraId="6D7F4C97" w14:textId="77777777">
        <w:trPr>
          <w:divId w:val="453914570"/>
        </w:trPr>
        <w:tc>
          <w:tcPr>
            <w:tcW w:w="0" w:type="auto"/>
            <w:gridSpan w:val="6"/>
            <w:shd w:val="clear" w:color="auto" w:fill="CCEEFF"/>
            <w:tcMar>
              <w:top w:w="30" w:type="dxa"/>
              <w:left w:w="140" w:type="dxa"/>
              <w:bottom w:w="30" w:type="dxa"/>
              <w:right w:w="20" w:type="dxa"/>
            </w:tcMar>
            <w:hideMark/>
          </w:tcPr>
          <w:p w14:paraId="3C1B1E3C" w14:textId="77777777" w:rsidR="00000000" w:rsidRDefault="00C01C43">
            <w:pPr>
              <w:rPr>
                <w:rFonts w:eastAsia="Times New Roman"/>
              </w:rPr>
            </w:pPr>
            <w:r>
              <w:rPr>
                <w:rFonts w:ascii="Arial" w:eastAsia="Times New Roman" w:hAnsi="Arial" w:cs="Arial"/>
                <w:color w:val="000000"/>
                <w:sz w:val="16"/>
                <w:szCs w:val="16"/>
              </w:rPr>
              <w:t>Gain (Loss) on cash flow hedge relationships</w:t>
            </w:r>
          </w:p>
        </w:tc>
        <w:tc>
          <w:tcPr>
            <w:tcW w:w="0" w:type="auto"/>
            <w:gridSpan w:val="3"/>
            <w:shd w:val="clear" w:color="auto" w:fill="CCEEFF"/>
            <w:tcMar>
              <w:top w:w="0" w:type="dxa"/>
              <w:left w:w="20" w:type="dxa"/>
              <w:bottom w:w="0" w:type="dxa"/>
              <w:right w:w="20" w:type="dxa"/>
            </w:tcMar>
            <w:vAlign w:val="center"/>
            <w:hideMark/>
          </w:tcPr>
          <w:p w14:paraId="7763AEF2" w14:textId="77777777" w:rsidR="00000000" w:rsidRDefault="00C01C4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B813C"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D9B66E"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389FC9"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56A561"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135F66"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3F7869"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FB425C"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2DCB1D"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D615F1"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148283"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DFABC3"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CD3F51"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02DA59" w14:textId="77777777" w:rsidR="00000000" w:rsidRDefault="00C01C43">
            <w:pPr>
              <w:rPr>
                <w:rFonts w:eastAsia="Times New Roman"/>
                <w:sz w:val="20"/>
                <w:szCs w:val="20"/>
              </w:rPr>
            </w:pPr>
          </w:p>
        </w:tc>
      </w:tr>
      <w:tr w:rsidR="00000000" w14:paraId="280C4872" w14:textId="77777777">
        <w:trPr>
          <w:divId w:val="453914570"/>
        </w:trPr>
        <w:tc>
          <w:tcPr>
            <w:tcW w:w="0" w:type="auto"/>
            <w:gridSpan w:val="6"/>
            <w:shd w:val="clear" w:color="auto" w:fill="FFFFFF"/>
            <w:tcMar>
              <w:top w:w="30" w:type="dxa"/>
              <w:left w:w="125" w:type="dxa"/>
              <w:bottom w:w="30" w:type="dxa"/>
              <w:right w:w="20" w:type="dxa"/>
            </w:tcMar>
            <w:hideMark/>
          </w:tcPr>
          <w:p w14:paraId="47AA28E7" w14:textId="77777777" w:rsidR="00000000" w:rsidRDefault="00C01C43">
            <w:pPr>
              <w:rPr>
                <w:rFonts w:eastAsia="Times New Roman"/>
              </w:rPr>
            </w:pPr>
            <w:r>
              <w:rPr>
                <w:rFonts w:ascii="Arial" w:eastAsia="Times New Roman" w:hAnsi="Arial" w:cs="Arial"/>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14:paraId="65EFFD0F" w14:textId="77777777" w:rsidR="00000000" w:rsidRDefault="00C01C43">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CC0BCE"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EDB222"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D78317"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CCE0CD"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D8CAF9"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EF9CA1"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58B517"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27FCB7"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16A549"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CFD331"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E5A0F8"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5D1D58"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3B7BE0" w14:textId="77777777" w:rsidR="00000000" w:rsidRDefault="00C01C43">
            <w:pPr>
              <w:rPr>
                <w:rFonts w:eastAsia="Times New Roman"/>
                <w:sz w:val="20"/>
                <w:szCs w:val="20"/>
              </w:rPr>
            </w:pPr>
          </w:p>
        </w:tc>
      </w:tr>
      <w:tr w:rsidR="00000000" w14:paraId="19A8CE54" w14:textId="77777777">
        <w:trPr>
          <w:divId w:val="453914570"/>
        </w:trPr>
        <w:tc>
          <w:tcPr>
            <w:tcW w:w="0" w:type="auto"/>
            <w:gridSpan w:val="3"/>
            <w:shd w:val="clear" w:color="auto" w:fill="CCEEFF"/>
            <w:tcMar>
              <w:top w:w="0" w:type="dxa"/>
              <w:left w:w="20" w:type="dxa"/>
              <w:bottom w:w="0" w:type="dxa"/>
              <w:right w:w="20" w:type="dxa"/>
            </w:tcMar>
            <w:vAlign w:val="center"/>
            <w:hideMark/>
          </w:tcPr>
          <w:p w14:paraId="7A4411DB" w14:textId="77777777" w:rsidR="00000000" w:rsidRDefault="00C01C43">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206DF399" w14:textId="77777777" w:rsidR="00000000" w:rsidRDefault="00C01C43">
            <w:pPr>
              <w:rPr>
                <w:rFonts w:eastAsia="Times New Roman"/>
              </w:rPr>
            </w:pPr>
            <w:r>
              <w:rPr>
                <w:rFonts w:ascii="Arial" w:eastAsia="Times New Roman" w:hAnsi="Arial" w:cs="Arial"/>
                <w:color w:val="000000"/>
                <w:sz w:val="16"/>
                <w:szCs w:val="16"/>
              </w:rPr>
              <w:t>Amount of Gain (Loss) Reclassified from Accumulated OCI into Income</w:t>
            </w:r>
          </w:p>
        </w:tc>
        <w:tc>
          <w:tcPr>
            <w:tcW w:w="0" w:type="auto"/>
            <w:gridSpan w:val="3"/>
            <w:shd w:val="clear" w:color="auto" w:fill="CCEEFF"/>
            <w:tcMar>
              <w:top w:w="0" w:type="dxa"/>
              <w:left w:w="20" w:type="dxa"/>
              <w:bottom w:w="0" w:type="dxa"/>
              <w:right w:w="20" w:type="dxa"/>
            </w:tcMar>
            <w:vAlign w:val="center"/>
            <w:hideMark/>
          </w:tcPr>
          <w:p w14:paraId="352703EF"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4CEA903" w14:textId="77777777" w:rsidR="00000000" w:rsidRDefault="00C01C43">
            <w:pPr>
              <w:jc w:val="right"/>
              <w:rPr>
                <w:rFonts w:eastAsia="Times New Roman"/>
              </w:rPr>
            </w:pPr>
            <w:r>
              <w:rPr>
                <w:rFonts w:ascii="Arial" w:eastAsia="Times New Roman" w:hAnsi="Arial" w:cs="Arial"/>
                <w:color w:val="000000"/>
                <w:sz w:val="16"/>
                <w:szCs w:val="16"/>
              </w:rPr>
              <w:t>31.3 </w:t>
            </w:r>
          </w:p>
        </w:tc>
        <w:tc>
          <w:tcPr>
            <w:tcW w:w="0" w:type="auto"/>
            <w:shd w:val="clear" w:color="auto" w:fill="CCEEFF"/>
            <w:tcMar>
              <w:top w:w="30" w:type="dxa"/>
              <w:left w:w="0" w:type="dxa"/>
              <w:bottom w:w="30" w:type="dxa"/>
              <w:right w:w="20" w:type="dxa"/>
            </w:tcMar>
            <w:vAlign w:val="center"/>
            <w:hideMark/>
          </w:tcPr>
          <w:p w14:paraId="7736B2F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7D075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8EC136" w14:textId="77777777" w:rsidR="00000000" w:rsidRDefault="00C01C43">
            <w:pPr>
              <w:jc w:val="right"/>
              <w:rPr>
                <w:rFonts w:eastAsia="Times New Roman"/>
              </w:rPr>
            </w:pPr>
            <w:r>
              <w:rPr>
                <w:rFonts w:ascii="Arial" w:eastAsia="Times New Roman" w:hAnsi="Arial" w:cs="Arial"/>
                <w:color w:val="000000"/>
                <w:sz w:val="16"/>
                <w:szCs w:val="16"/>
              </w:rPr>
              <w:t>(181.1)</w:t>
            </w:r>
          </w:p>
        </w:tc>
        <w:tc>
          <w:tcPr>
            <w:tcW w:w="0" w:type="auto"/>
            <w:shd w:val="clear" w:color="auto" w:fill="CCEEFF"/>
            <w:tcMar>
              <w:top w:w="30" w:type="dxa"/>
              <w:left w:w="0" w:type="dxa"/>
              <w:bottom w:w="30" w:type="dxa"/>
              <w:right w:w="20" w:type="dxa"/>
            </w:tcMar>
            <w:vAlign w:val="center"/>
            <w:hideMark/>
          </w:tcPr>
          <w:p w14:paraId="6297081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E1B2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051F08"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14844AA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0ACD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640C47" w14:textId="77777777" w:rsidR="00000000" w:rsidRDefault="00C01C43">
            <w:pPr>
              <w:jc w:val="right"/>
              <w:rPr>
                <w:rFonts w:eastAsia="Times New Roman"/>
              </w:rPr>
            </w:pPr>
            <w:r>
              <w:rPr>
                <w:rFonts w:ascii="Arial" w:eastAsia="Times New Roman" w:hAnsi="Arial" w:cs="Arial"/>
                <w:color w:val="000000"/>
                <w:sz w:val="16"/>
                <w:szCs w:val="16"/>
              </w:rPr>
              <w:t>(8.5)</w:t>
            </w:r>
          </w:p>
        </w:tc>
        <w:tc>
          <w:tcPr>
            <w:tcW w:w="0" w:type="auto"/>
            <w:shd w:val="clear" w:color="auto" w:fill="CCEEFF"/>
            <w:tcMar>
              <w:top w:w="30" w:type="dxa"/>
              <w:left w:w="0" w:type="dxa"/>
              <w:bottom w:w="30" w:type="dxa"/>
              <w:right w:w="20" w:type="dxa"/>
            </w:tcMar>
            <w:vAlign w:val="center"/>
            <w:hideMark/>
          </w:tcPr>
          <w:p w14:paraId="6937B48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160D8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124730" w14:textId="77777777" w:rsidR="00000000" w:rsidRDefault="00C01C43">
            <w:pPr>
              <w:jc w:val="right"/>
              <w:rPr>
                <w:rFonts w:eastAsia="Times New Roman"/>
              </w:rPr>
            </w:pPr>
            <w:r>
              <w:rPr>
                <w:rFonts w:ascii="Arial" w:eastAsia="Times New Roman" w:hAnsi="Arial" w:cs="Arial"/>
                <w:color w:val="000000"/>
                <w:sz w:val="16"/>
                <w:szCs w:val="16"/>
              </w:rPr>
              <w:t>36.6 </w:t>
            </w:r>
          </w:p>
        </w:tc>
        <w:tc>
          <w:tcPr>
            <w:tcW w:w="0" w:type="auto"/>
            <w:shd w:val="clear" w:color="auto" w:fill="CCEEFF"/>
            <w:tcMar>
              <w:top w:w="30" w:type="dxa"/>
              <w:left w:w="0" w:type="dxa"/>
              <w:bottom w:w="30" w:type="dxa"/>
              <w:right w:w="20" w:type="dxa"/>
            </w:tcMar>
            <w:vAlign w:val="center"/>
            <w:hideMark/>
          </w:tcPr>
          <w:p w14:paraId="1E41F76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BCBA6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46E92A" w14:textId="77777777" w:rsidR="00000000" w:rsidRDefault="00C01C43">
            <w:pPr>
              <w:jc w:val="right"/>
              <w:rPr>
                <w:rFonts w:eastAsia="Times New Roman"/>
              </w:rPr>
            </w:pPr>
            <w:r>
              <w:rPr>
                <w:rFonts w:ascii="Arial" w:eastAsia="Times New Roman" w:hAnsi="Arial" w:cs="Arial"/>
                <w:color w:val="000000"/>
                <w:sz w:val="16"/>
                <w:szCs w:val="16"/>
              </w:rPr>
              <w:t>(23.5)</w:t>
            </w:r>
          </w:p>
        </w:tc>
        <w:tc>
          <w:tcPr>
            <w:tcW w:w="0" w:type="auto"/>
            <w:shd w:val="clear" w:color="auto" w:fill="CCEEFF"/>
            <w:tcMar>
              <w:top w:w="30" w:type="dxa"/>
              <w:left w:w="0" w:type="dxa"/>
              <w:bottom w:w="30" w:type="dxa"/>
              <w:right w:w="20" w:type="dxa"/>
            </w:tcMar>
            <w:vAlign w:val="center"/>
            <w:hideMark/>
          </w:tcPr>
          <w:p w14:paraId="6D6BC67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AF8F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1DD4E6" w14:textId="77777777" w:rsidR="00000000" w:rsidRDefault="00C01C43">
            <w:pPr>
              <w:jc w:val="right"/>
              <w:rPr>
                <w:rFonts w:eastAsia="Times New Roman"/>
              </w:rPr>
            </w:pPr>
            <w:r>
              <w:rPr>
                <w:rFonts w:ascii="Arial" w:eastAsia="Times New Roman" w:hAnsi="Arial" w:cs="Arial"/>
                <w:color w:val="000000"/>
                <w:sz w:val="16"/>
                <w:szCs w:val="16"/>
              </w:rPr>
              <w:t>45.5 </w:t>
            </w:r>
          </w:p>
        </w:tc>
        <w:tc>
          <w:tcPr>
            <w:tcW w:w="0" w:type="auto"/>
            <w:shd w:val="clear" w:color="auto" w:fill="CCEEFF"/>
            <w:tcMar>
              <w:top w:w="30" w:type="dxa"/>
              <w:left w:w="0" w:type="dxa"/>
              <w:bottom w:w="30" w:type="dxa"/>
              <w:right w:w="20" w:type="dxa"/>
            </w:tcMar>
            <w:vAlign w:val="center"/>
            <w:hideMark/>
          </w:tcPr>
          <w:p w14:paraId="4F7D6C19" w14:textId="77777777" w:rsidR="00000000" w:rsidRDefault="00C01C43">
            <w:pPr>
              <w:jc w:val="right"/>
              <w:rPr>
                <w:rFonts w:eastAsia="Times New Roman"/>
              </w:rPr>
            </w:pPr>
          </w:p>
        </w:tc>
      </w:tr>
      <w:tr w:rsidR="00000000" w14:paraId="21DD79C0" w14:textId="77777777">
        <w:trPr>
          <w:divId w:val="453914570"/>
        </w:trPr>
        <w:tc>
          <w:tcPr>
            <w:tcW w:w="0" w:type="auto"/>
            <w:gridSpan w:val="6"/>
            <w:shd w:val="clear" w:color="auto" w:fill="FFFFFF"/>
            <w:tcMar>
              <w:top w:w="30" w:type="dxa"/>
              <w:left w:w="245" w:type="dxa"/>
              <w:bottom w:w="30" w:type="dxa"/>
              <w:right w:w="20" w:type="dxa"/>
            </w:tcMar>
            <w:hideMark/>
          </w:tcPr>
          <w:p w14:paraId="7C003EC9" w14:textId="77777777" w:rsidR="00000000" w:rsidRDefault="00C01C43">
            <w:pPr>
              <w:rPr>
                <w:rFonts w:eastAsia="Times New Roman"/>
              </w:rPr>
            </w:pPr>
            <w:r>
              <w:rPr>
                <w:rFonts w:ascii="Arial" w:eastAsia="Times New Roman" w:hAnsi="Arial" w:cs="Arial"/>
                <w:color w:val="000000"/>
                <w:sz w:val="16"/>
                <w:szCs w:val="16"/>
              </w:rPr>
              <w:t>Interest rate contract</w:t>
            </w:r>
          </w:p>
        </w:tc>
        <w:tc>
          <w:tcPr>
            <w:tcW w:w="0" w:type="auto"/>
            <w:gridSpan w:val="3"/>
            <w:shd w:val="clear" w:color="auto" w:fill="FFFFFF"/>
            <w:tcMar>
              <w:top w:w="0" w:type="dxa"/>
              <w:left w:w="20" w:type="dxa"/>
              <w:bottom w:w="0" w:type="dxa"/>
              <w:right w:w="20" w:type="dxa"/>
            </w:tcMar>
            <w:vAlign w:val="center"/>
            <w:hideMark/>
          </w:tcPr>
          <w:p w14:paraId="30758FCB" w14:textId="77777777" w:rsidR="00000000" w:rsidRDefault="00C01C43">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1A3271"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0DEEC4"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8DCD9D"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15D5FA"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BEBEC7"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A97B6E"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F1326F"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288F63"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11923F"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245E18"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3A8514"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10193E"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A55C94" w14:textId="77777777" w:rsidR="00000000" w:rsidRDefault="00C01C43">
            <w:pPr>
              <w:rPr>
                <w:rFonts w:eastAsia="Times New Roman"/>
                <w:sz w:val="20"/>
                <w:szCs w:val="20"/>
              </w:rPr>
            </w:pPr>
          </w:p>
        </w:tc>
      </w:tr>
      <w:tr w:rsidR="00000000" w14:paraId="6C42D9EE" w14:textId="77777777">
        <w:trPr>
          <w:divId w:val="453914570"/>
        </w:trPr>
        <w:tc>
          <w:tcPr>
            <w:tcW w:w="0" w:type="auto"/>
            <w:gridSpan w:val="3"/>
            <w:shd w:val="clear" w:color="auto" w:fill="CCEEFF"/>
            <w:tcMar>
              <w:top w:w="0" w:type="dxa"/>
              <w:left w:w="20" w:type="dxa"/>
              <w:bottom w:w="0" w:type="dxa"/>
              <w:right w:w="20" w:type="dxa"/>
            </w:tcMar>
            <w:vAlign w:val="center"/>
            <w:hideMark/>
          </w:tcPr>
          <w:p w14:paraId="48948860" w14:textId="77777777" w:rsidR="00000000" w:rsidRDefault="00C01C43">
            <w:pPr>
              <w:rPr>
                <w:rFonts w:eastAsia="Times New Roman"/>
                <w:sz w:val="20"/>
                <w:szCs w:val="20"/>
              </w:rPr>
            </w:pPr>
          </w:p>
        </w:tc>
        <w:tc>
          <w:tcPr>
            <w:tcW w:w="0" w:type="auto"/>
            <w:gridSpan w:val="3"/>
            <w:tcBorders>
              <w:bottom w:val="single" w:sz="8" w:space="0" w:color="000000"/>
            </w:tcBorders>
            <w:shd w:val="clear" w:color="auto" w:fill="CCEEFF"/>
            <w:tcMar>
              <w:top w:w="30" w:type="dxa"/>
              <w:left w:w="20" w:type="dxa"/>
              <w:bottom w:w="30" w:type="dxa"/>
              <w:right w:w="20" w:type="dxa"/>
            </w:tcMar>
            <w:hideMark/>
          </w:tcPr>
          <w:p w14:paraId="0540AB9D" w14:textId="77777777" w:rsidR="00000000" w:rsidRDefault="00C01C43">
            <w:pPr>
              <w:rPr>
                <w:rFonts w:eastAsia="Times New Roman"/>
              </w:rPr>
            </w:pPr>
            <w:r>
              <w:rPr>
                <w:rFonts w:ascii="Arial" w:eastAsia="Times New Roman" w:hAnsi="Arial" w:cs="Arial"/>
                <w:color w:val="000000"/>
                <w:sz w:val="16"/>
                <w:szCs w:val="16"/>
              </w:rPr>
              <w:t>Amount of Gain (Loss) Reclassified from Accumulated OCI into Income</w:t>
            </w:r>
          </w:p>
        </w:tc>
        <w:tc>
          <w:tcPr>
            <w:tcW w:w="0" w:type="auto"/>
            <w:gridSpan w:val="3"/>
            <w:shd w:val="clear" w:color="auto" w:fill="CCEEFF"/>
            <w:tcMar>
              <w:top w:w="0" w:type="dxa"/>
              <w:left w:w="20" w:type="dxa"/>
              <w:bottom w:w="0" w:type="dxa"/>
              <w:right w:w="20" w:type="dxa"/>
            </w:tcMar>
            <w:vAlign w:val="center"/>
            <w:hideMark/>
          </w:tcPr>
          <w:p w14:paraId="1D044642"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8080980"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77613DD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8DCF0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4CE1E4"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5782BC3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7AB83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FAA91D" w14:textId="77777777" w:rsidR="00000000" w:rsidRDefault="00C01C43">
            <w:pPr>
              <w:jc w:val="right"/>
              <w:rPr>
                <w:rFonts w:eastAsia="Times New Roman"/>
              </w:rPr>
            </w:pPr>
            <w:r>
              <w:rPr>
                <w:rFonts w:ascii="Arial" w:eastAsia="Times New Roman" w:hAnsi="Arial" w:cs="Arial"/>
                <w:color w:val="000000"/>
                <w:sz w:val="16"/>
                <w:szCs w:val="16"/>
              </w:rPr>
              <w:t>(0.5)</w:t>
            </w:r>
          </w:p>
        </w:tc>
        <w:tc>
          <w:tcPr>
            <w:tcW w:w="0" w:type="auto"/>
            <w:shd w:val="clear" w:color="auto" w:fill="CCEEFF"/>
            <w:tcMar>
              <w:top w:w="30" w:type="dxa"/>
              <w:left w:w="0" w:type="dxa"/>
              <w:bottom w:w="30" w:type="dxa"/>
              <w:right w:w="20" w:type="dxa"/>
            </w:tcMar>
            <w:vAlign w:val="center"/>
            <w:hideMark/>
          </w:tcPr>
          <w:p w14:paraId="6636BD2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2CE7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B6A003"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2C25809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C1D64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452918"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4046616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269A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6D0ED4"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1ADEB3F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A88C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4E4522"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06BF1986" w14:textId="77777777" w:rsidR="00000000" w:rsidRDefault="00C01C43">
            <w:pPr>
              <w:jc w:val="right"/>
              <w:rPr>
                <w:rFonts w:eastAsia="Times New Roman"/>
              </w:rPr>
            </w:pPr>
          </w:p>
        </w:tc>
      </w:tr>
      <w:tr w:rsidR="00C01C43" w14:paraId="273FE9A9" w14:textId="77777777">
        <w:trPr>
          <w:divId w:val="453914570"/>
        </w:trPr>
        <w:tc>
          <w:tcPr>
            <w:tcW w:w="0" w:type="auto"/>
            <w:gridSpan w:val="6"/>
            <w:tcBorders>
              <w:top w:val="single" w:sz="8" w:space="0" w:color="000000"/>
              <w:bottom w:val="double" w:sz="6" w:space="0" w:color="000000"/>
            </w:tcBorders>
            <w:shd w:val="clear" w:color="auto" w:fill="FFFFFF"/>
            <w:tcMar>
              <w:top w:w="30" w:type="dxa"/>
              <w:left w:w="20" w:type="dxa"/>
              <w:bottom w:w="30" w:type="dxa"/>
              <w:right w:w="20" w:type="dxa"/>
            </w:tcMar>
            <w:hideMark/>
          </w:tcPr>
          <w:p w14:paraId="5BAF7EC3" w14:textId="77777777" w:rsidR="00000000" w:rsidRDefault="00C01C43">
            <w:pPr>
              <w:rPr>
                <w:rFonts w:eastAsia="Times New Roman"/>
              </w:rPr>
            </w:pPr>
            <w:r>
              <w:rPr>
                <w:rFonts w:ascii="Arial" w:eastAsia="Times New Roman" w:hAnsi="Arial" w:cs="Arial"/>
                <w:color w:val="000000"/>
                <w:sz w:val="16"/>
                <w:szCs w:val="16"/>
              </w:rPr>
              <w:t>Total amount of income and expense line items excluding the impact of hedges</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69EF00E" w14:textId="77777777" w:rsidR="00000000" w:rsidRDefault="00C01C4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A6C3488"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4283187" w14:textId="77777777" w:rsidR="00000000" w:rsidRDefault="00C01C43">
            <w:pPr>
              <w:jc w:val="right"/>
              <w:rPr>
                <w:rFonts w:eastAsia="Times New Roman"/>
              </w:rPr>
            </w:pPr>
            <w:r>
              <w:rPr>
                <w:rFonts w:ascii="Arial" w:eastAsia="Times New Roman" w:hAnsi="Arial" w:cs="Arial"/>
                <w:color w:val="000000"/>
                <w:sz w:val="16"/>
                <w:szCs w:val="16"/>
              </w:rPr>
              <w:t>20,327.0 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500E602"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E8485AA"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D08814F"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A55702B" w14:textId="77777777" w:rsidR="00000000" w:rsidRDefault="00C01C43">
            <w:pPr>
              <w:jc w:val="right"/>
              <w:rPr>
                <w:rFonts w:eastAsia="Times New Roman"/>
              </w:rPr>
            </w:pPr>
            <w:r>
              <w:rPr>
                <w:rFonts w:ascii="Arial" w:eastAsia="Times New Roman" w:hAnsi="Arial" w:cs="Arial"/>
                <w:color w:val="000000"/>
                <w:sz w:val="16"/>
                <w:szCs w:val="16"/>
              </w:rPr>
              <w:t>19,326.6 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ABCEB80"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CA36B17"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44FFFD0"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C1599B7" w14:textId="77777777" w:rsidR="00000000" w:rsidRDefault="00C01C43">
            <w:pPr>
              <w:jc w:val="right"/>
              <w:rPr>
                <w:rFonts w:eastAsia="Times New Roman"/>
              </w:rPr>
            </w:pPr>
            <w:r>
              <w:rPr>
                <w:rFonts w:ascii="Arial" w:eastAsia="Times New Roman" w:hAnsi="Arial" w:cs="Arial"/>
                <w:color w:val="000000"/>
                <w:sz w:val="16"/>
                <w:szCs w:val="16"/>
              </w:rPr>
              <w:t>48.1 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3B6E26F"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A19BE2D"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8A195F2"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A023756" w14:textId="77777777" w:rsidR="00000000" w:rsidRDefault="00C01C43">
            <w:pPr>
              <w:jc w:val="right"/>
              <w:rPr>
                <w:rFonts w:eastAsia="Times New Roman"/>
              </w:rPr>
            </w:pPr>
            <w:r>
              <w:rPr>
                <w:rFonts w:ascii="Arial" w:eastAsia="Times New Roman" w:hAnsi="Arial" w:cs="Arial"/>
                <w:color w:val="000000"/>
                <w:sz w:val="16"/>
                <w:szCs w:val="16"/>
              </w:rPr>
              <w:t>36,827.5 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211B096"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BB05C3D"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7CF394D"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3D5E7BC" w14:textId="77777777" w:rsidR="00000000" w:rsidRDefault="00C01C43">
            <w:pPr>
              <w:jc w:val="right"/>
              <w:rPr>
                <w:rFonts w:eastAsia="Times New Roman"/>
              </w:rPr>
            </w:pPr>
            <w:r>
              <w:rPr>
                <w:rFonts w:ascii="Arial" w:eastAsia="Times New Roman" w:hAnsi="Arial" w:cs="Arial"/>
                <w:color w:val="000000"/>
                <w:sz w:val="16"/>
                <w:szCs w:val="16"/>
              </w:rPr>
              <w:t>35,745.6 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027E9F2"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646A9CE" w14:textId="77777777" w:rsidR="00000000" w:rsidRDefault="00C01C43">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FED02D9" w14:textId="77777777" w:rsidR="00000000" w:rsidRDefault="00C01C43">
            <w:pPr>
              <w:jc w:val="right"/>
              <w:rPr>
                <w:rFonts w:eastAsia="Times New Roman"/>
              </w:rPr>
            </w:pPr>
            <w:r>
              <w:rPr>
                <w:rFonts w:ascii="Arial" w:eastAsia="Times New Roman" w:hAnsi="Arial" w:cs="Arial"/>
                <w:color w:val="000000"/>
                <w:sz w:val="16"/>
                <w:szCs w:val="16"/>
              </w:rPr>
              <w:t>39,773.7 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29335D2"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4847DDA" w14:textId="77777777" w:rsidR="00000000" w:rsidRDefault="00C01C43">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9DCCF63" w14:textId="77777777" w:rsidR="00000000" w:rsidRDefault="00C01C43">
            <w:pPr>
              <w:jc w:val="right"/>
              <w:rPr>
                <w:rFonts w:eastAsia="Times New Roman"/>
              </w:rPr>
            </w:pPr>
            <w:r>
              <w:rPr>
                <w:rFonts w:ascii="Arial" w:eastAsia="Times New Roman" w:hAnsi="Arial" w:cs="Arial"/>
                <w:color w:val="000000"/>
                <w:sz w:val="16"/>
                <w:szCs w:val="16"/>
              </w:rPr>
              <w:t>38,776.1 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70CF5D6" w14:textId="77777777" w:rsidR="00000000" w:rsidRDefault="00C01C43">
            <w:pPr>
              <w:jc w:val="right"/>
              <w:rPr>
                <w:rFonts w:eastAsia="Times New Roman"/>
              </w:rPr>
            </w:pPr>
          </w:p>
        </w:tc>
      </w:tr>
    </w:tbl>
    <w:p w14:paraId="59F3C6D8" w14:textId="77777777" w:rsidR="00000000" w:rsidRDefault="00C01C43">
      <w:pPr>
        <w:jc w:val="both"/>
        <w:divId w:val="1873686143"/>
        <w:rPr>
          <w:rFonts w:eastAsia="Times New Roman"/>
        </w:rPr>
      </w:pPr>
      <w:r>
        <w:rPr>
          <w:rFonts w:ascii="Arial" w:eastAsia="Times New Roman" w:hAnsi="Arial" w:cs="Arial"/>
          <w:color w:val="000000"/>
          <w:sz w:val="20"/>
          <w:szCs w:val="20"/>
        </w:rPr>
        <w:t>For the twelve months ended December 31, 2020, 2019 and 2018, there were no gains or losses recognized in earnings related to our fair value or cash flow hedges that were excluded from the asse</w:t>
      </w:r>
      <w:r>
        <w:rPr>
          <w:rFonts w:ascii="Arial" w:eastAsia="Times New Roman" w:hAnsi="Arial" w:cs="Arial"/>
          <w:color w:val="000000"/>
          <w:sz w:val="20"/>
          <w:szCs w:val="20"/>
        </w:rPr>
        <w:t>ssment of hedge effectiveness.</w:t>
      </w:r>
    </w:p>
    <w:p w14:paraId="78202D20" w14:textId="77777777" w:rsidR="00000000" w:rsidRDefault="00C01C43">
      <w:pPr>
        <w:jc w:val="both"/>
        <w:divId w:val="1582641649"/>
        <w:rPr>
          <w:rFonts w:eastAsia="Times New Roman"/>
        </w:rPr>
      </w:pPr>
      <w:r>
        <w:rPr>
          <w:rFonts w:ascii="Arial" w:eastAsia="Times New Roman" w:hAnsi="Arial" w:cs="Arial"/>
          <w:color w:val="000000"/>
          <w:sz w:val="20"/>
          <w:szCs w:val="20"/>
        </w:rPr>
        <w:t>As of December 31, 2020, on a pre-tax basis for commodity cash flow hedges, $108.9 million and $106.4 million is scheduled to be reclassified from Accumulated other comprehensive loss as an increase to Revenue and increase to</w:t>
      </w:r>
      <w:r>
        <w:rPr>
          <w:rFonts w:ascii="Arial" w:eastAsia="Times New Roman" w:hAnsi="Arial" w:cs="Arial"/>
          <w:color w:val="000000"/>
          <w:sz w:val="20"/>
          <w:szCs w:val="20"/>
        </w:rPr>
        <w:t xml:space="preserve"> Cost of revenue, respectively, over the next twelve months.</w:t>
      </w:r>
    </w:p>
    <w:p w14:paraId="05700A9B" w14:textId="77777777" w:rsidR="00000000" w:rsidRDefault="00C01C43">
      <w:pPr>
        <w:jc w:val="center"/>
        <w:divId w:val="2007785257"/>
        <w:rPr>
          <w:rFonts w:eastAsia="Times New Roman"/>
        </w:rPr>
      </w:pPr>
      <w:r>
        <w:rPr>
          <w:rFonts w:ascii="Arial" w:eastAsia="Times New Roman" w:hAnsi="Arial" w:cs="Arial"/>
          <w:color w:val="000000"/>
          <w:sz w:val="16"/>
          <w:szCs w:val="16"/>
        </w:rPr>
        <w:t>65</w:t>
      </w:r>
    </w:p>
    <w:p w14:paraId="36539807" w14:textId="77777777" w:rsidR="00000000" w:rsidRDefault="00C01C43">
      <w:pPr>
        <w:rPr>
          <w:rFonts w:eastAsia="Times New Roman"/>
        </w:rPr>
      </w:pPr>
      <w:r>
        <w:rPr>
          <w:rFonts w:eastAsia="Times New Roman"/>
        </w:rPr>
        <w:pict w14:anchorId="17801C22">
          <v:rect id="_x0000_i1094" style="width:0;height:1.5pt" o:hralign="center" o:hrstd="t" o:hr="t" fillcolor="#a0a0a0" stroked="f"/>
        </w:pict>
      </w:r>
    </w:p>
    <w:p w14:paraId="3FFC1577" w14:textId="77777777" w:rsidR="00000000" w:rsidRDefault="00C01C43">
      <w:pPr>
        <w:divId w:val="692655440"/>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44D056AA" w14:textId="77777777" w:rsidR="00000000" w:rsidRDefault="00C01C43">
      <w:pPr>
        <w:jc w:val="both"/>
        <w:rPr>
          <w:rFonts w:eastAsia="Times New Roman"/>
        </w:rPr>
      </w:pPr>
    </w:p>
    <w:p w14:paraId="079988D6" w14:textId="77777777" w:rsidR="00000000" w:rsidRDefault="00C01C43">
      <w:pPr>
        <w:jc w:val="both"/>
        <w:rPr>
          <w:rFonts w:eastAsia="Times New Roman"/>
        </w:rPr>
      </w:pPr>
      <w:r>
        <w:rPr>
          <w:rFonts w:ascii="Arial" w:eastAsia="Times New Roman" w:hAnsi="Arial" w:cs="Arial"/>
          <w:color w:val="000000"/>
          <w:sz w:val="20"/>
          <w:szCs w:val="20"/>
        </w:rPr>
        <w:t>The following table presents the effect and financial statement location of our derivative instruments in cash flow hedging relationships on o</w:t>
      </w:r>
      <w:r>
        <w:rPr>
          <w:rFonts w:ascii="Arial" w:eastAsia="Times New Roman" w:hAnsi="Arial" w:cs="Arial"/>
          <w:color w:val="000000"/>
          <w:sz w:val="20"/>
          <w:szCs w:val="20"/>
        </w:rPr>
        <w:t>ur accumulated other comprehensive income, Consolidated Statements of Income and Comprehensive Income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738"/>
        <w:gridCol w:w="36"/>
        <w:gridCol w:w="36"/>
        <w:gridCol w:w="44"/>
        <w:gridCol w:w="36"/>
        <w:gridCol w:w="109"/>
        <w:gridCol w:w="507"/>
        <w:gridCol w:w="36"/>
        <w:gridCol w:w="36"/>
        <w:gridCol w:w="36"/>
        <w:gridCol w:w="36"/>
        <w:gridCol w:w="109"/>
        <w:gridCol w:w="507"/>
        <w:gridCol w:w="36"/>
        <w:gridCol w:w="36"/>
        <w:gridCol w:w="36"/>
        <w:gridCol w:w="36"/>
        <w:gridCol w:w="109"/>
        <w:gridCol w:w="487"/>
        <w:gridCol w:w="36"/>
        <w:gridCol w:w="36"/>
        <w:gridCol w:w="36"/>
        <w:gridCol w:w="36"/>
        <w:gridCol w:w="55"/>
        <w:gridCol w:w="1739"/>
        <w:gridCol w:w="36"/>
        <w:gridCol w:w="36"/>
        <w:gridCol w:w="45"/>
        <w:gridCol w:w="36"/>
        <w:gridCol w:w="109"/>
        <w:gridCol w:w="507"/>
        <w:gridCol w:w="36"/>
        <w:gridCol w:w="36"/>
        <w:gridCol w:w="36"/>
        <w:gridCol w:w="36"/>
        <w:gridCol w:w="109"/>
        <w:gridCol w:w="492"/>
        <w:gridCol w:w="36"/>
        <w:gridCol w:w="36"/>
        <w:gridCol w:w="45"/>
        <w:gridCol w:w="36"/>
        <w:gridCol w:w="109"/>
        <w:gridCol w:w="495"/>
        <w:gridCol w:w="36"/>
      </w:tblGrid>
      <w:tr w:rsidR="00000000" w14:paraId="62BDC362" w14:textId="77777777">
        <w:trPr>
          <w:divId w:val="490800412"/>
          <w:jc w:val="center"/>
        </w:trPr>
        <w:tc>
          <w:tcPr>
            <w:tcW w:w="50" w:type="pct"/>
            <w:vAlign w:val="center"/>
            <w:hideMark/>
          </w:tcPr>
          <w:p w14:paraId="28231B63" w14:textId="77777777" w:rsidR="00000000" w:rsidRDefault="00C01C43">
            <w:pPr>
              <w:jc w:val="both"/>
              <w:rPr>
                <w:rFonts w:eastAsia="Times New Roman"/>
              </w:rPr>
            </w:pPr>
          </w:p>
        </w:tc>
        <w:tc>
          <w:tcPr>
            <w:tcW w:w="1083" w:type="pct"/>
            <w:vAlign w:val="center"/>
            <w:hideMark/>
          </w:tcPr>
          <w:p w14:paraId="65DE6DCB" w14:textId="77777777" w:rsidR="00000000" w:rsidRDefault="00C01C43">
            <w:pPr>
              <w:rPr>
                <w:rFonts w:eastAsia="Times New Roman"/>
                <w:sz w:val="20"/>
                <w:szCs w:val="20"/>
              </w:rPr>
            </w:pPr>
          </w:p>
        </w:tc>
        <w:tc>
          <w:tcPr>
            <w:tcW w:w="5" w:type="pct"/>
            <w:vAlign w:val="center"/>
            <w:hideMark/>
          </w:tcPr>
          <w:p w14:paraId="2126F3DE" w14:textId="77777777" w:rsidR="00000000" w:rsidRDefault="00C01C43">
            <w:pPr>
              <w:rPr>
                <w:rFonts w:eastAsia="Times New Roman"/>
                <w:sz w:val="20"/>
                <w:szCs w:val="20"/>
              </w:rPr>
            </w:pPr>
          </w:p>
        </w:tc>
        <w:tc>
          <w:tcPr>
            <w:tcW w:w="5" w:type="pct"/>
            <w:vAlign w:val="center"/>
            <w:hideMark/>
          </w:tcPr>
          <w:p w14:paraId="6E664D6F" w14:textId="77777777" w:rsidR="00000000" w:rsidRDefault="00C01C43">
            <w:pPr>
              <w:rPr>
                <w:rFonts w:eastAsia="Times New Roman"/>
                <w:sz w:val="20"/>
                <w:szCs w:val="20"/>
              </w:rPr>
            </w:pPr>
          </w:p>
        </w:tc>
        <w:tc>
          <w:tcPr>
            <w:tcW w:w="54" w:type="pct"/>
            <w:vAlign w:val="center"/>
            <w:hideMark/>
          </w:tcPr>
          <w:p w14:paraId="65B58798" w14:textId="77777777" w:rsidR="00000000" w:rsidRDefault="00C01C43">
            <w:pPr>
              <w:rPr>
                <w:rFonts w:eastAsia="Times New Roman"/>
                <w:sz w:val="20"/>
                <w:szCs w:val="20"/>
              </w:rPr>
            </w:pPr>
          </w:p>
        </w:tc>
        <w:tc>
          <w:tcPr>
            <w:tcW w:w="5" w:type="pct"/>
            <w:vAlign w:val="center"/>
            <w:hideMark/>
          </w:tcPr>
          <w:p w14:paraId="001FBE32" w14:textId="77777777" w:rsidR="00000000" w:rsidRDefault="00C01C43">
            <w:pPr>
              <w:rPr>
                <w:rFonts w:eastAsia="Times New Roman"/>
                <w:sz w:val="20"/>
                <w:szCs w:val="20"/>
              </w:rPr>
            </w:pPr>
          </w:p>
        </w:tc>
        <w:tc>
          <w:tcPr>
            <w:tcW w:w="50" w:type="pct"/>
            <w:vAlign w:val="center"/>
            <w:hideMark/>
          </w:tcPr>
          <w:p w14:paraId="5CD02DD3" w14:textId="77777777" w:rsidR="00000000" w:rsidRDefault="00C01C43">
            <w:pPr>
              <w:rPr>
                <w:rFonts w:eastAsia="Times New Roman"/>
                <w:sz w:val="20"/>
                <w:szCs w:val="20"/>
              </w:rPr>
            </w:pPr>
          </w:p>
        </w:tc>
        <w:tc>
          <w:tcPr>
            <w:tcW w:w="324" w:type="pct"/>
            <w:vAlign w:val="center"/>
            <w:hideMark/>
          </w:tcPr>
          <w:p w14:paraId="397AD132" w14:textId="77777777" w:rsidR="00000000" w:rsidRDefault="00C01C43">
            <w:pPr>
              <w:rPr>
                <w:rFonts w:eastAsia="Times New Roman"/>
                <w:sz w:val="20"/>
                <w:szCs w:val="20"/>
              </w:rPr>
            </w:pPr>
          </w:p>
        </w:tc>
        <w:tc>
          <w:tcPr>
            <w:tcW w:w="5" w:type="pct"/>
            <w:vAlign w:val="center"/>
            <w:hideMark/>
          </w:tcPr>
          <w:p w14:paraId="37B82F5A" w14:textId="77777777" w:rsidR="00000000" w:rsidRDefault="00C01C43">
            <w:pPr>
              <w:rPr>
                <w:rFonts w:eastAsia="Times New Roman"/>
                <w:sz w:val="20"/>
                <w:szCs w:val="20"/>
              </w:rPr>
            </w:pPr>
          </w:p>
        </w:tc>
        <w:tc>
          <w:tcPr>
            <w:tcW w:w="5" w:type="pct"/>
            <w:vAlign w:val="center"/>
            <w:hideMark/>
          </w:tcPr>
          <w:p w14:paraId="2FFD4E69" w14:textId="77777777" w:rsidR="00000000" w:rsidRDefault="00C01C43">
            <w:pPr>
              <w:rPr>
                <w:rFonts w:eastAsia="Times New Roman"/>
                <w:sz w:val="20"/>
                <w:szCs w:val="20"/>
              </w:rPr>
            </w:pPr>
          </w:p>
        </w:tc>
        <w:tc>
          <w:tcPr>
            <w:tcW w:w="54" w:type="pct"/>
            <w:vAlign w:val="center"/>
            <w:hideMark/>
          </w:tcPr>
          <w:p w14:paraId="23B5ED42" w14:textId="77777777" w:rsidR="00000000" w:rsidRDefault="00C01C43">
            <w:pPr>
              <w:rPr>
                <w:rFonts w:eastAsia="Times New Roman"/>
                <w:sz w:val="20"/>
                <w:szCs w:val="20"/>
              </w:rPr>
            </w:pPr>
          </w:p>
        </w:tc>
        <w:tc>
          <w:tcPr>
            <w:tcW w:w="5" w:type="pct"/>
            <w:vAlign w:val="center"/>
            <w:hideMark/>
          </w:tcPr>
          <w:p w14:paraId="155BD206" w14:textId="77777777" w:rsidR="00000000" w:rsidRDefault="00C01C43">
            <w:pPr>
              <w:rPr>
                <w:rFonts w:eastAsia="Times New Roman"/>
                <w:sz w:val="20"/>
                <w:szCs w:val="20"/>
              </w:rPr>
            </w:pPr>
          </w:p>
        </w:tc>
        <w:tc>
          <w:tcPr>
            <w:tcW w:w="50" w:type="pct"/>
            <w:vAlign w:val="center"/>
            <w:hideMark/>
          </w:tcPr>
          <w:p w14:paraId="7E94E9DF" w14:textId="77777777" w:rsidR="00000000" w:rsidRDefault="00C01C43">
            <w:pPr>
              <w:rPr>
                <w:rFonts w:eastAsia="Times New Roman"/>
                <w:sz w:val="20"/>
                <w:szCs w:val="20"/>
              </w:rPr>
            </w:pPr>
          </w:p>
        </w:tc>
        <w:tc>
          <w:tcPr>
            <w:tcW w:w="324" w:type="pct"/>
            <w:vAlign w:val="center"/>
            <w:hideMark/>
          </w:tcPr>
          <w:p w14:paraId="31DD0AF8" w14:textId="77777777" w:rsidR="00000000" w:rsidRDefault="00C01C43">
            <w:pPr>
              <w:rPr>
                <w:rFonts w:eastAsia="Times New Roman"/>
                <w:sz w:val="20"/>
                <w:szCs w:val="20"/>
              </w:rPr>
            </w:pPr>
          </w:p>
        </w:tc>
        <w:tc>
          <w:tcPr>
            <w:tcW w:w="5" w:type="pct"/>
            <w:vAlign w:val="center"/>
            <w:hideMark/>
          </w:tcPr>
          <w:p w14:paraId="07FAA8C9" w14:textId="77777777" w:rsidR="00000000" w:rsidRDefault="00C01C43">
            <w:pPr>
              <w:rPr>
                <w:rFonts w:eastAsia="Times New Roman"/>
                <w:sz w:val="20"/>
                <w:szCs w:val="20"/>
              </w:rPr>
            </w:pPr>
          </w:p>
        </w:tc>
        <w:tc>
          <w:tcPr>
            <w:tcW w:w="5" w:type="pct"/>
            <w:vAlign w:val="center"/>
            <w:hideMark/>
          </w:tcPr>
          <w:p w14:paraId="3629CE95" w14:textId="77777777" w:rsidR="00000000" w:rsidRDefault="00C01C43">
            <w:pPr>
              <w:rPr>
                <w:rFonts w:eastAsia="Times New Roman"/>
                <w:sz w:val="20"/>
                <w:szCs w:val="20"/>
              </w:rPr>
            </w:pPr>
          </w:p>
        </w:tc>
        <w:tc>
          <w:tcPr>
            <w:tcW w:w="54" w:type="pct"/>
            <w:vAlign w:val="center"/>
            <w:hideMark/>
          </w:tcPr>
          <w:p w14:paraId="7CE7005E" w14:textId="77777777" w:rsidR="00000000" w:rsidRDefault="00C01C43">
            <w:pPr>
              <w:rPr>
                <w:rFonts w:eastAsia="Times New Roman"/>
                <w:sz w:val="20"/>
                <w:szCs w:val="20"/>
              </w:rPr>
            </w:pPr>
          </w:p>
        </w:tc>
        <w:tc>
          <w:tcPr>
            <w:tcW w:w="5" w:type="pct"/>
            <w:vAlign w:val="center"/>
            <w:hideMark/>
          </w:tcPr>
          <w:p w14:paraId="450618F9" w14:textId="77777777" w:rsidR="00000000" w:rsidRDefault="00C01C43">
            <w:pPr>
              <w:rPr>
                <w:rFonts w:eastAsia="Times New Roman"/>
                <w:sz w:val="20"/>
                <w:szCs w:val="20"/>
              </w:rPr>
            </w:pPr>
          </w:p>
        </w:tc>
        <w:tc>
          <w:tcPr>
            <w:tcW w:w="50" w:type="pct"/>
            <w:vAlign w:val="center"/>
            <w:hideMark/>
          </w:tcPr>
          <w:p w14:paraId="15F8E7FE" w14:textId="77777777" w:rsidR="00000000" w:rsidRDefault="00C01C43">
            <w:pPr>
              <w:rPr>
                <w:rFonts w:eastAsia="Times New Roman"/>
                <w:sz w:val="20"/>
                <w:szCs w:val="20"/>
              </w:rPr>
            </w:pPr>
          </w:p>
        </w:tc>
        <w:tc>
          <w:tcPr>
            <w:tcW w:w="324" w:type="pct"/>
            <w:vAlign w:val="center"/>
            <w:hideMark/>
          </w:tcPr>
          <w:p w14:paraId="08E8C575" w14:textId="77777777" w:rsidR="00000000" w:rsidRDefault="00C01C43">
            <w:pPr>
              <w:rPr>
                <w:rFonts w:eastAsia="Times New Roman"/>
                <w:sz w:val="20"/>
                <w:szCs w:val="20"/>
              </w:rPr>
            </w:pPr>
          </w:p>
        </w:tc>
        <w:tc>
          <w:tcPr>
            <w:tcW w:w="5" w:type="pct"/>
            <w:vAlign w:val="center"/>
            <w:hideMark/>
          </w:tcPr>
          <w:p w14:paraId="64EBC63C" w14:textId="77777777" w:rsidR="00000000" w:rsidRDefault="00C01C43">
            <w:pPr>
              <w:rPr>
                <w:rFonts w:eastAsia="Times New Roman"/>
                <w:sz w:val="20"/>
                <w:szCs w:val="20"/>
              </w:rPr>
            </w:pPr>
          </w:p>
        </w:tc>
        <w:tc>
          <w:tcPr>
            <w:tcW w:w="5" w:type="pct"/>
            <w:vAlign w:val="center"/>
            <w:hideMark/>
          </w:tcPr>
          <w:p w14:paraId="4420D67F" w14:textId="77777777" w:rsidR="00000000" w:rsidRDefault="00C01C43">
            <w:pPr>
              <w:rPr>
                <w:rFonts w:eastAsia="Times New Roman"/>
                <w:sz w:val="20"/>
                <w:szCs w:val="20"/>
              </w:rPr>
            </w:pPr>
          </w:p>
        </w:tc>
        <w:tc>
          <w:tcPr>
            <w:tcW w:w="40" w:type="pct"/>
            <w:vAlign w:val="center"/>
            <w:hideMark/>
          </w:tcPr>
          <w:p w14:paraId="3AD192CA" w14:textId="77777777" w:rsidR="00000000" w:rsidRDefault="00C01C43">
            <w:pPr>
              <w:rPr>
                <w:rFonts w:eastAsia="Times New Roman"/>
                <w:sz w:val="20"/>
                <w:szCs w:val="20"/>
              </w:rPr>
            </w:pPr>
          </w:p>
        </w:tc>
        <w:tc>
          <w:tcPr>
            <w:tcW w:w="5" w:type="pct"/>
            <w:vAlign w:val="center"/>
            <w:hideMark/>
          </w:tcPr>
          <w:p w14:paraId="14F92242" w14:textId="77777777" w:rsidR="00000000" w:rsidRDefault="00C01C43">
            <w:pPr>
              <w:rPr>
                <w:rFonts w:eastAsia="Times New Roman"/>
                <w:sz w:val="20"/>
                <w:szCs w:val="20"/>
              </w:rPr>
            </w:pPr>
          </w:p>
        </w:tc>
        <w:tc>
          <w:tcPr>
            <w:tcW w:w="50" w:type="pct"/>
            <w:vAlign w:val="center"/>
            <w:hideMark/>
          </w:tcPr>
          <w:p w14:paraId="34A3ED68" w14:textId="77777777" w:rsidR="00000000" w:rsidRDefault="00C01C43">
            <w:pPr>
              <w:rPr>
                <w:rFonts w:eastAsia="Times New Roman"/>
                <w:sz w:val="20"/>
                <w:szCs w:val="20"/>
              </w:rPr>
            </w:pPr>
          </w:p>
        </w:tc>
        <w:tc>
          <w:tcPr>
            <w:tcW w:w="1091" w:type="pct"/>
            <w:vAlign w:val="center"/>
            <w:hideMark/>
          </w:tcPr>
          <w:p w14:paraId="0FD787CD" w14:textId="77777777" w:rsidR="00000000" w:rsidRDefault="00C01C43">
            <w:pPr>
              <w:rPr>
                <w:rFonts w:eastAsia="Times New Roman"/>
                <w:sz w:val="20"/>
                <w:szCs w:val="20"/>
              </w:rPr>
            </w:pPr>
          </w:p>
        </w:tc>
        <w:tc>
          <w:tcPr>
            <w:tcW w:w="5" w:type="pct"/>
            <w:vAlign w:val="center"/>
            <w:hideMark/>
          </w:tcPr>
          <w:p w14:paraId="5A816EDB" w14:textId="77777777" w:rsidR="00000000" w:rsidRDefault="00C01C43">
            <w:pPr>
              <w:rPr>
                <w:rFonts w:eastAsia="Times New Roman"/>
                <w:sz w:val="20"/>
                <w:szCs w:val="20"/>
              </w:rPr>
            </w:pPr>
          </w:p>
        </w:tc>
        <w:tc>
          <w:tcPr>
            <w:tcW w:w="5" w:type="pct"/>
            <w:vAlign w:val="center"/>
            <w:hideMark/>
          </w:tcPr>
          <w:p w14:paraId="3286A7EB" w14:textId="77777777" w:rsidR="00000000" w:rsidRDefault="00C01C43">
            <w:pPr>
              <w:rPr>
                <w:rFonts w:eastAsia="Times New Roman"/>
                <w:sz w:val="20"/>
                <w:szCs w:val="20"/>
              </w:rPr>
            </w:pPr>
          </w:p>
        </w:tc>
        <w:tc>
          <w:tcPr>
            <w:tcW w:w="54" w:type="pct"/>
            <w:vAlign w:val="center"/>
            <w:hideMark/>
          </w:tcPr>
          <w:p w14:paraId="72E4AC79" w14:textId="77777777" w:rsidR="00000000" w:rsidRDefault="00C01C43">
            <w:pPr>
              <w:rPr>
                <w:rFonts w:eastAsia="Times New Roman"/>
                <w:sz w:val="20"/>
                <w:szCs w:val="20"/>
              </w:rPr>
            </w:pPr>
          </w:p>
        </w:tc>
        <w:tc>
          <w:tcPr>
            <w:tcW w:w="5" w:type="pct"/>
            <w:vAlign w:val="center"/>
            <w:hideMark/>
          </w:tcPr>
          <w:p w14:paraId="49B99072" w14:textId="77777777" w:rsidR="00000000" w:rsidRDefault="00C01C43">
            <w:pPr>
              <w:rPr>
                <w:rFonts w:eastAsia="Times New Roman"/>
                <w:sz w:val="20"/>
                <w:szCs w:val="20"/>
              </w:rPr>
            </w:pPr>
          </w:p>
        </w:tc>
        <w:tc>
          <w:tcPr>
            <w:tcW w:w="50" w:type="pct"/>
            <w:vAlign w:val="center"/>
            <w:hideMark/>
          </w:tcPr>
          <w:p w14:paraId="6EE7543B" w14:textId="77777777" w:rsidR="00000000" w:rsidRDefault="00C01C43">
            <w:pPr>
              <w:rPr>
                <w:rFonts w:eastAsia="Times New Roman"/>
                <w:sz w:val="20"/>
                <w:szCs w:val="20"/>
              </w:rPr>
            </w:pPr>
          </w:p>
        </w:tc>
        <w:tc>
          <w:tcPr>
            <w:tcW w:w="324" w:type="pct"/>
            <w:vAlign w:val="center"/>
            <w:hideMark/>
          </w:tcPr>
          <w:p w14:paraId="3B974E13" w14:textId="77777777" w:rsidR="00000000" w:rsidRDefault="00C01C43">
            <w:pPr>
              <w:rPr>
                <w:rFonts w:eastAsia="Times New Roman"/>
                <w:sz w:val="20"/>
                <w:szCs w:val="20"/>
              </w:rPr>
            </w:pPr>
          </w:p>
        </w:tc>
        <w:tc>
          <w:tcPr>
            <w:tcW w:w="5" w:type="pct"/>
            <w:vAlign w:val="center"/>
            <w:hideMark/>
          </w:tcPr>
          <w:p w14:paraId="369B0572" w14:textId="77777777" w:rsidR="00000000" w:rsidRDefault="00C01C43">
            <w:pPr>
              <w:rPr>
                <w:rFonts w:eastAsia="Times New Roman"/>
                <w:sz w:val="20"/>
                <w:szCs w:val="20"/>
              </w:rPr>
            </w:pPr>
          </w:p>
        </w:tc>
        <w:tc>
          <w:tcPr>
            <w:tcW w:w="5" w:type="pct"/>
            <w:vAlign w:val="center"/>
            <w:hideMark/>
          </w:tcPr>
          <w:p w14:paraId="742CB862" w14:textId="77777777" w:rsidR="00000000" w:rsidRDefault="00C01C43">
            <w:pPr>
              <w:rPr>
                <w:rFonts w:eastAsia="Times New Roman"/>
                <w:sz w:val="20"/>
                <w:szCs w:val="20"/>
              </w:rPr>
            </w:pPr>
          </w:p>
        </w:tc>
        <w:tc>
          <w:tcPr>
            <w:tcW w:w="54" w:type="pct"/>
            <w:vAlign w:val="center"/>
            <w:hideMark/>
          </w:tcPr>
          <w:p w14:paraId="72AA7CDD" w14:textId="77777777" w:rsidR="00000000" w:rsidRDefault="00C01C43">
            <w:pPr>
              <w:rPr>
                <w:rFonts w:eastAsia="Times New Roman"/>
                <w:sz w:val="20"/>
                <w:szCs w:val="20"/>
              </w:rPr>
            </w:pPr>
          </w:p>
        </w:tc>
        <w:tc>
          <w:tcPr>
            <w:tcW w:w="5" w:type="pct"/>
            <w:vAlign w:val="center"/>
            <w:hideMark/>
          </w:tcPr>
          <w:p w14:paraId="11850E78" w14:textId="77777777" w:rsidR="00000000" w:rsidRDefault="00C01C43">
            <w:pPr>
              <w:rPr>
                <w:rFonts w:eastAsia="Times New Roman"/>
                <w:sz w:val="20"/>
                <w:szCs w:val="20"/>
              </w:rPr>
            </w:pPr>
          </w:p>
        </w:tc>
        <w:tc>
          <w:tcPr>
            <w:tcW w:w="50" w:type="pct"/>
            <w:vAlign w:val="center"/>
            <w:hideMark/>
          </w:tcPr>
          <w:p w14:paraId="3888BF87" w14:textId="77777777" w:rsidR="00000000" w:rsidRDefault="00C01C43">
            <w:pPr>
              <w:rPr>
                <w:rFonts w:eastAsia="Times New Roman"/>
                <w:sz w:val="20"/>
                <w:szCs w:val="20"/>
              </w:rPr>
            </w:pPr>
          </w:p>
        </w:tc>
        <w:tc>
          <w:tcPr>
            <w:tcW w:w="324" w:type="pct"/>
            <w:vAlign w:val="center"/>
            <w:hideMark/>
          </w:tcPr>
          <w:p w14:paraId="71285EC7" w14:textId="77777777" w:rsidR="00000000" w:rsidRDefault="00C01C43">
            <w:pPr>
              <w:rPr>
                <w:rFonts w:eastAsia="Times New Roman"/>
                <w:sz w:val="20"/>
                <w:szCs w:val="20"/>
              </w:rPr>
            </w:pPr>
          </w:p>
        </w:tc>
        <w:tc>
          <w:tcPr>
            <w:tcW w:w="5" w:type="pct"/>
            <w:vAlign w:val="center"/>
            <w:hideMark/>
          </w:tcPr>
          <w:p w14:paraId="34C8F619" w14:textId="77777777" w:rsidR="00000000" w:rsidRDefault="00C01C43">
            <w:pPr>
              <w:rPr>
                <w:rFonts w:eastAsia="Times New Roman"/>
                <w:sz w:val="20"/>
                <w:szCs w:val="20"/>
              </w:rPr>
            </w:pPr>
          </w:p>
        </w:tc>
        <w:tc>
          <w:tcPr>
            <w:tcW w:w="5" w:type="pct"/>
            <w:vAlign w:val="center"/>
            <w:hideMark/>
          </w:tcPr>
          <w:p w14:paraId="1C95F606" w14:textId="77777777" w:rsidR="00000000" w:rsidRDefault="00C01C43">
            <w:pPr>
              <w:rPr>
                <w:rFonts w:eastAsia="Times New Roman"/>
                <w:sz w:val="20"/>
                <w:szCs w:val="20"/>
              </w:rPr>
            </w:pPr>
          </w:p>
        </w:tc>
        <w:tc>
          <w:tcPr>
            <w:tcW w:w="54" w:type="pct"/>
            <w:vAlign w:val="center"/>
            <w:hideMark/>
          </w:tcPr>
          <w:p w14:paraId="400C0EF5" w14:textId="77777777" w:rsidR="00000000" w:rsidRDefault="00C01C43">
            <w:pPr>
              <w:rPr>
                <w:rFonts w:eastAsia="Times New Roman"/>
                <w:sz w:val="20"/>
                <w:szCs w:val="20"/>
              </w:rPr>
            </w:pPr>
          </w:p>
        </w:tc>
        <w:tc>
          <w:tcPr>
            <w:tcW w:w="5" w:type="pct"/>
            <w:vAlign w:val="center"/>
            <w:hideMark/>
          </w:tcPr>
          <w:p w14:paraId="29A6B17C" w14:textId="77777777" w:rsidR="00000000" w:rsidRDefault="00C01C43">
            <w:pPr>
              <w:rPr>
                <w:rFonts w:eastAsia="Times New Roman"/>
                <w:sz w:val="20"/>
                <w:szCs w:val="20"/>
              </w:rPr>
            </w:pPr>
          </w:p>
        </w:tc>
        <w:tc>
          <w:tcPr>
            <w:tcW w:w="50" w:type="pct"/>
            <w:vAlign w:val="center"/>
            <w:hideMark/>
          </w:tcPr>
          <w:p w14:paraId="7AF3ABC6" w14:textId="77777777" w:rsidR="00000000" w:rsidRDefault="00C01C43">
            <w:pPr>
              <w:rPr>
                <w:rFonts w:eastAsia="Times New Roman"/>
                <w:sz w:val="20"/>
                <w:szCs w:val="20"/>
              </w:rPr>
            </w:pPr>
          </w:p>
        </w:tc>
        <w:tc>
          <w:tcPr>
            <w:tcW w:w="324" w:type="pct"/>
            <w:vAlign w:val="center"/>
            <w:hideMark/>
          </w:tcPr>
          <w:p w14:paraId="7111C0F0" w14:textId="77777777" w:rsidR="00000000" w:rsidRDefault="00C01C43">
            <w:pPr>
              <w:rPr>
                <w:rFonts w:eastAsia="Times New Roman"/>
                <w:sz w:val="20"/>
                <w:szCs w:val="20"/>
              </w:rPr>
            </w:pPr>
          </w:p>
        </w:tc>
        <w:tc>
          <w:tcPr>
            <w:tcW w:w="5" w:type="pct"/>
            <w:vAlign w:val="center"/>
            <w:hideMark/>
          </w:tcPr>
          <w:p w14:paraId="5123BAB0" w14:textId="77777777" w:rsidR="00000000" w:rsidRDefault="00C01C43">
            <w:pPr>
              <w:rPr>
                <w:rFonts w:eastAsia="Times New Roman"/>
                <w:sz w:val="20"/>
                <w:szCs w:val="20"/>
              </w:rPr>
            </w:pPr>
          </w:p>
        </w:tc>
      </w:tr>
      <w:tr w:rsidR="00000000" w14:paraId="1F3C8D62" w14:textId="77777777">
        <w:trPr>
          <w:divId w:val="490800412"/>
          <w:jc w:val="center"/>
        </w:trPr>
        <w:tc>
          <w:tcPr>
            <w:tcW w:w="0" w:type="auto"/>
            <w:gridSpan w:val="3"/>
            <w:tcMar>
              <w:top w:w="30" w:type="dxa"/>
              <w:left w:w="20" w:type="dxa"/>
              <w:bottom w:w="30" w:type="dxa"/>
              <w:right w:w="20" w:type="dxa"/>
            </w:tcMar>
            <w:vAlign w:val="bottom"/>
            <w:hideMark/>
          </w:tcPr>
          <w:p w14:paraId="24FD7174" w14:textId="77777777" w:rsidR="00000000" w:rsidRDefault="00C01C43">
            <w:pPr>
              <w:jc w:val="center"/>
              <w:rPr>
                <w:rFonts w:eastAsia="Times New Roman"/>
              </w:rPr>
            </w:pPr>
            <w:r>
              <w:rPr>
                <w:rFonts w:ascii="Arial" w:eastAsia="Times New Roman" w:hAnsi="Arial" w:cs="Arial"/>
                <w:b/>
                <w:bCs/>
                <w:color w:val="000000"/>
                <w:sz w:val="16"/>
                <w:szCs w:val="16"/>
              </w:rPr>
              <w:t>Amount of Gain (Loss) Recognized in Accumulated Other Comprehensive Income</w:t>
            </w:r>
          </w:p>
        </w:tc>
        <w:tc>
          <w:tcPr>
            <w:tcW w:w="0" w:type="auto"/>
            <w:gridSpan w:val="18"/>
            <w:tcBorders>
              <w:bottom w:val="single" w:sz="8" w:space="0" w:color="000000"/>
            </w:tcBorders>
            <w:tcMar>
              <w:top w:w="30" w:type="dxa"/>
              <w:left w:w="20" w:type="dxa"/>
              <w:bottom w:w="30" w:type="dxa"/>
              <w:right w:w="20" w:type="dxa"/>
            </w:tcMar>
            <w:vAlign w:val="bottom"/>
            <w:hideMark/>
          </w:tcPr>
          <w:p w14:paraId="29F6235E" w14:textId="77777777" w:rsidR="00000000" w:rsidRDefault="00C01C43">
            <w:pPr>
              <w:jc w:val="center"/>
              <w:rPr>
                <w:rFonts w:eastAsia="Times New Roman"/>
              </w:rPr>
            </w:pPr>
            <w:r>
              <w:rPr>
                <w:rFonts w:ascii="Arial" w:eastAsia="Times New Roman" w:hAnsi="Arial" w:cs="Arial"/>
                <w:b/>
                <w:bCs/>
                <w:color w:val="000000"/>
                <w:sz w:val="16"/>
                <w:szCs w:val="16"/>
              </w:rPr>
              <w:t>For the Year Ended</w:t>
            </w:r>
          </w:p>
        </w:tc>
        <w:tc>
          <w:tcPr>
            <w:tcW w:w="0" w:type="auto"/>
            <w:gridSpan w:val="3"/>
            <w:tcMar>
              <w:top w:w="0" w:type="dxa"/>
              <w:left w:w="20" w:type="dxa"/>
              <w:bottom w:w="0" w:type="dxa"/>
              <w:right w:w="20" w:type="dxa"/>
            </w:tcMar>
            <w:vAlign w:val="center"/>
            <w:hideMark/>
          </w:tcPr>
          <w:p w14:paraId="62B797C6"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384683D6" w14:textId="77777777" w:rsidR="00000000" w:rsidRDefault="00C01C43">
            <w:pPr>
              <w:jc w:val="center"/>
              <w:rPr>
                <w:rFonts w:eastAsia="Times New Roman"/>
              </w:rPr>
            </w:pPr>
            <w:r>
              <w:rPr>
                <w:rFonts w:ascii="Arial" w:eastAsia="Times New Roman" w:hAnsi="Arial" w:cs="Arial"/>
                <w:b/>
                <w:bCs/>
                <w:color w:val="000000"/>
                <w:sz w:val="16"/>
                <w:szCs w:val="16"/>
              </w:rPr>
              <w:t>Amount of Gain (Loss) Reclassified from Accumulated Other Comprehensive Income</w:t>
            </w:r>
          </w:p>
        </w:tc>
        <w:tc>
          <w:tcPr>
            <w:tcW w:w="0" w:type="auto"/>
            <w:gridSpan w:val="18"/>
            <w:tcBorders>
              <w:bottom w:val="single" w:sz="8" w:space="0" w:color="000000"/>
            </w:tcBorders>
            <w:tcMar>
              <w:top w:w="30" w:type="dxa"/>
              <w:left w:w="20" w:type="dxa"/>
              <w:bottom w:w="30" w:type="dxa"/>
              <w:right w:w="20" w:type="dxa"/>
            </w:tcMar>
            <w:vAlign w:val="bottom"/>
            <w:hideMark/>
          </w:tcPr>
          <w:p w14:paraId="043C7AB8" w14:textId="77777777" w:rsidR="00000000" w:rsidRDefault="00C01C43">
            <w:pPr>
              <w:jc w:val="center"/>
              <w:rPr>
                <w:rFonts w:eastAsia="Times New Roman"/>
              </w:rPr>
            </w:pPr>
            <w:r>
              <w:rPr>
                <w:rFonts w:ascii="Arial" w:eastAsia="Times New Roman" w:hAnsi="Arial" w:cs="Arial"/>
                <w:b/>
                <w:bCs/>
                <w:color w:val="000000"/>
                <w:sz w:val="16"/>
                <w:szCs w:val="16"/>
              </w:rPr>
              <w:t>For the Year Ended</w:t>
            </w:r>
          </w:p>
        </w:tc>
      </w:tr>
      <w:tr w:rsidR="00000000" w14:paraId="2ED7ABCC" w14:textId="77777777">
        <w:trPr>
          <w:divId w:val="490800412"/>
          <w:jc w:val="center"/>
        </w:trPr>
        <w:tc>
          <w:tcPr>
            <w:tcW w:w="0" w:type="auto"/>
            <w:gridSpan w:val="3"/>
            <w:tcMar>
              <w:top w:w="0" w:type="dxa"/>
              <w:left w:w="20" w:type="dxa"/>
              <w:bottom w:w="0" w:type="dxa"/>
              <w:right w:w="20" w:type="dxa"/>
            </w:tcMar>
            <w:vAlign w:val="center"/>
            <w:hideMark/>
          </w:tcPr>
          <w:p w14:paraId="7108A657" w14:textId="77777777" w:rsidR="00000000" w:rsidRDefault="00C01C43">
            <w:pPr>
              <w:jc w:val="center"/>
              <w:rPr>
                <w:rFonts w:eastAsia="Times New Roman"/>
              </w:rPr>
            </w:pPr>
          </w:p>
        </w:tc>
        <w:tc>
          <w:tcPr>
            <w:tcW w:w="0" w:type="auto"/>
            <w:gridSpan w:val="18"/>
            <w:tcBorders>
              <w:top w:val="single" w:sz="8" w:space="0" w:color="000000"/>
            </w:tcBorders>
            <w:tcMar>
              <w:top w:w="30" w:type="dxa"/>
              <w:left w:w="20" w:type="dxa"/>
              <w:bottom w:w="30" w:type="dxa"/>
              <w:right w:w="20" w:type="dxa"/>
            </w:tcMar>
            <w:vAlign w:val="center"/>
            <w:hideMark/>
          </w:tcPr>
          <w:p w14:paraId="73E24B38" w14:textId="77777777" w:rsidR="00000000" w:rsidRDefault="00C01C43">
            <w:pPr>
              <w:jc w:val="center"/>
              <w:rPr>
                <w:rFonts w:eastAsia="Times New Roman"/>
              </w:rPr>
            </w:pPr>
            <w:r>
              <w:rPr>
                <w:rFonts w:ascii="Arial" w:eastAsia="Times New Roman" w:hAnsi="Arial" w:cs="Arial"/>
                <w:b/>
                <w:bCs/>
                <w:color w:val="000000"/>
                <w:sz w:val="16"/>
                <w:szCs w:val="16"/>
              </w:rPr>
              <w:t>December 31,</w:t>
            </w:r>
          </w:p>
        </w:tc>
        <w:tc>
          <w:tcPr>
            <w:tcW w:w="0" w:type="auto"/>
            <w:gridSpan w:val="3"/>
            <w:tcMar>
              <w:top w:w="0" w:type="dxa"/>
              <w:left w:w="20" w:type="dxa"/>
              <w:bottom w:w="0" w:type="dxa"/>
              <w:right w:w="20" w:type="dxa"/>
            </w:tcMar>
            <w:vAlign w:val="center"/>
            <w:hideMark/>
          </w:tcPr>
          <w:p w14:paraId="4B6C87AC"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1D9DB3B8" w14:textId="77777777" w:rsidR="00000000" w:rsidRDefault="00C01C43">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center"/>
            <w:hideMark/>
          </w:tcPr>
          <w:p w14:paraId="46045257" w14:textId="77777777" w:rsidR="00000000" w:rsidRDefault="00C01C43">
            <w:pPr>
              <w:jc w:val="center"/>
              <w:rPr>
                <w:rFonts w:eastAsia="Times New Roman"/>
              </w:rPr>
            </w:pPr>
            <w:r>
              <w:rPr>
                <w:rFonts w:ascii="Arial" w:eastAsia="Times New Roman" w:hAnsi="Arial" w:cs="Arial"/>
                <w:b/>
                <w:bCs/>
                <w:color w:val="000000"/>
                <w:sz w:val="16"/>
                <w:szCs w:val="16"/>
              </w:rPr>
              <w:t>December 31,</w:t>
            </w:r>
          </w:p>
        </w:tc>
      </w:tr>
      <w:tr w:rsidR="00000000" w14:paraId="21121A76" w14:textId="77777777">
        <w:trPr>
          <w:divId w:val="490800412"/>
          <w:jc w:val="center"/>
        </w:trPr>
        <w:tc>
          <w:tcPr>
            <w:tcW w:w="0" w:type="auto"/>
            <w:gridSpan w:val="3"/>
            <w:tcMar>
              <w:top w:w="30" w:type="dxa"/>
              <w:left w:w="20" w:type="dxa"/>
              <w:bottom w:w="30" w:type="dxa"/>
              <w:right w:w="20" w:type="dxa"/>
            </w:tcMar>
            <w:vAlign w:val="bottom"/>
            <w:hideMark/>
          </w:tcPr>
          <w:p w14:paraId="22E682EF" w14:textId="77777777" w:rsidR="00000000" w:rsidRDefault="00C01C43">
            <w:pPr>
              <w:rPr>
                <w:rFonts w:eastAsia="Times New Roman"/>
              </w:rPr>
            </w:pPr>
            <w:r>
              <w:rPr>
                <w:rFonts w:ascii="Arial" w:eastAsia="Times New Roman" w:hAnsi="Arial" w:cs="Arial"/>
                <w:b/>
                <w:bCs/>
                <w:color w:val="000000"/>
                <w:sz w:val="16"/>
                <w:szCs w:val="16"/>
              </w:rPr>
              <w:t>Derivative Instruments</w:t>
            </w:r>
          </w:p>
        </w:tc>
        <w:tc>
          <w:tcPr>
            <w:tcW w:w="0" w:type="auto"/>
            <w:gridSpan w:val="3"/>
            <w:tcBorders>
              <w:top w:val="single" w:sz="8" w:space="0" w:color="000000"/>
            </w:tcBorders>
            <w:tcMar>
              <w:top w:w="0" w:type="dxa"/>
              <w:left w:w="20" w:type="dxa"/>
              <w:bottom w:w="0" w:type="dxa"/>
              <w:right w:w="20" w:type="dxa"/>
            </w:tcMar>
            <w:vAlign w:val="center"/>
            <w:hideMark/>
          </w:tcPr>
          <w:p w14:paraId="0039CBCB" w14:textId="77777777" w:rsidR="00000000" w:rsidRDefault="00C01C4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4BCA5E" w14:textId="77777777" w:rsidR="00000000" w:rsidRDefault="00C01C43">
            <w:pPr>
              <w:jc w:val="right"/>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A9F44A7" w14:textId="77777777" w:rsidR="00000000" w:rsidRDefault="00C01C4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198DFD" w14:textId="77777777" w:rsidR="00000000" w:rsidRDefault="00C01C43">
            <w:pPr>
              <w:jc w:val="right"/>
              <w:rPr>
                <w:rFonts w:eastAsia="Times New Roman"/>
              </w:rPr>
            </w:pPr>
            <w:r>
              <w:rPr>
                <w:rFonts w:ascii="Arial" w:eastAsia="Times New Roman" w:hAnsi="Arial" w:cs="Arial"/>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5E68FC26" w14:textId="77777777" w:rsidR="00000000" w:rsidRDefault="00C01C4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9E2474" w14:textId="77777777" w:rsidR="00000000" w:rsidRDefault="00C01C43">
            <w:pPr>
              <w:jc w:val="right"/>
              <w:rPr>
                <w:rFonts w:eastAsia="Times New Roman"/>
              </w:rPr>
            </w:pPr>
            <w:r>
              <w:rPr>
                <w:rFonts w:ascii="Arial" w:eastAsia="Times New Roman" w:hAnsi="Arial" w:cs="Arial"/>
                <w:b/>
                <w:bCs/>
                <w:color w:val="000000"/>
                <w:sz w:val="16"/>
                <w:szCs w:val="16"/>
              </w:rPr>
              <w:t>2018</w:t>
            </w:r>
          </w:p>
        </w:tc>
        <w:tc>
          <w:tcPr>
            <w:tcW w:w="0" w:type="auto"/>
            <w:gridSpan w:val="3"/>
            <w:tcMar>
              <w:top w:w="0" w:type="dxa"/>
              <w:left w:w="20" w:type="dxa"/>
              <w:bottom w:w="0" w:type="dxa"/>
              <w:right w:w="20" w:type="dxa"/>
            </w:tcMar>
            <w:vAlign w:val="center"/>
            <w:hideMark/>
          </w:tcPr>
          <w:p w14:paraId="59E9707F" w14:textId="77777777" w:rsidR="00000000" w:rsidRDefault="00C01C43">
            <w:pPr>
              <w:jc w:val="right"/>
              <w:rPr>
                <w:rFonts w:eastAsia="Times New Roman"/>
              </w:rPr>
            </w:pPr>
          </w:p>
        </w:tc>
        <w:tc>
          <w:tcPr>
            <w:tcW w:w="0" w:type="auto"/>
            <w:gridSpan w:val="3"/>
            <w:tcMar>
              <w:top w:w="30" w:type="dxa"/>
              <w:left w:w="20" w:type="dxa"/>
              <w:bottom w:w="30" w:type="dxa"/>
              <w:right w:w="20" w:type="dxa"/>
            </w:tcMar>
            <w:vAlign w:val="bottom"/>
            <w:hideMark/>
          </w:tcPr>
          <w:p w14:paraId="6B8DA9CD" w14:textId="77777777" w:rsidR="00000000" w:rsidRDefault="00C01C43">
            <w:pPr>
              <w:jc w:val="center"/>
              <w:rPr>
                <w:rFonts w:eastAsia="Times New Roman"/>
              </w:rPr>
            </w:pPr>
            <w:r>
              <w:rPr>
                <w:rFonts w:ascii="Arial" w:eastAsia="Times New Roman" w:hAnsi="Arial" w:cs="Arial"/>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14:paraId="34B80C5E"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BF4566" w14:textId="77777777" w:rsidR="00000000" w:rsidRDefault="00C01C43">
            <w:pPr>
              <w:jc w:val="right"/>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BD605F7" w14:textId="77777777" w:rsidR="00000000" w:rsidRDefault="00C01C4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AF9924" w14:textId="77777777" w:rsidR="00000000" w:rsidRDefault="00C01C43">
            <w:pPr>
              <w:jc w:val="right"/>
              <w:rPr>
                <w:rFonts w:eastAsia="Times New Roman"/>
              </w:rPr>
            </w:pPr>
            <w:r>
              <w:rPr>
                <w:rFonts w:ascii="Arial" w:eastAsia="Times New Roman" w:hAnsi="Arial" w:cs="Arial"/>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0792CDB4" w14:textId="77777777" w:rsidR="00000000" w:rsidRDefault="00C01C4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EA1AC7" w14:textId="77777777" w:rsidR="00000000" w:rsidRDefault="00C01C43">
            <w:pPr>
              <w:jc w:val="right"/>
              <w:rPr>
                <w:rFonts w:eastAsia="Times New Roman"/>
              </w:rPr>
            </w:pPr>
            <w:r>
              <w:rPr>
                <w:rFonts w:ascii="Arial" w:eastAsia="Times New Roman" w:hAnsi="Arial" w:cs="Arial"/>
                <w:b/>
                <w:bCs/>
                <w:color w:val="000000"/>
                <w:sz w:val="16"/>
                <w:szCs w:val="16"/>
              </w:rPr>
              <w:t>2018</w:t>
            </w:r>
          </w:p>
        </w:tc>
      </w:tr>
      <w:tr w:rsidR="00C01C43" w14:paraId="778679F8" w14:textId="77777777">
        <w:trPr>
          <w:divId w:val="490800412"/>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E8DF65C" w14:textId="77777777" w:rsidR="00000000" w:rsidRDefault="00C01C43">
            <w:pPr>
              <w:rPr>
                <w:rFonts w:eastAsia="Times New Roman"/>
              </w:rPr>
            </w:pPr>
            <w:r>
              <w:rPr>
                <w:rFonts w:ascii="Arial" w:eastAsia="Times New Roman" w:hAnsi="Arial" w:cs="Arial"/>
                <w:color w:val="000000"/>
                <w:sz w:val="16"/>
                <w:szCs w:val="16"/>
              </w:rPr>
              <w:t>Commodity contracts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310AED" w14:textId="77777777" w:rsidR="00000000" w:rsidRDefault="00C01C4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F7D0853"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AB55D60" w14:textId="77777777" w:rsidR="00000000" w:rsidRDefault="00C01C43">
            <w:pPr>
              <w:jc w:val="right"/>
              <w:rPr>
                <w:rFonts w:eastAsia="Times New Roman"/>
              </w:rPr>
            </w:pPr>
            <w:r>
              <w:rPr>
                <w:rFonts w:ascii="Arial" w:eastAsia="Times New Roman" w:hAnsi="Arial" w:cs="Arial"/>
                <w:color w:val="000000"/>
                <w:sz w:val="16"/>
                <w:szCs w:val="16"/>
              </w:rPr>
              <w:t>(20.8)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ACC0438"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CA91BD"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945DEBF"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87F0C1E" w14:textId="77777777" w:rsidR="00000000" w:rsidRDefault="00C01C43">
            <w:pPr>
              <w:jc w:val="right"/>
              <w:rPr>
                <w:rFonts w:eastAsia="Times New Roman"/>
              </w:rPr>
            </w:pPr>
            <w:r>
              <w:rPr>
                <w:rFonts w:ascii="Arial" w:eastAsia="Times New Roman" w:hAnsi="Arial" w:cs="Arial"/>
                <w:color w:val="000000"/>
                <w:sz w:val="16"/>
                <w:szCs w:val="16"/>
              </w:rPr>
              <w:t>(157.9)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00C6B9"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D4695E"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CDB23E6"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DFD05D8" w14:textId="77777777" w:rsidR="00000000" w:rsidRDefault="00C01C43">
            <w:pPr>
              <w:jc w:val="right"/>
              <w:rPr>
                <w:rFonts w:eastAsia="Times New Roman"/>
              </w:rPr>
            </w:pPr>
            <w:r>
              <w:rPr>
                <w:rFonts w:ascii="Arial" w:eastAsia="Times New Roman" w:hAnsi="Arial" w:cs="Arial"/>
                <w:color w:val="000000"/>
                <w:sz w:val="16"/>
                <w:szCs w:val="16"/>
              </w:rPr>
              <w:t>130.3 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D620C3"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17B3A4E5"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1C9A6AD" w14:textId="77777777" w:rsidR="00000000" w:rsidRDefault="00C01C43">
            <w:pPr>
              <w:rPr>
                <w:rFonts w:eastAsia="Times New Roman"/>
              </w:rPr>
            </w:pPr>
            <w:r>
              <w:rPr>
                <w:rFonts w:ascii="Arial" w:eastAsia="Times New Roman" w:hAnsi="Arial" w:cs="Arial"/>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0C319D" w14:textId="77777777" w:rsidR="00000000" w:rsidRDefault="00C01C4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ED803B1"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01264DD" w14:textId="77777777" w:rsidR="00000000" w:rsidRDefault="00C01C43">
            <w:pPr>
              <w:jc w:val="right"/>
              <w:rPr>
                <w:rFonts w:eastAsia="Times New Roman"/>
              </w:rPr>
            </w:pPr>
            <w:r>
              <w:rPr>
                <w:rFonts w:ascii="Arial" w:eastAsia="Times New Roman" w:hAnsi="Arial" w:cs="Arial"/>
                <w:color w:val="000000"/>
                <w:sz w:val="16"/>
                <w:szCs w:val="16"/>
              </w:rPr>
              <w:t>31.3 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B4114E"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08BED3"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18D4B78"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494F185" w14:textId="77777777" w:rsidR="00000000" w:rsidRDefault="00C01C43">
            <w:pPr>
              <w:jc w:val="right"/>
              <w:rPr>
                <w:rFonts w:eastAsia="Times New Roman"/>
              </w:rPr>
            </w:pPr>
            <w:r>
              <w:rPr>
                <w:rFonts w:ascii="Arial" w:eastAsia="Times New Roman" w:hAnsi="Arial" w:cs="Arial"/>
                <w:color w:val="000000"/>
                <w:sz w:val="16"/>
                <w:szCs w:val="16"/>
              </w:rPr>
              <w:t>(8.5)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024B43"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0E08C4"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5732AF9"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E445F08" w14:textId="77777777" w:rsidR="00000000" w:rsidRDefault="00C01C43">
            <w:pPr>
              <w:jc w:val="right"/>
              <w:rPr>
                <w:rFonts w:eastAsia="Times New Roman"/>
              </w:rPr>
            </w:pPr>
            <w:r>
              <w:rPr>
                <w:rFonts w:ascii="Arial" w:eastAsia="Times New Roman" w:hAnsi="Arial" w:cs="Arial"/>
                <w:color w:val="000000"/>
                <w:sz w:val="16"/>
                <w:szCs w:val="16"/>
              </w:rPr>
              <w:t>(23.5)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FEA82C" w14:textId="77777777" w:rsidR="00000000" w:rsidRDefault="00C01C43">
            <w:pPr>
              <w:jc w:val="right"/>
              <w:rPr>
                <w:rFonts w:eastAsia="Times New Roman"/>
              </w:rPr>
            </w:pPr>
          </w:p>
        </w:tc>
      </w:tr>
      <w:tr w:rsidR="00000000" w14:paraId="1AFAFB95" w14:textId="77777777">
        <w:trPr>
          <w:divId w:val="490800412"/>
          <w:jc w:val="center"/>
        </w:trPr>
        <w:tc>
          <w:tcPr>
            <w:tcW w:w="0" w:type="auto"/>
            <w:gridSpan w:val="3"/>
            <w:shd w:val="clear" w:color="auto" w:fill="FFFFFF"/>
            <w:tcMar>
              <w:top w:w="30" w:type="dxa"/>
              <w:left w:w="20" w:type="dxa"/>
              <w:bottom w:w="30" w:type="dxa"/>
              <w:right w:w="20" w:type="dxa"/>
            </w:tcMar>
            <w:vAlign w:val="center"/>
            <w:hideMark/>
          </w:tcPr>
          <w:p w14:paraId="7D022510" w14:textId="77777777" w:rsidR="00000000" w:rsidRDefault="00C01C43">
            <w:pPr>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14:paraId="5654CE52"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E7C1534" w14:textId="77777777" w:rsidR="00000000" w:rsidRDefault="00C01C43">
            <w:pPr>
              <w:jc w:val="right"/>
              <w:rPr>
                <w:rFonts w:eastAsia="Times New Roman"/>
              </w:rPr>
            </w:pPr>
            <w:r>
              <w:rPr>
                <w:rFonts w:ascii="Arial" w:eastAsia="Times New Roman" w:hAnsi="Arial" w:cs="Arial"/>
                <w:color w:val="000000"/>
                <w:sz w:val="16"/>
                <w:szCs w:val="16"/>
              </w:rPr>
              <w:t>(126.4)</w:t>
            </w:r>
          </w:p>
        </w:tc>
        <w:tc>
          <w:tcPr>
            <w:tcW w:w="0" w:type="auto"/>
            <w:shd w:val="clear" w:color="auto" w:fill="FFFFFF"/>
            <w:tcMar>
              <w:top w:w="30" w:type="dxa"/>
              <w:left w:w="0" w:type="dxa"/>
              <w:bottom w:w="30" w:type="dxa"/>
              <w:right w:w="20" w:type="dxa"/>
            </w:tcMar>
            <w:vAlign w:val="center"/>
            <w:hideMark/>
          </w:tcPr>
          <w:p w14:paraId="4946379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CEA10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052E5E" w14:textId="77777777" w:rsidR="00000000" w:rsidRDefault="00C01C43">
            <w:pPr>
              <w:jc w:val="right"/>
              <w:rPr>
                <w:rFonts w:eastAsia="Times New Roman"/>
              </w:rPr>
            </w:pPr>
            <w:r>
              <w:rPr>
                <w:rFonts w:ascii="Arial" w:eastAsia="Times New Roman" w:hAnsi="Arial" w:cs="Arial"/>
                <w:color w:val="000000"/>
                <w:sz w:val="16"/>
                <w:szCs w:val="16"/>
              </w:rPr>
              <w:t>160.6 </w:t>
            </w:r>
          </w:p>
        </w:tc>
        <w:tc>
          <w:tcPr>
            <w:tcW w:w="0" w:type="auto"/>
            <w:shd w:val="clear" w:color="auto" w:fill="FFFFFF"/>
            <w:tcMar>
              <w:top w:w="30" w:type="dxa"/>
              <w:left w:w="0" w:type="dxa"/>
              <w:bottom w:w="30" w:type="dxa"/>
              <w:right w:w="20" w:type="dxa"/>
            </w:tcMar>
            <w:vAlign w:val="center"/>
            <w:hideMark/>
          </w:tcPr>
          <w:p w14:paraId="78D079E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278A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3A88E3" w14:textId="77777777" w:rsidR="00000000" w:rsidRDefault="00C01C43">
            <w:pPr>
              <w:jc w:val="right"/>
              <w:rPr>
                <w:rFonts w:eastAsia="Times New Roman"/>
              </w:rPr>
            </w:pPr>
            <w:r>
              <w:rPr>
                <w:rFonts w:ascii="Arial" w:eastAsia="Times New Roman" w:hAnsi="Arial" w:cs="Arial"/>
                <w:color w:val="000000"/>
                <w:sz w:val="16"/>
                <w:szCs w:val="16"/>
              </w:rPr>
              <w:t>(87.8)</w:t>
            </w:r>
          </w:p>
        </w:tc>
        <w:tc>
          <w:tcPr>
            <w:tcW w:w="0" w:type="auto"/>
            <w:shd w:val="clear" w:color="auto" w:fill="FFFFFF"/>
            <w:tcMar>
              <w:top w:w="30" w:type="dxa"/>
              <w:left w:w="0" w:type="dxa"/>
              <w:bottom w:w="30" w:type="dxa"/>
              <w:right w:w="20" w:type="dxa"/>
            </w:tcMar>
            <w:vAlign w:val="center"/>
            <w:hideMark/>
          </w:tcPr>
          <w:p w14:paraId="4FA2428F"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1EE0367A" w14:textId="77777777" w:rsidR="00000000" w:rsidRDefault="00C01C43">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1A96A796" w14:textId="77777777" w:rsidR="00000000" w:rsidRDefault="00C01C43">
            <w:pPr>
              <w:rPr>
                <w:rFonts w:eastAsia="Times New Roman"/>
              </w:rPr>
            </w:pPr>
            <w:r>
              <w:rPr>
                <w:rFonts w:ascii="Arial" w:eastAsia="Times New Roman" w:hAnsi="Arial" w:cs="Arial"/>
                <w:color w:val="000000"/>
                <w:sz w:val="16"/>
                <w:szCs w:val="16"/>
              </w:rPr>
              <w:t>Cost of revenue</w:t>
            </w:r>
          </w:p>
        </w:tc>
        <w:tc>
          <w:tcPr>
            <w:tcW w:w="0" w:type="auto"/>
            <w:gridSpan w:val="3"/>
            <w:shd w:val="clear" w:color="auto" w:fill="FFFFFF"/>
            <w:tcMar>
              <w:top w:w="0" w:type="dxa"/>
              <w:left w:w="20" w:type="dxa"/>
              <w:bottom w:w="0" w:type="dxa"/>
              <w:right w:w="20" w:type="dxa"/>
            </w:tcMar>
            <w:vAlign w:val="center"/>
            <w:hideMark/>
          </w:tcPr>
          <w:p w14:paraId="20A7E0FD"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36F05ED" w14:textId="77777777" w:rsidR="00000000" w:rsidRDefault="00C01C43">
            <w:pPr>
              <w:jc w:val="right"/>
              <w:rPr>
                <w:rFonts w:eastAsia="Times New Roman"/>
              </w:rPr>
            </w:pPr>
            <w:r>
              <w:rPr>
                <w:rFonts w:ascii="Arial" w:eastAsia="Times New Roman" w:hAnsi="Arial" w:cs="Arial"/>
                <w:color w:val="000000"/>
                <w:sz w:val="16"/>
                <w:szCs w:val="16"/>
              </w:rPr>
              <w:t>(181.1)</w:t>
            </w:r>
          </w:p>
        </w:tc>
        <w:tc>
          <w:tcPr>
            <w:tcW w:w="0" w:type="auto"/>
            <w:shd w:val="clear" w:color="auto" w:fill="FFFFFF"/>
            <w:tcMar>
              <w:top w:w="30" w:type="dxa"/>
              <w:left w:w="0" w:type="dxa"/>
              <w:bottom w:w="30" w:type="dxa"/>
              <w:right w:w="20" w:type="dxa"/>
            </w:tcMar>
            <w:vAlign w:val="center"/>
            <w:hideMark/>
          </w:tcPr>
          <w:p w14:paraId="354341E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43BE2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E23DA5" w14:textId="77777777" w:rsidR="00000000" w:rsidRDefault="00C01C43">
            <w:pPr>
              <w:jc w:val="right"/>
              <w:rPr>
                <w:rFonts w:eastAsia="Times New Roman"/>
              </w:rPr>
            </w:pPr>
            <w:r>
              <w:rPr>
                <w:rFonts w:ascii="Arial" w:eastAsia="Times New Roman" w:hAnsi="Arial" w:cs="Arial"/>
                <w:color w:val="000000"/>
                <w:sz w:val="16"/>
                <w:szCs w:val="16"/>
              </w:rPr>
              <w:t>36.6 </w:t>
            </w:r>
          </w:p>
        </w:tc>
        <w:tc>
          <w:tcPr>
            <w:tcW w:w="0" w:type="auto"/>
            <w:shd w:val="clear" w:color="auto" w:fill="FFFFFF"/>
            <w:tcMar>
              <w:top w:w="30" w:type="dxa"/>
              <w:left w:w="0" w:type="dxa"/>
              <w:bottom w:w="30" w:type="dxa"/>
              <w:right w:w="20" w:type="dxa"/>
            </w:tcMar>
            <w:vAlign w:val="center"/>
            <w:hideMark/>
          </w:tcPr>
          <w:p w14:paraId="0F63E9B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0AC8D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C67C2C" w14:textId="77777777" w:rsidR="00000000" w:rsidRDefault="00C01C43">
            <w:pPr>
              <w:jc w:val="right"/>
              <w:rPr>
                <w:rFonts w:eastAsia="Times New Roman"/>
              </w:rPr>
            </w:pPr>
            <w:r>
              <w:rPr>
                <w:rFonts w:ascii="Arial" w:eastAsia="Times New Roman" w:hAnsi="Arial" w:cs="Arial"/>
                <w:color w:val="000000"/>
                <w:sz w:val="16"/>
                <w:szCs w:val="16"/>
              </w:rPr>
              <w:t>45.5 </w:t>
            </w:r>
          </w:p>
        </w:tc>
        <w:tc>
          <w:tcPr>
            <w:tcW w:w="0" w:type="auto"/>
            <w:shd w:val="clear" w:color="auto" w:fill="FFFFFF"/>
            <w:tcMar>
              <w:top w:w="30" w:type="dxa"/>
              <w:left w:w="0" w:type="dxa"/>
              <w:bottom w:w="30" w:type="dxa"/>
              <w:right w:w="20" w:type="dxa"/>
            </w:tcMar>
            <w:vAlign w:val="center"/>
            <w:hideMark/>
          </w:tcPr>
          <w:p w14:paraId="30968F0F" w14:textId="77777777" w:rsidR="00000000" w:rsidRDefault="00C01C43">
            <w:pPr>
              <w:jc w:val="right"/>
              <w:rPr>
                <w:rFonts w:eastAsia="Times New Roman"/>
              </w:rPr>
            </w:pPr>
          </w:p>
        </w:tc>
      </w:tr>
      <w:tr w:rsidR="00000000" w14:paraId="4B2E215D" w14:textId="77777777">
        <w:trPr>
          <w:divId w:val="490800412"/>
          <w:jc w:val="center"/>
        </w:trPr>
        <w:tc>
          <w:tcPr>
            <w:tcW w:w="0" w:type="auto"/>
            <w:gridSpan w:val="3"/>
            <w:shd w:val="clear" w:color="auto" w:fill="CCEEFF"/>
            <w:tcMar>
              <w:top w:w="30" w:type="dxa"/>
              <w:left w:w="20" w:type="dxa"/>
              <w:bottom w:w="30" w:type="dxa"/>
              <w:right w:w="20" w:type="dxa"/>
            </w:tcMar>
            <w:vAlign w:val="center"/>
            <w:hideMark/>
          </w:tcPr>
          <w:p w14:paraId="29924165" w14:textId="77777777" w:rsidR="00000000" w:rsidRDefault="00C01C43">
            <w:pPr>
              <w:rPr>
                <w:rFonts w:eastAsia="Times New Roman"/>
              </w:rPr>
            </w:pPr>
            <w:r>
              <w:rPr>
                <w:rFonts w:ascii="Arial" w:eastAsia="Times New Roman" w:hAnsi="Arial" w:cs="Arial"/>
                <w:color w:val="000000"/>
                <w:sz w:val="16"/>
                <w:szCs w:val="16"/>
              </w:rPr>
              <w:t>Interest rate contract</w:t>
            </w:r>
          </w:p>
        </w:tc>
        <w:tc>
          <w:tcPr>
            <w:tcW w:w="0" w:type="auto"/>
            <w:gridSpan w:val="3"/>
            <w:shd w:val="clear" w:color="auto" w:fill="CCEEFF"/>
            <w:tcMar>
              <w:top w:w="0" w:type="dxa"/>
              <w:left w:w="20" w:type="dxa"/>
              <w:bottom w:w="0" w:type="dxa"/>
              <w:right w:w="20" w:type="dxa"/>
            </w:tcMar>
            <w:vAlign w:val="center"/>
            <w:hideMark/>
          </w:tcPr>
          <w:p w14:paraId="6AE3975B"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8326BD4" w14:textId="77777777" w:rsidR="00000000" w:rsidRDefault="00C01C43">
            <w:pPr>
              <w:jc w:val="right"/>
              <w:rPr>
                <w:rFonts w:eastAsia="Times New Roman"/>
              </w:rPr>
            </w:pPr>
            <w:r>
              <w:rPr>
                <w:rFonts w:ascii="Arial" w:eastAsia="Times New Roman" w:hAnsi="Arial" w:cs="Arial"/>
                <w:color w:val="000000"/>
                <w:sz w:val="16"/>
                <w:szCs w:val="16"/>
              </w:rPr>
              <w:t>(3.2)</w:t>
            </w:r>
          </w:p>
        </w:tc>
        <w:tc>
          <w:tcPr>
            <w:tcW w:w="0" w:type="auto"/>
            <w:shd w:val="clear" w:color="auto" w:fill="CCEEFF"/>
            <w:tcMar>
              <w:top w:w="30" w:type="dxa"/>
              <w:left w:w="0" w:type="dxa"/>
              <w:bottom w:w="30" w:type="dxa"/>
              <w:right w:w="20" w:type="dxa"/>
            </w:tcMar>
            <w:vAlign w:val="center"/>
            <w:hideMark/>
          </w:tcPr>
          <w:p w14:paraId="015F81E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7453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F862EB"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28F7BF4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265A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B1B2F9"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3A2BB9FF"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3A8B46AD" w14:textId="77777777" w:rsidR="00000000" w:rsidRDefault="00C01C4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0C2328ED" w14:textId="77777777" w:rsidR="00000000" w:rsidRDefault="00C01C43">
            <w:pPr>
              <w:rPr>
                <w:rFonts w:eastAsia="Times New Roman"/>
              </w:rPr>
            </w:pPr>
            <w:r>
              <w:rPr>
                <w:rFonts w:ascii="Arial" w:eastAsia="Times New Roman" w:hAnsi="Arial" w:cs="Arial"/>
                <w:color w:val="000000"/>
                <w:sz w:val="16"/>
                <w:szCs w:val="16"/>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14:paraId="3BE5C9EA"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97FEA39" w14:textId="77777777" w:rsidR="00000000" w:rsidRDefault="00C01C43">
            <w:pPr>
              <w:jc w:val="right"/>
              <w:rPr>
                <w:rFonts w:eastAsia="Times New Roman"/>
              </w:rPr>
            </w:pPr>
            <w:r>
              <w:rPr>
                <w:rFonts w:ascii="Arial" w:eastAsia="Times New Roman" w:hAnsi="Arial" w:cs="Arial"/>
                <w:color w:val="000000"/>
                <w:sz w:val="16"/>
                <w:szCs w:val="16"/>
              </w:rPr>
              <w:t>(0.5)</w:t>
            </w:r>
          </w:p>
        </w:tc>
        <w:tc>
          <w:tcPr>
            <w:tcW w:w="0" w:type="auto"/>
            <w:shd w:val="clear" w:color="auto" w:fill="CCEEFF"/>
            <w:tcMar>
              <w:top w:w="30" w:type="dxa"/>
              <w:left w:w="0" w:type="dxa"/>
              <w:bottom w:w="30" w:type="dxa"/>
              <w:right w:w="20" w:type="dxa"/>
            </w:tcMar>
            <w:vAlign w:val="center"/>
            <w:hideMark/>
          </w:tcPr>
          <w:p w14:paraId="3B49933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A10D8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90D381"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080EBF1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C5131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7B5038"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center"/>
            <w:hideMark/>
          </w:tcPr>
          <w:p w14:paraId="44C16AE1" w14:textId="77777777" w:rsidR="00000000" w:rsidRDefault="00C01C43">
            <w:pPr>
              <w:jc w:val="right"/>
              <w:rPr>
                <w:rFonts w:eastAsia="Times New Roman"/>
              </w:rPr>
            </w:pPr>
          </w:p>
        </w:tc>
      </w:tr>
      <w:tr w:rsidR="00000000" w14:paraId="1D4B53EF" w14:textId="77777777">
        <w:trPr>
          <w:divId w:val="490800412"/>
          <w:jc w:val="center"/>
        </w:trPr>
        <w:tc>
          <w:tcPr>
            <w:tcW w:w="0" w:type="auto"/>
            <w:gridSpan w:val="3"/>
            <w:shd w:val="clear" w:color="auto" w:fill="FFFFFF"/>
            <w:tcMar>
              <w:top w:w="30" w:type="dxa"/>
              <w:left w:w="20" w:type="dxa"/>
              <w:bottom w:w="30" w:type="dxa"/>
              <w:right w:w="20" w:type="dxa"/>
            </w:tcMar>
            <w:vAlign w:val="center"/>
            <w:hideMark/>
          </w:tcPr>
          <w:p w14:paraId="43C2CEA4" w14:textId="77777777" w:rsidR="00000000" w:rsidRDefault="00C01C43">
            <w:pPr>
              <w:rPr>
                <w:rFonts w:eastAsia="Times New Roman"/>
              </w:rPr>
            </w:pPr>
            <w:r>
              <w:rPr>
                <w:rFonts w:ascii="Arial" w:eastAsia="Times New Roman" w:hAnsi="Arial" w:cs="Arial"/>
                <w:color w:val="000000"/>
                <w:sz w:val="16"/>
                <w:szCs w:val="16"/>
              </w:rPr>
              <w:t>Foreign Currency contracts</w:t>
            </w:r>
          </w:p>
        </w:tc>
        <w:tc>
          <w:tcPr>
            <w:tcW w:w="0" w:type="auto"/>
            <w:gridSpan w:val="3"/>
            <w:shd w:val="clear" w:color="auto" w:fill="FFFFFF"/>
            <w:tcMar>
              <w:top w:w="0" w:type="dxa"/>
              <w:left w:w="20" w:type="dxa"/>
              <w:bottom w:w="0" w:type="dxa"/>
              <w:right w:w="20" w:type="dxa"/>
            </w:tcMar>
            <w:vAlign w:val="center"/>
            <w:hideMark/>
          </w:tcPr>
          <w:p w14:paraId="237E4BF6"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F34E2CD"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center"/>
            <w:hideMark/>
          </w:tcPr>
          <w:p w14:paraId="6AEDA26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CDBC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094E46"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center"/>
            <w:hideMark/>
          </w:tcPr>
          <w:p w14:paraId="2E0C7E2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FF31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2D5BD4" w14:textId="77777777" w:rsidR="00000000" w:rsidRDefault="00C01C43">
            <w:pPr>
              <w:jc w:val="right"/>
              <w:rPr>
                <w:rFonts w:eastAsia="Times New Roman"/>
              </w:rPr>
            </w:pPr>
            <w:r>
              <w:rPr>
                <w:rFonts w:ascii="Arial" w:eastAsia="Times New Roman" w:hAnsi="Arial" w:cs="Arial"/>
                <w:color w:val="000000"/>
                <w:sz w:val="16"/>
                <w:szCs w:val="16"/>
              </w:rPr>
              <w:t>(1.1)</w:t>
            </w:r>
          </w:p>
        </w:tc>
        <w:tc>
          <w:tcPr>
            <w:tcW w:w="0" w:type="auto"/>
            <w:shd w:val="clear" w:color="auto" w:fill="FFFFFF"/>
            <w:tcMar>
              <w:top w:w="30" w:type="dxa"/>
              <w:left w:w="0" w:type="dxa"/>
              <w:bottom w:w="30" w:type="dxa"/>
              <w:right w:w="20" w:type="dxa"/>
            </w:tcMar>
            <w:vAlign w:val="center"/>
            <w:hideMark/>
          </w:tcPr>
          <w:p w14:paraId="15287669"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4C535BEE" w14:textId="77777777" w:rsidR="00000000" w:rsidRDefault="00C01C43">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34FAA5BC" w14:textId="77777777" w:rsidR="00000000" w:rsidRDefault="00C01C43">
            <w:pPr>
              <w:rPr>
                <w:rFonts w:eastAsia="Times New Roman"/>
              </w:rPr>
            </w:pPr>
            <w:r>
              <w:rPr>
                <w:rFonts w:ascii="Arial" w:eastAsia="Times New Roman" w:hAnsi="Arial" w:cs="Arial"/>
                <w:color w:val="000000"/>
                <w:sz w:val="16"/>
                <w:szCs w:val="16"/>
              </w:rPr>
              <w:t>Other Income (expense) net</w:t>
            </w:r>
          </w:p>
        </w:tc>
        <w:tc>
          <w:tcPr>
            <w:tcW w:w="0" w:type="auto"/>
            <w:gridSpan w:val="3"/>
            <w:shd w:val="clear" w:color="auto" w:fill="FFFFFF"/>
            <w:tcMar>
              <w:top w:w="0" w:type="dxa"/>
              <w:left w:w="20" w:type="dxa"/>
              <w:bottom w:w="0" w:type="dxa"/>
              <w:right w:w="20" w:type="dxa"/>
            </w:tcMar>
            <w:vAlign w:val="center"/>
            <w:hideMark/>
          </w:tcPr>
          <w:p w14:paraId="0EB4E2D5"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C6ECE6F"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center"/>
            <w:hideMark/>
          </w:tcPr>
          <w:p w14:paraId="51F255F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9805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1D2A47"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center"/>
            <w:hideMark/>
          </w:tcPr>
          <w:p w14:paraId="18EBA0C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330C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F4321E" w14:textId="77777777" w:rsidR="00000000" w:rsidRDefault="00C01C43">
            <w:pPr>
              <w:jc w:val="right"/>
              <w:rPr>
                <w:rFonts w:eastAsia="Times New Roman"/>
              </w:rPr>
            </w:pPr>
            <w:r>
              <w:rPr>
                <w:rFonts w:ascii="Arial" w:eastAsia="Times New Roman" w:hAnsi="Arial" w:cs="Arial"/>
                <w:color w:val="000000"/>
                <w:sz w:val="16"/>
                <w:szCs w:val="16"/>
              </w:rPr>
              <w:t>(1.1)</w:t>
            </w:r>
          </w:p>
        </w:tc>
        <w:tc>
          <w:tcPr>
            <w:tcW w:w="0" w:type="auto"/>
            <w:shd w:val="clear" w:color="auto" w:fill="FFFFFF"/>
            <w:tcMar>
              <w:top w:w="30" w:type="dxa"/>
              <w:left w:w="0" w:type="dxa"/>
              <w:bottom w:w="30" w:type="dxa"/>
              <w:right w:w="20" w:type="dxa"/>
            </w:tcMar>
            <w:vAlign w:val="center"/>
            <w:hideMark/>
          </w:tcPr>
          <w:p w14:paraId="3C33763A" w14:textId="77777777" w:rsidR="00000000" w:rsidRDefault="00C01C43">
            <w:pPr>
              <w:jc w:val="right"/>
              <w:rPr>
                <w:rFonts w:eastAsia="Times New Roman"/>
              </w:rPr>
            </w:pPr>
          </w:p>
        </w:tc>
      </w:tr>
      <w:tr w:rsidR="00C01C43" w14:paraId="5CDB0C66" w14:textId="77777777">
        <w:trPr>
          <w:divId w:val="490800412"/>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center"/>
            <w:hideMark/>
          </w:tcPr>
          <w:p w14:paraId="6DDFA886" w14:textId="77777777" w:rsidR="00000000" w:rsidRDefault="00C01C43">
            <w:pPr>
              <w:rPr>
                <w:rFonts w:eastAsia="Times New Roman"/>
              </w:rPr>
            </w:pPr>
            <w:r>
              <w:rPr>
                <w:rFonts w:ascii="Arial" w:eastAsia="Times New Roman" w:hAnsi="Arial" w:cs="Arial"/>
                <w:color w:val="000000"/>
                <w:sz w:val="16"/>
                <w:szCs w:val="16"/>
              </w:rPr>
              <w:t>Total gain (loss)</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8511F6E" w14:textId="77777777" w:rsidR="00000000" w:rsidRDefault="00C01C4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B2F9774"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BD2047A" w14:textId="77777777" w:rsidR="00000000" w:rsidRDefault="00C01C43">
            <w:pPr>
              <w:jc w:val="right"/>
              <w:rPr>
                <w:rFonts w:eastAsia="Times New Roman"/>
              </w:rPr>
            </w:pPr>
            <w:r>
              <w:rPr>
                <w:rFonts w:ascii="Arial" w:eastAsia="Times New Roman" w:hAnsi="Arial" w:cs="Arial"/>
                <w:color w:val="000000"/>
                <w:sz w:val="16"/>
                <w:szCs w:val="16"/>
              </w:rPr>
              <w:t>(150.4)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3026CCD"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F14BBF4"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97B646B"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DC84279" w14:textId="77777777" w:rsidR="00000000" w:rsidRDefault="00C01C43">
            <w:pPr>
              <w:jc w:val="right"/>
              <w:rPr>
                <w:rFonts w:eastAsia="Times New Roman"/>
              </w:rPr>
            </w:pPr>
            <w:r>
              <w:rPr>
                <w:rFonts w:ascii="Arial" w:eastAsia="Times New Roman" w:hAnsi="Arial" w:cs="Arial"/>
                <w:color w:val="000000"/>
                <w:sz w:val="16"/>
                <w:szCs w:val="16"/>
              </w:rPr>
              <w:t>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6AB017D"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964D09B"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BA3ACFD"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1304838" w14:textId="77777777" w:rsidR="00000000" w:rsidRDefault="00C01C43">
            <w:pPr>
              <w:jc w:val="right"/>
              <w:rPr>
                <w:rFonts w:eastAsia="Times New Roman"/>
              </w:rPr>
            </w:pPr>
            <w:r>
              <w:rPr>
                <w:rFonts w:ascii="Arial" w:eastAsia="Times New Roman" w:hAnsi="Arial" w:cs="Arial"/>
                <w:color w:val="000000"/>
                <w:sz w:val="16"/>
                <w:szCs w:val="16"/>
              </w:rPr>
              <w:t>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44F4BCF"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611C1845" w14:textId="77777777" w:rsidR="00000000" w:rsidRDefault="00C01C43">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center"/>
            <w:hideMark/>
          </w:tcPr>
          <w:p w14:paraId="0DDBECC5" w14:textId="77777777" w:rsidR="00000000" w:rsidRDefault="00C01C43">
            <w:pPr>
              <w:rPr>
                <w:rFonts w:eastAsia="Times New Roman"/>
              </w:rPr>
            </w:pPr>
            <w:r>
              <w:rPr>
                <w:rFonts w:ascii="Arial" w:eastAsia="Times New Roman" w:hAnsi="Arial" w:cs="Arial"/>
                <w:color w:val="000000"/>
                <w:sz w:val="16"/>
                <w:szCs w:val="16"/>
              </w:rPr>
              <w:t>Total gain (loss)</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916E754" w14:textId="77777777" w:rsidR="00000000" w:rsidRDefault="00C01C4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EB57057"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1A35F84" w14:textId="77777777" w:rsidR="00000000" w:rsidRDefault="00C01C43">
            <w:pPr>
              <w:jc w:val="right"/>
              <w:rPr>
                <w:rFonts w:eastAsia="Times New Roman"/>
              </w:rPr>
            </w:pPr>
            <w:r>
              <w:rPr>
                <w:rFonts w:ascii="Arial" w:eastAsia="Times New Roman" w:hAnsi="Arial" w:cs="Arial"/>
                <w:color w:val="000000"/>
                <w:sz w:val="16"/>
                <w:szCs w:val="16"/>
              </w:rPr>
              <w:t>(150.3)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39447B5"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A8FD526"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AF1104E"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D0B8A22" w14:textId="77777777" w:rsidR="00000000" w:rsidRDefault="00C01C43">
            <w:pPr>
              <w:jc w:val="right"/>
              <w:rPr>
                <w:rFonts w:eastAsia="Times New Roman"/>
              </w:rPr>
            </w:pPr>
            <w:r>
              <w:rPr>
                <w:rFonts w:ascii="Arial" w:eastAsia="Times New Roman" w:hAnsi="Arial" w:cs="Arial"/>
                <w:color w:val="000000"/>
                <w:sz w:val="16"/>
                <w:szCs w:val="16"/>
              </w:rPr>
              <w:t>28.1 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EBEEF54"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DF02D1A"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1FF1225"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167C4CD" w14:textId="77777777" w:rsidR="00000000" w:rsidRDefault="00C01C43">
            <w:pPr>
              <w:jc w:val="right"/>
              <w:rPr>
                <w:rFonts w:eastAsia="Times New Roman"/>
              </w:rPr>
            </w:pPr>
            <w:r>
              <w:rPr>
                <w:rFonts w:ascii="Arial" w:eastAsia="Times New Roman" w:hAnsi="Arial" w:cs="Arial"/>
                <w:color w:val="000000"/>
                <w:sz w:val="16"/>
                <w:szCs w:val="16"/>
              </w:rPr>
              <w:t>20.9 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4F59829" w14:textId="77777777" w:rsidR="00000000" w:rsidRDefault="00C01C43">
            <w:pPr>
              <w:jc w:val="right"/>
              <w:rPr>
                <w:rFonts w:eastAsia="Times New Roman"/>
              </w:rPr>
            </w:pPr>
          </w:p>
        </w:tc>
      </w:tr>
    </w:tbl>
    <w:p w14:paraId="5A779089" w14:textId="77777777" w:rsidR="00000000" w:rsidRDefault="00C01C43">
      <w:pPr>
        <w:jc w:val="both"/>
        <w:rPr>
          <w:rFonts w:eastAsia="Times New Roman"/>
        </w:rPr>
      </w:pPr>
    </w:p>
    <w:p w14:paraId="37F0AC70" w14:textId="77777777" w:rsidR="00000000" w:rsidRDefault="00C01C43">
      <w:pPr>
        <w:jc w:val="both"/>
        <w:rPr>
          <w:rFonts w:eastAsia="Times New Roman"/>
        </w:rPr>
      </w:pPr>
      <w:r>
        <w:rPr>
          <w:rFonts w:ascii="Arial" w:eastAsia="Times New Roman" w:hAnsi="Arial" w:cs="Arial"/>
          <w:color w:val="000000"/>
          <w:sz w:val="20"/>
          <w:szCs w:val="20"/>
        </w:rPr>
        <w:t>For the twelve months ended December 31, 2020, the amounts not recorded in Accumulated Other</w:t>
      </w:r>
      <w:r>
        <w:rPr>
          <w:rFonts w:ascii="Arial" w:eastAsia="Times New Roman" w:hAnsi="Arial" w:cs="Arial"/>
          <w:color w:val="000000"/>
          <w:sz w:val="20"/>
          <w:szCs w:val="20"/>
        </w:rPr>
        <w:t xml:space="preserve"> Comprehensive Income due to intra-period settlement but recognized in Revenue and Cost of revenue was a gain of $505.6 million and a loss of $181.6 million, respectively. During the twelve months ended December 31, 2019, the amounts recognized were a loss</w:t>
      </w:r>
      <w:r>
        <w:rPr>
          <w:rFonts w:ascii="Arial" w:eastAsia="Times New Roman" w:hAnsi="Arial" w:cs="Arial"/>
          <w:color w:val="000000"/>
          <w:sz w:val="20"/>
          <w:szCs w:val="20"/>
        </w:rPr>
        <w:t xml:space="preserve"> of $51.5 million and $7.1 million in Revenue and Cost of revenue, respectively. For the twelve months ended December 31, 2018, the amounts recognized were a loss of $34.4 million and a gain of $21.3 million in Revenue and Cost of revenue, respectively.</w:t>
      </w:r>
    </w:p>
    <w:p w14:paraId="27142845" w14:textId="77777777" w:rsidR="00000000" w:rsidRDefault="00C01C43">
      <w:pPr>
        <w:jc w:val="both"/>
        <w:rPr>
          <w:rFonts w:eastAsia="Times New Roman"/>
        </w:rPr>
      </w:pPr>
    </w:p>
    <w:p w14:paraId="4B59A1E7" w14:textId="77777777" w:rsidR="00000000" w:rsidRDefault="00C01C43">
      <w:pPr>
        <w:jc w:val="both"/>
        <w:rPr>
          <w:rFonts w:eastAsia="Times New Roman"/>
        </w:rPr>
      </w:pPr>
      <w:r>
        <w:rPr>
          <w:rFonts w:ascii="Arial" w:eastAsia="Times New Roman" w:hAnsi="Arial" w:cs="Arial"/>
          <w:color w:val="000000"/>
          <w:sz w:val="20"/>
          <w:szCs w:val="20"/>
        </w:rPr>
        <w:t>The following table presents the effect and financial statement location of our derivative instruments not designated as hedging instruments on our Consolidated Statements of Income and Comprehensive Income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3019"/>
        <w:gridCol w:w="37"/>
        <w:gridCol w:w="45"/>
        <w:gridCol w:w="2264"/>
        <w:gridCol w:w="36"/>
        <w:gridCol w:w="36"/>
        <w:gridCol w:w="53"/>
        <w:gridCol w:w="36"/>
        <w:gridCol w:w="109"/>
        <w:gridCol w:w="683"/>
        <w:gridCol w:w="36"/>
        <w:gridCol w:w="36"/>
        <w:gridCol w:w="53"/>
        <w:gridCol w:w="36"/>
        <w:gridCol w:w="109"/>
        <w:gridCol w:w="683"/>
        <w:gridCol w:w="36"/>
        <w:gridCol w:w="36"/>
        <w:gridCol w:w="53"/>
        <w:gridCol w:w="36"/>
        <w:gridCol w:w="109"/>
        <w:gridCol w:w="684"/>
        <w:gridCol w:w="36"/>
      </w:tblGrid>
      <w:tr w:rsidR="00000000" w14:paraId="67B5118C" w14:textId="77777777">
        <w:trPr>
          <w:divId w:val="315498208"/>
          <w:jc w:val="center"/>
        </w:trPr>
        <w:tc>
          <w:tcPr>
            <w:tcW w:w="50" w:type="pct"/>
            <w:vAlign w:val="center"/>
            <w:hideMark/>
          </w:tcPr>
          <w:p w14:paraId="48A4F5A8" w14:textId="77777777" w:rsidR="00000000" w:rsidRDefault="00C01C43">
            <w:pPr>
              <w:jc w:val="both"/>
              <w:rPr>
                <w:rFonts w:eastAsia="Times New Roman"/>
              </w:rPr>
            </w:pPr>
          </w:p>
        </w:tc>
        <w:tc>
          <w:tcPr>
            <w:tcW w:w="1838" w:type="pct"/>
            <w:vAlign w:val="center"/>
            <w:hideMark/>
          </w:tcPr>
          <w:p w14:paraId="7B710698" w14:textId="77777777" w:rsidR="00000000" w:rsidRDefault="00C01C43">
            <w:pPr>
              <w:rPr>
                <w:rFonts w:eastAsia="Times New Roman"/>
                <w:sz w:val="20"/>
                <w:szCs w:val="20"/>
              </w:rPr>
            </w:pPr>
          </w:p>
        </w:tc>
        <w:tc>
          <w:tcPr>
            <w:tcW w:w="5" w:type="pct"/>
            <w:vAlign w:val="center"/>
            <w:hideMark/>
          </w:tcPr>
          <w:p w14:paraId="3A16E9E2" w14:textId="77777777" w:rsidR="00000000" w:rsidRDefault="00C01C43">
            <w:pPr>
              <w:rPr>
                <w:rFonts w:eastAsia="Times New Roman"/>
                <w:sz w:val="20"/>
                <w:szCs w:val="20"/>
              </w:rPr>
            </w:pPr>
          </w:p>
        </w:tc>
        <w:tc>
          <w:tcPr>
            <w:tcW w:w="50" w:type="pct"/>
            <w:vAlign w:val="center"/>
            <w:hideMark/>
          </w:tcPr>
          <w:p w14:paraId="1C1755E6" w14:textId="77777777" w:rsidR="00000000" w:rsidRDefault="00C01C43">
            <w:pPr>
              <w:rPr>
                <w:rFonts w:eastAsia="Times New Roman"/>
                <w:sz w:val="20"/>
                <w:szCs w:val="20"/>
              </w:rPr>
            </w:pPr>
          </w:p>
        </w:tc>
        <w:tc>
          <w:tcPr>
            <w:tcW w:w="1385" w:type="pct"/>
            <w:vAlign w:val="center"/>
            <w:hideMark/>
          </w:tcPr>
          <w:p w14:paraId="46472761" w14:textId="77777777" w:rsidR="00000000" w:rsidRDefault="00C01C43">
            <w:pPr>
              <w:rPr>
                <w:rFonts w:eastAsia="Times New Roman"/>
                <w:sz w:val="20"/>
                <w:szCs w:val="20"/>
              </w:rPr>
            </w:pPr>
          </w:p>
        </w:tc>
        <w:tc>
          <w:tcPr>
            <w:tcW w:w="5" w:type="pct"/>
            <w:vAlign w:val="center"/>
            <w:hideMark/>
          </w:tcPr>
          <w:p w14:paraId="32BE9160" w14:textId="77777777" w:rsidR="00000000" w:rsidRDefault="00C01C43">
            <w:pPr>
              <w:rPr>
                <w:rFonts w:eastAsia="Times New Roman"/>
                <w:sz w:val="20"/>
                <w:szCs w:val="20"/>
              </w:rPr>
            </w:pPr>
          </w:p>
        </w:tc>
        <w:tc>
          <w:tcPr>
            <w:tcW w:w="5" w:type="pct"/>
            <w:vAlign w:val="center"/>
            <w:hideMark/>
          </w:tcPr>
          <w:p w14:paraId="53DBE13F" w14:textId="77777777" w:rsidR="00000000" w:rsidRDefault="00C01C43">
            <w:pPr>
              <w:rPr>
                <w:rFonts w:eastAsia="Times New Roman"/>
                <w:sz w:val="20"/>
                <w:szCs w:val="20"/>
              </w:rPr>
            </w:pPr>
          </w:p>
        </w:tc>
        <w:tc>
          <w:tcPr>
            <w:tcW w:w="55" w:type="pct"/>
            <w:vAlign w:val="center"/>
            <w:hideMark/>
          </w:tcPr>
          <w:p w14:paraId="355D11C4" w14:textId="77777777" w:rsidR="00000000" w:rsidRDefault="00C01C43">
            <w:pPr>
              <w:rPr>
                <w:rFonts w:eastAsia="Times New Roman"/>
                <w:sz w:val="20"/>
                <w:szCs w:val="20"/>
              </w:rPr>
            </w:pPr>
          </w:p>
        </w:tc>
        <w:tc>
          <w:tcPr>
            <w:tcW w:w="5" w:type="pct"/>
            <w:vAlign w:val="center"/>
            <w:hideMark/>
          </w:tcPr>
          <w:p w14:paraId="4E7F6AE9" w14:textId="77777777" w:rsidR="00000000" w:rsidRDefault="00C01C43">
            <w:pPr>
              <w:rPr>
                <w:rFonts w:eastAsia="Times New Roman"/>
                <w:sz w:val="20"/>
                <w:szCs w:val="20"/>
              </w:rPr>
            </w:pPr>
          </w:p>
        </w:tc>
        <w:tc>
          <w:tcPr>
            <w:tcW w:w="50" w:type="pct"/>
            <w:vAlign w:val="center"/>
            <w:hideMark/>
          </w:tcPr>
          <w:p w14:paraId="09355D44" w14:textId="77777777" w:rsidR="00000000" w:rsidRDefault="00C01C43">
            <w:pPr>
              <w:rPr>
                <w:rFonts w:eastAsia="Times New Roman"/>
                <w:sz w:val="20"/>
                <w:szCs w:val="20"/>
              </w:rPr>
            </w:pPr>
          </w:p>
        </w:tc>
        <w:tc>
          <w:tcPr>
            <w:tcW w:w="434" w:type="pct"/>
            <w:vAlign w:val="center"/>
            <w:hideMark/>
          </w:tcPr>
          <w:p w14:paraId="5F47AD67" w14:textId="77777777" w:rsidR="00000000" w:rsidRDefault="00C01C43">
            <w:pPr>
              <w:rPr>
                <w:rFonts w:eastAsia="Times New Roman"/>
                <w:sz w:val="20"/>
                <w:szCs w:val="20"/>
              </w:rPr>
            </w:pPr>
          </w:p>
        </w:tc>
        <w:tc>
          <w:tcPr>
            <w:tcW w:w="5" w:type="pct"/>
            <w:vAlign w:val="center"/>
            <w:hideMark/>
          </w:tcPr>
          <w:p w14:paraId="5BD42EFE" w14:textId="77777777" w:rsidR="00000000" w:rsidRDefault="00C01C43">
            <w:pPr>
              <w:rPr>
                <w:rFonts w:eastAsia="Times New Roman"/>
                <w:sz w:val="20"/>
                <w:szCs w:val="20"/>
              </w:rPr>
            </w:pPr>
          </w:p>
        </w:tc>
        <w:tc>
          <w:tcPr>
            <w:tcW w:w="5" w:type="pct"/>
            <w:vAlign w:val="center"/>
            <w:hideMark/>
          </w:tcPr>
          <w:p w14:paraId="761BB9A9" w14:textId="77777777" w:rsidR="00000000" w:rsidRDefault="00C01C43">
            <w:pPr>
              <w:rPr>
                <w:rFonts w:eastAsia="Times New Roman"/>
                <w:sz w:val="20"/>
                <w:szCs w:val="20"/>
              </w:rPr>
            </w:pPr>
          </w:p>
        </w:tc>
        <w:tc>
          <w:tcPr>
            <w:tcW w:w="55" w:type="pct"/>
            <w:vAlign w:val="center"/>
            <w:hideMark/>
          </w:tcPr>
          <w:p w14:paraId="20AE7E1C" w14:textId="77777777" w:rsidR="00000000" w:rsidRDefault="00C01C43">
            <w:pPr>
              <w:rPr>
                <w:rFonts w:eastAsia="Times New Roman"/>
                <w:sz w:val="20"/>
                <w:szCs w:val="20"/>
              </w:rPr>
            </w:pPr>
          </w:p>
        </w:tc>
        <w:tc>
          <w:tcPr>
            <w:tcW w:w="5" w:type="pct"/>
            <w:vAlign w:val="center"/>
            <w:hideMark/>
          </w:tcPr>
          <w:p w14:paraId="6128B96F" w14:textId="77777777" w:rsidR="00000000" w:rsidRDefault="00C01C43">
            <w:pPr>
              <w:rPr>
                <w:rFonts w:eastAsia="Times New Roman"/>
                <w:sz w:val="20"/>
                <w:szCs w:val="20"/>
              </w:rPr>
            </w:pPr>
          </w:p>
        </w:tc>
        <w:tc>
          <w:tcPr>
            <w:tcW w:w="50" w:type="pct"/>
            <w:vAlign w:val="center"/>
            <w:hideMark/>
          </w:tcPr>
          <w:p w14:paraId="725EB92E" w14:textId="77777777" w:rsidR="00000000" w:rsidRDefault="00C01C43">
            <w:pPr>
              <w:rPr>
                <w:rFonts w:eastAsia="Times New Roman"/>
                <w:sz w:val="20"/>
                <w:szCs w:val="20"/>
              </w:rPr>
            </w:pPr>
          </w:p>
        </w:tc>
        <w:tc>
          <w:tcPr>
            <w:tcW w:w="434" w:type="pct"/>
            <w:vAlign w:val="center"/>
            <w:hideMark/>
          </w:tcPr>
          <w:p w14:paraId="36F2FC18" w14:textId="77777777" w:rsidR="00000000" w:rsidRDefault="00C01C43">
            <w:pPr>
              <w:rPr>
                <w:rFonts w:eastAsia="Times New Roman"/>
                <w:sz w:val="20"/>
                <w:szCs w:val="20"/>
              </w:rPr>
            </w:pPr>
          </w:p>
        </w:tc>
        <w:tc>
          <w:tcPr>
            <w:tcW w:w="5" w:type="pct"/>
            <w:vAlign w:val="center"/>
            <w:hideMark/>
          </w:tcPr>
          <w:p w14:paraId="22BDEB3A" w14:textId="77777777" w:rsidR="00000000" w:rsidRDefault="00C01C43">
            <w:pPr>
              <w:rPr>
                <w:rFonts w:eastAsia="Times New Roman"/>
                <w:sz w:val="20"/>
                <w:szCs w:val="20"/>
              </w:rPr>
            </w:pPr>
          </w:p>
        </w:tc>
        <w:tc>
          <w:tcPr>
            <w:tcW w:w="5" w:type="pct"/>
            <w:vAlign w:val="center"/>
            <w:hideMark/>
          </w:tcPr>
          <w:p w14:paraId="6AF5E6FC" w14:textId="77777777" w:rsidR="00000000" w:rsidRDefault="00C01C43">
            <w:pPr>
              <w:rPr>
                <w:rFonts w:eastAsia="Times New Roman"/>
                <w:sz w:val="20"/>
                <w:szCs w:val="20"/>
              </w:rPr>
            </w:pPr>
          </w:p>
        </w:tc>
        <w:tc>
          <w:tcPr>
            <w:tcW w:w="55" w:type="pct"/>
            <w:vAlign w:val="center"/>
            <w:hideMark/>
          </w:tcPr>
          <w:p w14:paraId="76AB465B" w14:textId="77777777" w:rsidR="00000000" w:rsidRDefault="00C01C43">
            <w:pPr>
              <w:rPr>
                <w:rFonts w:eastAsia="Times New Roman"/>
                <w:sz w:val="20"/>
                <w:szCs w:val="20"/>
              </w:rPr>
            </w:pPr>
          </w:p>
        </w:tc>
        <w:tc>
          <w:tcPr>
            <w:tcW w:w="5" w:type="pct"/>
            <w:vAlign w:val="center"/>
            <w:hideMark/>
          </w:tcPr>
          <w:p w14:paraId="23B71828" w14:textId="77777777" w:rsidR="00000000" w:rsidRDefault="00C01C43">
            <w:pPr>
              <w:rPr>
                <w:rFonts w:eastAsia="Times New Roman"/>
                <w:sz w:val="20"/>
                <w:szCs w:val="20"/>
              </w:rPr>
            </w:pPr>
          </w:p>
        </w:tc>
        <w:tc>
          <w:tcPr>
            <w:tcW w:w="50" w:type="pct"/>
            <w:vAlign w:val="center"/>
            <w:hideMark/>
          </w:tcPr>
          <w:p w14:paraId="42267D30" w14:textId="77777777" w:rsidR="00000000" w:rsidRDefault="00C01C43">
            <w:pPr>
              <w:rPr>
                <w:rFonts w:eastAsia="Times New Roman"/>
                <w:sz w:val="20"/>
                <w:szCs w:val="20"/>
              </w:rPr>
            </w:pPr>
          </w:p>
        </w:tc>
        <w:tc>
          <w:tcPr>
            <w:tcW w:w="434" w:type="pct"/>
            <w:vAlign w:val="center"/>
            <w:hideMark/>
          </w:tcPr>
          <w:p w14:paraId="599D7F4A" w14:textId="77777777" w:rsidR="00000000" w:rsidRDefault="00C01C43">
            <w:pPr>
              <w:rPr>
                <w:rFonts w:eastAsia="Times New Roman"/>
                <w:sz w:val="20"/>
                <w:szCs w:val="20"/>
              </w:rPr>
            </w:pPr>
          </w:p>
        </w:tc>
        <w:tc>
          <w:tcPr>
            <w:tcW w:w="5" w:type="pct"/>
            <w:vAlign w:val="center"/>
            <w:hideMark/>
          </w:tcPr>
          <w:p w14:paraId="0A292675" w14:textId="77777777" w:rsidR="00000000" w:rsidRDefault="00C01C43">
            <w:pPr>
              <w:rPr>
                <w:rFonts w:eastAsia="Times New Roman"/>
                <w:sz w:val="20"/>
                <w:szCs w:val="20"/>
              </w:rPr>
            </w:pPr>
          </w:p>
        </w:tc>
      </w:tr>
      <w:tr w:rsidR="00000000" w14:paraId="047A69E3" w14:textId="77777777">
        <w:trPr>
          <w:divId w:val="315498208"/>
          <w:jc w:val="center"/>
        </w:trPr>
        <w:tc>
          <w:tcPr>
            <w:tcW w:w="0" w:type="auto"/>
            <w:gridSpan w:val="3"/>
            <w:tcMar>
              <w:top w:w="30" w:type="dxa"/>
              <w:left w:w="20" w:type="dxa"/>
              <w:bottom w:w="30" w:type="dxa"/>
              <w:right w:w="20" w:type="dxa"/>
            </w:tcMar>
            <w:vAlign w:val="bottom"/>
            <w:hideMark/>
          </w:tcPr>
          <w:p w14:paraId="286F06CC" w14:textId="77777777" w:rsidR="00000000" w:rsidRDefault="00C01C43">
            <w:pPr>
              <w:rPr>
                <w:rFonts w:eastAsia="Times New Roman"/>
              </w:rPr>
            </w:pPr>
            <w:r>
              <w:rPr>
                <w:rFonts w:ascii="Arial" w:eastAsia="Times New Roman" w:hAnsi="Arial" w:cs="Arial"/>
                <w:b/>
                <w:bCs/>
                <w:color w:val="000000"/>
                <w:sz w:val="16"/>
                <w:szCs w:val="16"/>
              </w:rPr>
              <w:t>Amount of Realized and Unrealized Gain (Loss)</w:t>
            </w:r>
          </w:p>
        </w:tc>
        <w:tc>
          <w:tcPr>
            <w:tcW w:w="0" w:type="auto"/>
            <w:gridSpan w:val="3"/>
            <w:tcMar>
              <w:top w:w="0" w:type="dxa"/>
              <w:left w:w="20" w:type="dxa"/>
              <w:bottom w:w="0" w:type="dxa"/>
              <w:right w:w="20" w:type="dxa"/>
            </w:tcMar>
            <w:vAlign w:val="center"/>
            <w:hideMark/>
          </w:tcPr>
          <w:p w14:paraId="466478E8" w14:textId="77777777" w:rsidR="00000000" w:rsidRDefault="00C01C43">
            <w:pPr>
              <w:rPr>
                <w:rFonts w:eastAsia="Times New Roman"/>
              </w:rPr>
            </w:pPr>
          </w:p>
        </w:tc>
        <w:tc>
          <w:tcPr>
            <w:tcW w:w="0" w:type="auto"/>
            <w:gridSpan w:val="18"/>
            <w:tcMar>
              <w:top w:w="30" w:type="dxa"/>
              <w:left w:w="20" w:type="dxa"/>
              <w:bottom w:w="30" w:type="dxa"/>
              <w:right w:w="20" w:type="dxa"/>
            </w:tcMar>
            <w:vAlign w:val="bottom"/>
            <w:hideMark/>
          </w:tcPr>
          <w:p w14:paraId="177F29FC" w14:textId="77777777" w:rsidR="00000000" w:rsidRDefault="00C01C43">
            <w:pPr>
              <w:jc w:val="center"/>
              <w:rPr>
                <w:rFonts w:eastAsia="Times New Roman"/>
              </w:rPr>
            </w:pPr>
            <w:r>
              <w:rPr>
                <w:rFonts w:ascii="Arial" w:eastAsia="Times New Roman" w:hAnsi="Arial" w:cs="Arial"/>
                <w:b/>
                <w:bCs/>
                <w:color w:val="000000"/>
                <w:sz w:val="16"/>
                <w:szCs w:val="16"/>
              </w:rPr>
              <w:t>For the Year Ended</w:t>
            </w:r>
          </w:p>
        </w:tc>
      </w:tr>
      <w:tr w:rsidR="00000000" w14:paraId="613B7CDC" w14:textId="77777777">
        <w:trPr>
          <w:divId w:val="315498208"/>
          <w:jc w:val="center"/>
        </w:trPr>
        <w:tc>
          <w:tcPr>
            <w:tcW w:w="0" w:type="auto"/>
            <w:gridSpan w:val="3"/>
            <w:tcMar>
              <w:top w:w="0" w:type="dxa"/>
              <w:left w:w="20" w:type="dxa"/>
              <w:bottom w:w="0" w:type="dxa"/>
              <w:right w:w="20" w:type="dxa"/>
            </w:tcMar>
            <w:vAlign w:val="center"/>
            <w:hideMark/>
          </w:tcPr>
          <w:p w14:paraId="673CEBED"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2733C15C" w14:textId="77777777" w:rsidR="00000000" w:rsidRDefault="00C01C43">
            <w:pPr>
              <w:rPr>
                <w:rFonts w:eastAsia="Times New Roman"/>
                <w:sz w:val="20"/>
                <w:szCs w:val="20"/>
              </w:rPr>
            </w:pPr>
          </w:p>
        </w:tc>
        <w:tc>
          <w:tcPr>
            <w:tcW w:w="0" w:type="auto"/>
            <w:gridSpan w:val="18"/>
            <w:tcMar>
              <w:top w:w="30" w:type="dxa"/>
              <w:left w:w="20" w:type="dxa"/>
              <w:bottom w:w="30" w:type="dxa"/>
              <w:right w:w="20" w:type="dxa"/>
            </w:tcMar>
            <w:vAlign w:val="bottom"/>
            <w:hideMark/>
          </w:tcPr>
          <w:p w14:paraId="078DAD3C" w14:textId="77777777" w:rsidR="00000000" w:rsidRDefault="00C01C43">
            <w:pPr>
              <w:jc w:val="center"/>
              <w:rPr>
                <w:rFonts w:eastAsia="Times New Roman"/>
              </w:rPr>
            </w:pPr>
            <w:r>
              <w:rPr>
                <w:rFonts w:ascii="Arial" w:eastAsia="Times New Roman" w:hAnsi="Arial" w:cs="Arial"/>
                <w:b/>
                <w:bCs/>
                <w:color w:val="000000"/>
                <w:sz w:val="16"/>
                <w:szCs w:val="16"/>
              </w:rPr>
              <w:t>December 31,</w:t>
            </w:r>
          </w:p>
        </w:tc>
      </w:tr>
      <w:tr w:rsidR="00000000" w14:paraId="2B1C6FC2" w14:textId="77777777">
        <w:trPr>
          <w:divId w:val="315498208"/>
          <w:jc w:val="center"/>
        </w:trPr>
        <w:tc>
          <w:tcPr>
            <w:tcW w:w="0" w:type="auto"/>
            <w:gridSpan w:val="3"/>
            <w:tcMar>
              <w:top w:w="30" w:type="dxa"/>
              <w:left w:w="20" w:type="dxa"/>
              <w:bottom w:w="30" w:type="dxa"/>
              <w:right w:w="20" w:type="dxa"/>
            </w:tcMar>
            <w:vAlign w:val="bottom"/>
            <w:hideMark/>
          </w:tcPr>
          <w:p w14:paraId="4231E840" w14:textId="77777777" w:rsidR="00000000" w:rsidRDefault="00C01C43">
            <w:pPr>
              <w:rPr>
                <w:rFonts w:eastAsia="Times New Roman"/>
              </w:rPr>
            </w:pPr>
            <w:r>
              <w:rPr>
                <w:rFonts w:ascii="Arial" w:eastAsia="Times New Roman" w:hAnsi="Arial" w:cs="Arial"/>
                <w:b/>
                <w:bCs/>
                <w:color w:val="000000"/>
                <w:sz w:val="16"/>
                <w:szCs w:val="16"/>
              </w:rPr>
              <w:t>Derivative Instruments - Non-designated</w:t>
            </w:r>
          </w:p>
        </w:tc>
        <w:tc>
          <w:tcPr>
            <w:tcW w:w="0" w:type="auto"/>
            <w:gridSpan w:val="3"/>
            <w:tcBorders>
              <w:bottom w:val="single" w:sz="8" w:space="0" w:color="000000"/>
            </w:tcBorders>
            <w:tcMar>
              <w:top w:w="30" w:type="dxa"/>
              <w:left w:w="20" w:type="dxa"/>
              <w:bottom w:w="30" w:type="dxa"/>
              <w:right w:w="20" w:type="dxa"/>
            </w:tcMar>
            <w:vAlign w:val="bottom"/>
            <w:hideMark/>
          </w:tcPr>
          <w:p w14:paraId="0FA7C169" w14:textId="77777777" w:rsidR="00000000" w:rsidRDefault="00C01C43">
            <w:pPr>
              <w:rPr>
                <w:rFonts w:eastAsia="Times New Roman"/>
              </w:rPr>
            </w:pPr>
            <w:r>
              <w:rPr>
                <w:rFonts w:ascii="Arial" w:eastAsia="Times New Roman" w:hAnsi="Arial" w:cs="Arial"/>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14:paraId="31B38AAC" w14:textId="77777777" w:rsidR="00000000" w:rsidRDefault="00C01C4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DBC4CC"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D19978F"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D80D70"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108835EA"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891CA3"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564FB408" w14:textId="77777777">
        <w:trPr>
          <w:divId w:val="315498208"/>
          <w:jc w:val="center"/>
        </w:trPr>
        <w:tc>
          <w:tcPr>
            <w:tcW w:w="0" w:type="auto"/>
            <w:gridSpan w:val="6"/>
            <w:tcBorders>
              <w:top w:val="single" w:sz="8" w:space="0" w:color="000000"/>
            </w:tcBorders>
            <w:shd w:val="clear" w:color="auto" w:fill="CCEEFF"/>
            <w:tcMar>
              <w:top w:w="30" w:type="dxa"/>
              <w:left w:w="20" w:type="dxa"/>
              <w:bottom w:w="30" w:type="dxa"/>
              <w:right w:w="20" w:type="dxa"/>
            </w:tcMar>
            <w:vAlign w:val="bottom"/>
            <w:hideMark/>
          </w:tcPr>
          <w:p w14:paraId="7CF83772" w14:textId="77777777" w:rsidR="00000000" w:rsidRDefault="00C01C43">
            <w:pPr>
              <w:rPr>
                <w:rFonts w:eastAsia="Times New Roman"/>
              </w:rPr>
            </w:pPr>
            <w:r>
              <w:rPr>
                <w:rFonts w:ascii="Arial" w:eastAsia="Times New Roman" w:hAnsi="Arial" w:cs="Arial"/>
                <w:color w:val="000000"/>
                <w:sz w:val="16"/>
                <w:szCs w:val="16"/>
              </w:rPr>
              <w:t>Commodity contracts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7405AD"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0AA207"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F6BAC3"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67AAF8"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16EE05"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B60E4F" w14:textId="77777777" w:rsidR="00000000" w:rsidRDefault="00C01C43">
            <w:pPr>
              <w:rPr>
                <w:rFonts w:eastAsia="Times New Roman"/>
                <w:sz w:val="20"/>
                <w:szCs w:val="20"/>
              </w:rPr>
            </w:pPr>
          </w:p>
        </w:tc>
      </w:tr>
      <w:tr w:rsidR="00000000" w14:paraId="6054ABD5" w14:textId="77777777">
        <w:trPr>
          <w:divId w:val="315498208"/>
          <w:jc w:val="center"/>
        </w:trPr>
        <w:tc>
          <w:tcPr>
            <w:tcW w:w="0" w:type="auto"/>
            <w:gridSpan w:val="3"/>
            <w:shd w:val="clear" w:color="auto" w:fill="FFFFFF"/>
            <w:tcMar>
              <w:top w:w="0" w:type="dxa"/>
              <w:left w:w="20" w:type="dxa"/>
              <w:bottom w:w="0" w:type="dxa"/>
              <w:right w:w="20" w:type="dxa"/>
            </w:tcMar>
            <w:vAlign w:val="center"/>
            <w:hideMark/>
          </w:tcPr>
          <w:p w14:paraId="4ABA6DBF" w14:textId="77777777" w:rsidR="00000000" w:rsidRDefault="00C01C4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D11263B" w14:textId="77777777" w:rsidR="00000000" w:rsidRDefault="00C01C43">
            <w:pPr>
              <w:rPr>
                <w:rFonts w:eastAsia="Times New Roman"/>
              </w:rPr>
            </w:pPr>
            <w:r>
              <w:rPr>
                <w:rFonts w:ascii="Arial" w:eastAsia="Times New Roman" w:hAnsi="Arial" w:cs="Arial"/>
                <w:color w:val="000000"/>
                <w:sz w:val="16"/>
                <w:szCs w:val="16"/>
              </w:rPr>
              <w:t>Revenue</w:t>
            </w:r>
          </w:p>
        </w:tc>
        <w:tc>
          <w:tcPr>
            <w:tcW w:w="0" w:type="auto"/>
            <w:gridSpan w:val="3"/>
            <w:shd w:val="clear" w:color="auto" w:fill="FFFFFF"/>
            <w:tcMar>
              <w:top w:w="0" w:type="dxa"/>
              <w:left w:w="20" w:type="dxa"/>
              <w:bottom w:w="0" w:type="dxa"/>
              <w:right w:w="20" w:type="dxa"/>
            </w:tcMar>
            <w:vAlign w:val="center"/>
            <w:hideMark/>
          </w:tcPr>
          <w:p w14:paraId="45F48A36" w14:textId="77777777" w:rsidR="00000000" w:rsidRDefault="00C01C43">
            <w:pPr>
              <w:rPr>
                <w:rFonts w:eastAsia="Times New Roman"/>
              </w:rPr>
            </w:pPr>
          </w:p>
        </w:tc>
        <w:tc>
          <w:tcPr>
            <w:tcW w:w="0" w:type="auto"/>
            <w:shd w:val="clear" w:color="auto" w:fill="FFFFFF"/>
            <w:tcMar>
              <w:top w:w="30" w:type="dxa"/>
              <w:left w:w="20" w:type="dxa"/>
              <w:bottom w:w="30" w:type="dxa"/>
              <w:right w:w="0" w:type="dxa"/>
            </w:tcMar>
            <w:vAlign w:val="bottom"/>
            <w:hideMark/>
          </w:tcPr>
          <w:p w14:paraId="51671F4B" w14:textId="77777777" w:rsidR="00000000" w:rsidRDefault="00C01C43">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7C286CBD" w14:textId="77777777" w:rsidR="00000000" w:rsidRDefault="00C01C43">
            <w:pPr>
              <w:jc w:val="right"/>
              <w:rPr>
                <w:rFonts w:eastAsia="Times New Roman"/>
              </w:rPr>
            </w:pPr>
            <w:r>
              <w:rPr>
                <w:rFonts w:ascii="Arial" w:eastAsia="Times New Roman" w:hAnsi="Arial" w:cs="Arial"/>
                <w:color w:val="000000"/>
                <w:sz w:val="16"/>
                <w:szCs w:val="16"/>
              </w:rPr>
              <w:t>235.2 </w:t>
            </w:r>
          </w:p>
        </w:tc>
        <w:tc>
          <w:tcPr>
            <w:tcW w:w="0" w:type="auto"/>
            <w:shd w:val="clear" w:color="auto" w:fill="FFFFFF"/>
            <w:tcMar>
              <w:top w:w="30" w:type="dxa"/>
              <w:left w:w="0" w:type="dxa"/>
              <w:bottom w:w="30" w:type="dxa"/>
              <w:right w:w="20" w:type="dxa"/>
            </w:tcMar>
            <w:vAlign w:val="bottom"/>
            <w:hideMark/>
          </w:tcPr>
          <w:p w14:paraId="35E08F7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EC8500"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B71064" w14:textId="77777777" w:rsidR="00000000" w:rsidRDefault="00C01C43">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77FC996E" w14:textId="77777777" w:rsidR="00000000" w:rsidRDefault="00C01C43">
            <w:pPr>
              <w:jc w:val="right"/>
              <w:rPr>
                <w:rFonts w:eastAsia="Times New Roman"/>
              </w:rPr>
            </w:pPr>
            <w:r>
              <w:rPr>
                <w:rFonts w:ascii="Arial" w:eastAsia="Times New Roman" w:hAnsi="Arial" w:cs="Arial"/>
                <w:color w:val="000000"/>
                <w:sz w:val="16"/>
                <w:szCs w:val="16"/>
              </w:rPr>
              <w:t>269.5 </w:t>
            </w:r>
          </w:p>
        </w:tc>
        <w:tc>
          <w:tcPr>
            <w:tcW w:w="0" w:type="auto"/>
            <w:shd w:val="clear" w:color="auto" w:fill="FFFFFF"/>
            <w:tcMar>
              <w:top w:w="30" w:type="dxa"/>
              <w:left w:w="0" w:type="dxa"/>
              <w:bottom w:w="30" w:type="dxa"/>
              <w:right w:w="20" w:type="dxa"/>
            </w:tcMar>
            <w:vAlign w:val="bottom"/>
            <w:hideMark/>
          </w:tcPr>
          <w:p w14:paraId="3096FE4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5EA99"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25AC47" w14:textId="77777777" w:rsidR="00000000" w:rsidRDefault="00C01C43">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1B4ED837" w14:textId="77777777" w:rsidR="00000000" w:rsidRDefault="00C01C43">
            <w:pPr>
              <w:jc w:val="right"/>
              <w:rPr>
                <w:rFonts w:eastAsia="Times New Roman"/>
              </w:rPr>
            </w:pPr>
            <w:r>
              <w:rPr>
                <w:rFonts w:ascii="Arial" w:eastAsia="Times New Roman" w:hAnsi="Arial" w:cs="Arial"/>
                <w:color w:val="000000"/>
                <w:sz w:val="16"/>
                <w:szCs w:val="16"/>
              </w:rPr>
              <w:t>147.6 </w:t>
            </w:r>
          </w:p>
        </w:tc>
        <w:tc>
          <w:tcPr>
            <w:tcW w:w="0" w:type="auto"/>
            <w:shd w:val="clear" w:color="auto" w:fill="FFFFFF"/>
            <w:tcMar>
              <w:top w:w="30" w:type="dxa"/>
              <w:left w:w="0" w:type="dxa"/>
              <w:bottom w:w="30" w:type="dxa"/>
              <w:right w:w="20" w:type="dxa"/>
            </w:tcMar>
            <w:vAlign w:val="bottom"/>
            <w:hideMark/>
          </w:tcPr>
          <w:p w14:paraId="3AC98734" w14:textId="77777777" w:rsidR="00000000" w:rsidRDefault="00C01C43">
            <w:pPr>
              <w:jc w:val="right"/>
              <w:rPr>
                <w:rFonts w:eastAsia="Times New Roman"/>
              </w:rPr>
            </w:pPr>
          </w:p>
        </w:tc>
      </w:tr>
      <w:tr w:rsidR="00000000" w14:paraId="77A510DF" w14:textId="77777777">
        <w:trPr>
          <w:divId w:val="315498208"/>
          <w:jc w:val="center"/>
        </w:trPr>
        <w:tc>
          <w:tcPr>
            <w:tcW w:w="0" w:type="auto"/>
            <w:gridSpan w:val="3"/>
            <w:shd w:val="clear" w:color="auto" w:fill="CCEEFF"/>
            <w:tcMar>
              <w:top w:w="0" w:type="dxa"/>
              <w:left w:w="20" w:type="dxa"/>
              <w:bottom w:w="0" w:type="dxa"/>
              <w:right w:w="20" w:type="dxa"/>
            </w:tcMar>
            <w:vAlign w:val="center"/>
            <w:hideMark/>
          </w:tcPr>
          <w:p w14:paraId="2B50F155" w14:textId="77777777" w:rsidR="00000000" w:rsidRDefault="00C01C4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B471362" w14:textId="77777777" w:rsidR="00000000" w:rsidRDefault="00C01C43">
            <w:pPr>
              <w:rPr>
                <w:rFonts w:eastAsia="Times New Roman"/>
              </w:rPr>
            </w:pPr>
            <w:r>
              <w:rPr>
                <w:rFonts w:ascii="Arial" w:eastAsia="Times New Roman" w:hAnsi="Arial" w:cs="Arial"/>
                <w:color w:val="000000"/>
                <w:sz w:val="16"/>
                <w:szCs w:val="16"/>
              </w:rPr>
              <w:t>Cost of revenue</w:t>
            </w:r>
          </w:p>
        </w:tc>
        <w:tc>
          <w:tcPr>
            <w:tcW w:w="0" w:type="auto"/>
            <w:gridSpan w:val="3"/>
            <w:shd w:val="clear" w:color="auto" w:fill="CCEEFF"/>
            <w:tcMar>
              <w:top w:w="0" w:type="dxa"/>
              <w:left w:w="20" w:type="dxa"/>
              <w:bottom w:w="0" w:type="dxa"/>
              <w:right w:w="20" w:type="dxa"/>
            </w:tcMar>
            <w:vAlign w:val="center"/>
            <w:hideMark/>
          </w:tcPr>
          <w:p w14:paraId="50BF77B5"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60442D" w14:textId="77777777" w:rsidR="00000000" w:rsidRDefault="00C01C43">
            <w:pPr>
              <w:jc w:val="right"/>
              <w:rPr>
                <w:rFonts w:eastAsia="Times New Roman"/>
              </w:rPr>
            </w:pPr>
            <w:r>
              <w:rPr>
                <w:rFonts w:ascii="Arial" w:eastAsia="Times New Roman" w:hAnsi="Arial" w:cs="Arial"/>
                <w:color w:val="000000"/>
                <w:sz w:val="16"/>
                <w:szCs w:val="16"/>
              </w:rPr>
              <w:t>(121.1)</w:t>
            </w:r>
          </w:p>
        </w:tc>
        <w:tc>
          <w:tcPr>
            <w:tcW w:w="0" w:type="auto"/>
            <w:shd w:val="clear" w:color="auto" w:fill="CCEEFF"/>
            <w:tcMar>
              <w:top w:w="30" w:type="dxa"/>
              <w:left w:w="0" w:type="dxa"/>
              <w:bottom w:w="30" w:type="dxa"/>
              <w:right w:w="20" w:type="dxa"/>
            </w:tcMar>
            <w:vAlign w:val="bottom"/>
            <w:hideMark/>
          </w:tcPr>
          <w:p w14:paraId="742461F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0197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6E2CD1" w14:textId="77777777" w:rsidR="00000000" w:rsidRDefault="00C01C43">
            <w:pPr>
              <w:jc w:val="right"/>
              <w:rPr>
                <w:rFonts w:eastAsia="Times New Roman"/>
              </w:rPr>
            </w:pPr>
            <w:r>
              <w:rPr>
                <w:rFonts w:ascii="Arial" w:eastAsia="Times New Roman" w:hAnsi="Arial" w:cs="Arial"/>
                <w:color w:val="000000"/>
                <w:sz w:val="16"/>
                <w:szCs w:val="16"/>
              </w:rPr>
              <w:t>(221.8)</w:t>
            </w:r>
          </w:p>
        </w:tc>
        <w:tc>
          <w:tcPr>
            <w:tcW w:w="0" w:type="auto"/>
            <w:shd w:val="clear" w:color="auto" w:fill="CCEEFF"/>
            <w:tcMar>
              <w:top w:w="30" w:type="dxa"/>
              <w:left w:w="0" w:type="dxa"/>
              <w:bottom w:w="30" w:type="dxa"/>
              <w:right w:w="20" w:type="dxa"/>
            </w:tcMar>
            <w:vAlign w:val="bottom"/>
            <w:hideMark/>
          </w:tcPr>
          <w:p w14:paraId="41BA436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90C2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141B6B" w14:textId="77777777" w:rsidR="00000000" w:rsidRDefault="00C01C43">
            <w:pPr>
              <w:jc w:val="right"/>
              <w:rPr>
                <w:rFonts w:eastAsia="Times New Roman"/>
              </w:rPr>
            </w:pPr>
            <w:r>
              <w:rPr>
                <w:rFonts w:ascii="Arial" w:eastAsia="Times New Roman" w:hAnsi="Arial" w:cs="Arial"/>
                <w:color w:val="000000"/>
                <w:sz w:val="16"/>
                <w:szCs w:val="16"/>
              </w:rPr>
              <w:t>(119.8)</w:t>
            </w:r>
          </w:p>
        </w:tc>
        <w:tc>
          <w:tcPr>
            <w:tcW w:w="0" w:type="auto"/>
            <w:shd w:val="clear" w:color="auto" w:fill="CCEEFF"/>
            <w:tcMar>
              <w:top w:w="30" w:type="dxa"/>
              <w:left w:w="0" w:type="dxa"/>
              <w:bottom w:w="30" w:type="dxa"/>
              <w:right w:w="20" w:type="dxa"/>
            </w:tcMar>
            <w:vAlign w:val="bottom"/>
            <w:hideMark/>
          </w:tcPr>
          <w:p w14:paraId="456CBD40" w14:textId="77777777" w:rsidR="00000000" w:rsidRDefault="00C01C43">
            <w:pPr>
              <w:jc w:val="right"/>
              <w:rPr>
                <w:rFonts w:eastAsia="Times New Roman"/>
              </w:rPr>
            </w:pPr>
          </w:p>
        </w:tc>
      </w:tr>
      <w:tr w:rsidR="00000000" w14:paraId="741235AA" w14:textId="77777777">
        <w:trPr>
          <w:divId w:val="315498208"/>
          <w:jc w:val="center"/>
        </w:trPr>
        <w:tc>
          <w:tcPr>
            <w:tcW w:w="0" w:type="auto"/>
            <w:gridSpan w:val="3"/>
            <w:shd w:val="clear" w:color="auto" w:fill="FFFFFF"/>
            <w:tcMar>
              <w:top w:w="0" w:type="dxa"/>
              <w:left w:w="20" w:type="dxa"/>
              <w:bottom w:w="0" w:type="dxa"/>
              <w:right w:w="20" w:type="dxa"/>
            </w:tcMar>
            <w:vAlign w:val="center"/>
            <w:hideMark/>
          </w:tcPr>
          <w:p w14:paraId="128525F0"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0D2375"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8160CFB"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FCCBFA" w14:textId="77777777" w:rsidR="00000000" w:rsidRDefault="00C01C43">
            <w:pPr>
              <w:jc w:val="right"/>
              <w:rPr>
                <w:rFonts w:eastAsia="Times New Roman"/>
              </w:rPr>
            </w:pPr>
            <w:r>
              <w:rPr>
                <w:rFonts w:ascii="Arial" w:eastAsia="Times New Roman" w:hAnsi="Arial" w:cs="Arial"/>
                <w:color w:val="000000"/>
                <w:sz w:val="16"/>
                <w:szCs w:val="16"/>
              </w:rPr>
              <w:t>114.1 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2A2B02"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5C0C8DD"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E697A9" w14:textId="77777777" w:rsidR="00000000" w:rsidRDefault="00C01C43">
            <w:pPr>
              <w:jc w:val="right"/>
              <w:rPr>
                <w:rFonts w:eastAsia="Times New Roman"/>
              </w:rPr>
            </w:pPr>
            <w:r>
              <w:rPr>
                <w:rFonts w:ascii="Arial" w:eastAsia="Times New Roman" w:hAnsi="Arial" w:cs="Arial"/>
                <w:color w:val="000000"/>
                <w:sz w:val="16"/>
                <w:szCs w:val="16"/>
              </w:rPr>
              <w:t>47.7 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54EBEA"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0EB285C"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77F550" w14:textId="77777777" w:rsidR="00000000" w:rsidRDefault="00C01C43">
            <w:pPr>
              <w:jc w:val="right"/>
              <w:rPr>
                <w:rFonts w:eastAsia="Times New Roman"/>
              </w:rPr>
            </w:pPr>
            <w:r>
              <w:rPr>
                <w:rFonts w:ascii="Arial" w:eastAsia="Times New Roman" w:hAnsi="Arial" w:cs="Arial"/>
                <w:color w:val="000000"/>
                <w:sz w:val="16"/>
                <w:szCs w:val="16"/>
              </w:rPr>
              <w:t>27.8 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0AD822" w14:textId="77777777" w:rsidR="00000000" w:rsidRDefault="00C01C43">
            <w:pPr>
              <w:jc w:val="right"/>
              <w:rPr>
                <w:rFonts w:eastAsia="Times New Roman"/>
              </w:rPr>
            </w:pPr>
          </w:p>
        </w:tc>
      </w:tr>
      <w:tr w:rsidR="00000000" w14:paraId="5E5BA806" w14:textId="77777777">
        <w:trPr>
          <w:divId w:val="315498208"/>
          <w:jc w:val="center"/>
        </w:trPr>
        <w:tc>
          <w:tcPr>
            <w:tcW w:w="0" w:type="auto"/>
            <w:gridSpan w:val="6"/>
            <w:shd w:val="clear" w:color="auto" w:fill="CCEEFF"/>
            <w:tcMar>
              <w:top w:w="30" w:type="dxa"/>
              <w:left w:w="20" w:type="dxa"/>
              <w:bottom w:w="30" w:type="dxa"/>
              <w:right w:w="20" w:type="dxa"/>
            </w:tcMar>
            <w:vAlign w:val="bottom"/>
            <w:hideMark/>
          </w:tcPr>
          <w:p w14:paraId="79A1A620" w14:textId="77777777" w:rsidR="00000000" w:rsidRDefault="00C01C43">
            <w:pPr>
              <w:rPr>
                <w:rFonts w:eastAsia="Times New Roman"/>
              </w:rPr>
            </w:pPr>
            <w:r>
              <w:rPr>
                <w:rFonts w:ascii="Arial" w:eastAsia="Times New Roman" w:hAnsi="Arial" w:cs="Arial"/>
                <w:color w:val="000000"/>
                <w:sz w:val="16"/>
                <w:szCs w:val="16"/>
              </w:rPr>
              <w:t>Foreign currency contracts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6F2511"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EDD85D"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9243CD"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3FC50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773254"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D2999B" w14:textId="77777777" w:rsidR="00000000" w:rsidRDefault="00C01C43">
            <w:pPr>
              <w:rPr>
                <w:rFonts w:eastAsia="Times New Roman"/>
                <w:sz w:val="20"/>
                <w:szCs w:val="20"/>
              </w:rPr>
            </w:pPr>
          </w:p>
        </w:tc>
      </w:tr>
      <w:tr w:rsidR="00000000" w14:paraId="68754E54" w14:textId="77777777">
        <w:trPr>
          <w:divId w:val="315498208"/>
          <w:jc w:val="center"/>
        </w:trPr>
        <w:tc>
          <w:tcPr>
            <w:tcW w:w="0" w:type="auto"/>
            <w:gridSpan w:val="3"/>
            <w:shd w:val="clear" w:color="auto" w:fill="FFFFFF"/>
            <w:tcMar>
              <w:top w:w="0" w:type="dxa"/>
              <w:left w:w="20" w:type="dxa"/>
              <w:bottom w:w="0" w:type="dxa"/>
              <w:right w:w="20" w:type="dxa"/>
            </w:tcMar>
            <w:vAlign w:val="center"/>
            <w:hideMark/>
          </w:tcPr>
          <w:p w14:paraId="7D49CA6A" w14:textId="77777777" w:rsidR="00000000" w:rsidRDefault="00C01C4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2E7355A" w14:textId="77777777" w:rsidR="00000000" w:rsidRDefault="00C01C43">
            <w:pPr>
              <w:rPr>
                <w:rFonts w:eastAsia="Times New Roman"/>
              </w:rPr>
            </w:pPr>
            <w:r>
              <w:rPr>
                <w:rFonts w:ascii="Arial" w:eastAsia="Times New Roman" w:hAnsi="Arial" w:cs="Arial"/>
                <w:color w:val="000000"/>
                <w:sz w:val="16"/>
                <w:szCs w:val="16"/>
              </w:rPr>
              <w:t>Revenue</w:t>
            </w:r>
          </w:p>
        </w:tc>
        <w:tc>
          <w:tcPr>
            <w:tcW w:w="0" w:type="auto"/>
            <w:gridSpan w:val="3"/>
            <w:shd w:val="clear" w:color="auto" w:fill="FFFFFF"/>
            <w:tcMar>
              <w:top w:w="0" w:type="dxa"/>
              <w:left w:w="20" w:type="dxa"/>
              <w:bottom w:w="0" w:type="dxa"/>
              <w:right w:w="20" w:type="dxa"/>
            </w:tcMar>
            <w:vAlign w:val="center"/>
            <w:hideMark/>
          </w:tcPr>
          <w:p w14:paraId="4AF68673"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90D1ED" w14:textId="77777777" w:rsidR="00000000" w:rsidRDefault="00C01C43">
            <w:pPr>
              <w:jc w:val="right"/>
              <w:rPr>
                <w:rFonts w:eastAsia="Times New Roman"/>
              </w:rPr>
            </w:pPr>
            <w:r>
              <w:rPr>
                <w:rFonts w:ascii="Arial" w:eastAsia="Times New Roman" w:hAnsi="Arial" w:cs="Arial"/>
                <w:color w:val="000000"/>
                <w:sz w:val="16"/>
                <w:szCs w:val="16"/>
              </w:rPr>
              <w:t>(3.2)</w:t>
            </w:r>
          </w:p>
        </w:tc>
        <w:tc>
          <w:tcPr>
            <w:tcW w:w="0" w:type="auto"/>
            <w:shd w:val="clear" w:color="auto" w:fill="FFFFFF"/>
            <w:tcMar>
              <w:top w:w="30" w:type="dxa"/>
              <w:left w:w="0" w:type="dxa"/>
              <w:bottom w:w="30" w:type="dxa"/>
              <w:right w:w="20" w:type="dxa"/>
            </w:tcMar>
            <w:vAlign w:val="bottom"/>
            <w:hideMark/>
          </w:tcPr>
          <w:p w14:paraId="44D25D5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54CB1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013449" w14:textId="77777777" w:rsidR="00000000" w:rsidRDefault="00C01C43">
            <w:pPr>
              <w:jc w:val="right"/>
              <w:rPr>
                <w:rFonts w:eastAsia="Times New Roman"/>
              </w:rPr>
            </w:pPr>
            <w:r>
              <w:rPr>
                <w:rFonts w:ascii="Arial" w:eastAsia="Times New Roman" w:hAnsi="Arial" w:cs="Arial"/>
                <w:color w:val="000000"/>
                <w:sz w:val="16"/>
                <w:szCs w:val="16"/>
              </w:rPr>
              <w:t>(0.3)</w:t>
            </w:r>
          </w:p>
        </w:tc>
        <w:tc>
          <w:tcPr>
            <w:tcW w:w="0" w:type="auto"/>
            <w:shd w:val="clear" w:color="auto" w:fill="FFFFFF"/>
            <w:tcMar>
              <w:top w:w="30" w:type="dxa"/>
              <w:left w:w="0" w:type="dxa"/>
              <w:bottom w:w="30" w:type="dxa"/>
              <w:right w:w="20" w:type="dxa"/>
            </w:tcMar>
            <w:vAlign w:val="bottom"/>
            <w:hideMark/>
          </w:tcPr>
          <w:p w14:paraId="163FAE1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5519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18B78B" w14:textId="77777777" w:rsidR="00000000" w:rsidRDefault="00C01C43">
            <w:pPr>
              <w:jc w:val="right"/>
              <w:rPr>
                <w:rFonts w:eastAsia="Times New Roman"/>
              </w:rPr>
            </w:pPr>
            <w:r>
              <w:rPr>
                <w:rFonts w:ascii="Arial" w:eastAsia="Times New Roman" w:hAnsi="Arial" w:cs="Arial"/>
                <w:color w:val="000000"/>
                <w:sz w:val="16"/>
                <w:szCs w:val="16"/>
              </w:rPr>
              <w:t>1.4 </w:t>
            </w:r>
          </w:p>
        </w:tc>
        <w:tc>
          <w:tcPr>
            <w:tcW w:w="0" w:type="auto"/>
            <w:shd w:val="clear" w:color="auto" w:fill="FFFFFF"/>
            <w:tcMar>
              <w:top w:w="30" w:type="dxa"/>
              <w:left w:w="0" w:type="dxa"/>
              <w:bottom w:w="30" w:type="dxa"/>
              <w:right w:w="20" w:type="dxa"/>
            </w:tcMar>
            <w:vAlign w:val="bottom"/>
            <w:hideMark/>
          </w:tcPr>
          <w:p w14:paraId="7E464295" w14:textId="77777777" w:rsidR="00000000" w:rsidRDefault="00C01C43">
            <w:pPr>
              <w:jc w:val="right"/>
              <w:rPr>
                <w:rFonts w:eastAsia="Times New Roman"/>
              </w:rPr>
            </w:pPr>
          </w:p>
        </w:tc>
      </w:tr>
      <w:tr w:rsidR="00000000" w14:paraId="5142ABF4" w14:textId="77777777">
        <w:trPr>
          <w:divId w:val="315498208"/>
          <w:jc w:val="center"/>
        </w:trPr>
        <w:tc>
          <w:tcPr>
            <w:tcW w:w="0" w:type="auto"/>
            <w:gridSpan w:val="3"/>
            <w:shd w:val="clear" w:color="auto" w:fill="CCEEFF"/>
            <w:tcMar>
              <w:top w:w="0" w:type="dxa"/>
              <w:left w:w="20" w:type="dxa"/>
              <w:bottom w:w="0" w:type="dxa"/>
              <w:right w:w="20" w:type="dxa"/>
            </w:tcMar>
            <w:vAlign w:val="center"/>
            <w:hideMark/>
          </w:tcPr>
          <w:p w14:paraId="774AE49F" w14:textId="77777777" w:rsidR="00000000" w:rsidRDefault="00C01C4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F31AE7C" w14:textId="77777777" w:rsidR="00000000" w:rsidRDefault="00C01C43">
            <w:pPr>
              <w:rPr>
                <w:rFonts w:eastAsia="Times New Roman"/>
              </w:rPr>
            </w:pPr>
            <w:r>
              <w:rPr>
                <w:rFonts w:ascii="Arial" w:eastAsia="Times New Roman" w:hAnsi="Arial" w:cs="Arial"/>
                <w:color w:val="000000"/>
                <w:sz w:val="16"/>
                <w:szCs w:val="16"/>
              </w:rPr>
              <w:t>Other (expense) income, net</w:t>
            </w:r>
          </w:p>
        </w:tc>
        <w:tc>
          <w:tcPr>
            <w:tcW w:w="0" w:type="auto"/>
            <w:gridSpan w:val="3"/>
            <w:shd w:val="clear" w:color="auto" w:fill="CCEEFF"/>
            <w:tcMar>
              <w:top w:w="0" w:type="dxa"/>
              <w:left w:w="20" w:type="dxa"/>
              <w:bottom w:w="0" w:type="dxa"/>
              <w:right w:w="20" w:type="dxa"/>
            </w:tcMar>
            <w:vAlign w:val="center"/>
            <w:hideMark/>
          </w:tcPr>
          <w:p w14:paraId="7FFF954C"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0F850A" w14:textId="77777777" w:rsidR="00000000" w:rsidRDefault="00C01C43">
            <w:pPr>
              <w:jc w:val="right"/>
              <w:rPr>
                <w:rFonts w:eastAsia="Times New Roman"/>
              </w:rPr>
            </w:pPr>
            <w:r>
              <w:rPr>
                <w:rFonts w:ascii="Arial" w:eastAsia="Times New Roman" w:hAnsi="Arial" w:cs="Arial"/>
                <w:color w:val="000000"/>
                <w:sz w:val="16"/>
                <w:szCs w:val="16"/>
              </w:rPr>
              <w:t>(13.4)</w:t>
            </w:r>
          </w:p>
        </w:tc>
        <w:tc>
          <w:tcPr>
            <w:tcW w:w="0" w:type="auto"/>
            <w:shd w:val="clear" w:color="auto" w:fill="CCEEFF"/>
            <w:tcMar>
              <w:top w:w="30" w:type="dxa"/>
              <w:left w:w="0" w:type="dxa"/>
              <w:bottom w:w="30" w:type="dxa"/>
              <w:right w:w="20" w:type="dxa"/>
            </w:tcMar>
            <w:vAlign w:val="bottom"/>
            <w:hideMark/>
          </w:tcPr>
          <w:p w14:paraId="6D6F90F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1A619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1F1834" w14:textId="77777777" w:rsidR="00000000" w:rsidRDefault="00C01C43">
            <w:pPr>
              <w:jc w:val="right"/>
              <w:rPr>
                <w:rFonts w:eastAsia="Times New Roman"/>
              </w:rPr>
            </w:pPr>
            <w:r>
              <w:rPr>
                <w:rFonts w:ascii="Arial" w:eastAsia="Times New Roman" w:hAnsi="Arial" w:cs="Arial"/>
                <w:color w:val="000000"/>
                <w:sz w:val="16"/>
                <w:szCs w:val="16"/>
              </w:rPr>
              <w:t>(0.5)</w:t>
            </w:r>
          </w:p>
        </w:tc>
        <w:tc>
          <w:tcPr>
            <w:tcW w:w="0" w:type="auto"/>
            <w:shd w:val="clear" w:color="auto" w:fill="CCEEFF"/>
            <w:tcMar>
              <w:top w:w="30" w:type="dxa"/>
              <w:left w:w="0" w:type="dxa"/>
              <w:bottom w:w="30" w:type="dxa"/>
              <w:right w:w="20" w:type="dxa"/>
            </w:tcMar>
            <w:vAlign w:val="bottom"/>
            <w:hideMark/>
          </w:tcPr>
          <w:p w14:paraId="02F052D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6D4A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39D123" w14:textId="77777777" w:rsidR="00000000" w:rsidRDefault="00C01C43">
            <w:pPr>
              <w:jc w:val="right"/>
              <w:rPr>
                <w:rFonts w:eastAsia="Times New Roman"/>
              </w:rPr>
            </w:pPr>
            <w:r>
              <w:rPr>
                <w:rFonts w:ascii="Arial" w:eastAsia="Times New Roman" w:hAnsi="Arial" w:cs="Arial"/>
                <w:color w:val="000000"/>
                <w:sz w:val="16"/>
                <w:szCs w:val="16"/>
              </w:rPr>
              <w:t>5.3 </w:t>
            </w:r>
          </w:p>
        </w:tc>
        <w:tc>
          <w:tcPr>
            <w:tcW w:w="0" w:type="auto"/>
            <w:shd w:val="clear" w:color="auto" w:fill="CCEEFF"/>
            <w:tcMar>
              <w:top w:w="30" w:type="dxa"/>
              <w:left w:w="0" w:type="dxa"/>
              <w:bottom w:w="30" w:type="dxa"/>
              <w:right w:w="20" w:type="dxa"/>
            </w:tcMar>
            <w:vAlign w:val="bottom"/>
            <w:hideMark/>
          </w:tcPr>
          <w:p w14:paraId="2C18DF7E" w14:textId="77777777" w:rsidR="00000000" w:rsidRDefault="00C01C43">
            <w:pPr>
              <w:jc w:val="right"/>
              <w:rPr>
                <w:rFonts w:eastAsia="Times New Roman"/>
              </w:rPr>
            </w:pPr>
          </w:p>
        </w:tc>
      </w:tr>
      <w:tr w:rsidR="00000000" w14:paraId="067D1552" w14:textId="77777777">
        <w:trPr>
          <w:divId w:val="315498208"/>
          <w:jc w:val="center"/>
        </w:trPr>
        <w:tc>
          <w:tcPr>
            <w:tcW w:w="0" w:type="auto"/>
            <w:gridSpan w:val="3"/>
            <w:shd w:val="clear" w:color="auto" w:fill="FFFFFF"/>
            <w:tcMar>
              <w:top w:w="0" w:type="dxa"/>
              <w:left w:w="20" w:type="dxa"/>
              <w:bottom w:w="0" w:type="dxa"/>
              <w:right w:w="20" w:type="dxa"/>
            </w:tcMar>
            <w:vAlign w:val="center"/>
            <w:hideMark/>
          </w:tcPr>
          <w:p w14:paraId="05CB9EEA"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9C205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3929A2D"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319D12" w14:textId="77777777" w:rsidR="00000000" w:rsidRDefault="00C01C43">
            <w:pPr>
              <w:jc w:val="right"/>
              <w:rPr>
                <w:rFonts w:eastAsia="Times New Roman"/>
              </w:rPr>
            </w:pPr>
            <w:r>
              <w:rPr>
                <w:rFonts w:ascii="Arial" w:eastAsia="Times New Roman" w:hAnsi="Arial" w:cs="Arial"/>
                <w:color w:val="000000"/>
                <w:sz w:val="16"/>
                <w:szCs w:val="16"/>
              </w:rPr>
              <w:t>(16.6)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638486"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0DFB902"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C961A3" w14:textId="77777777" w:rsidR="00000000" w:rsidRDefault="00C01C43">
            <w:pPr>
              <w:jc w:val="right"/>
              <w:rPr>
                <w:rFonts w:eastAsia="Times New Roman"/>
              </w:rPr>
            </w:pPr>
            <w:r>
              <w:rPr>
                <w:rFonts w:ascii="Arial" w:eastAsia="Times New Roman" w:hAnsi="Arial" w:cs="Arial"/>
                <w:color w:val="000000"/>
                <w:sz w:val="16"/>
                <w:szCs w:val="16"/>
              </w:rPr>
              <w:t>(0.7)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B370DF"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FDFFDD"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4DAE01" w14:textId="77777777" w:rsidR="00000000" w:rsidRDefault="00C01C43">
            <w:pPr>
              <w:jc w:val="right"/>
              <w:rPr>
                <w:rFonts w:eastAsia="Times New Roman"/>
              </w:rPr>
            </w:pPr>
            <w:r>
              <w:rPr>
                <w:rFonts w:ascii="Arial" w:eastAsia="Times New Roman" w:hAnsi="Arial" w:cs="Arial"/>
                <w:color w:val="000000"/>
                <w:sz w:val="16"/>
                <w:szCs w:val="16"/>
              </w:rPr>
              <w:t>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194BC9" w14:textId="77777777" w:rsidR="00000000" w:rsidRDefault="00C01C43">
            <w:pPr>
              <w:jc w:val="right"/>
              <w:rPr>
                <w:rFonts w:eastAsia="Times New Roman"/>
              </w:rPr>
            </w:pPr>
          </w:p>
        </w:tc>
      </w:tr>
      <w:tr w:rsidR="00000000" w14:paraId="52E6202A" w14:textId="77777777">
        <w:trPr>
          <w:divId w:val="315498208"/>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07A7A037" w14:textId="77777777" w:rsidR="00000000" w:rsidRDefault="00C01C43">
            <w:pPr>
              <w:rPr>
                <w:rFonts w:eastAsia="Times New Roman"/>
              </w:rPr>
            </w:pPr>
            <w:r>
              <w:rPr>
                <w:rFonts w:ascii="Arial" w:eastAsia="Times New Roman" w:hAnsi="Arial" w:cs="Arial"/>
                <w:color w:val="000000"/>
                <w:sz w:val="16"/>
                <w:szCs w:val="16"/>
              </w:rPr>
              <w:t>Total gain</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4BA2503" w14:textId="77777777" w:rsidR="00000000" w:rsidRDefault="00C01C43">
            <w:pPr>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42AC56C" w14:textId="77777777" w:rsidR="00000000" w:rsidRDefault="00C01C4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E49833"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AFBFCF" w14:textId="77777777" w:rsidR="00000000" w:rsidRDefault="00C01C43">
            <w:pPr>
              <w:jc w:val="right"/>
              <w:rPr>
                <w:rFonts w:eastAsia="Times New Roman"/>
              </w:rPr>
            </w:pPr>
            <w:r>
              <w:rPr>
                <w:rFonts w:ascii="Arial" w:eastAsia="Times New Roman" w:hAnsi="Arial" w:cs="Arial"/>
                <w:color w:val="000000"/>
                <w:sz w:val="16"/>
                <w:szCs w:val="16"/>
              </w:rPr>
              <w:t>97.5 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5E3587"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53840E8"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1EB4FC"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1203EE" w14:textId="77777777" w:rsidR="00000000" w:rsidRDefault="00C01C43">
            <w:pPr>
              <w:jc w:val="right"/>
              <w:rPr>
                <w:rFonts w:eastAsia="Times New Roman"/>
              </w:rPr>
            </w:pPr>
            <w:r>
              <w:rPr>
                <w:rFonts w:ascii="Arial" w:eastAsia="Times New Roman" w:hAnsi="Arial" w:cs="Arial"/>
                <w:color w:val="000000"/>
                <w:sz w:val="16"/>
                <w:szCs w:val="16"/>
              </w:rPr>
              <w:t>46.9 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2DC03E"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B34CAE3"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58416E"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BD2E012" w14:textId="77777777" w:rsidR="00000000" w:rsidRDefault="00C01C43">
            <w:pPr>
              <w:jc w:val="right"/>
              <w:rPr>
                <w:rFonts w:eastAsia="Times New Roman"/>
              </w:rPr>
            </w:pPr>
            <w:r>
              <w:rPr>
                <w:rFonts w:ascii="Arial" w:eastAsia="Times New Roman" w:hAnsi="Arial" w:cs="Arial"/>
                <w:color w:val="000000"/>
                <w:sz w:val="16"/>
                <w:szCs w:val="16"/>
              </w:rPr>
              <w:t>34.5 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EAD47A" w14:textId="77777777" w:rsidR="00000000" w:rsidRDefault="00C01C43">
            <w:pPr>
              <w:jc w:val="right"/>
              <w:rPr>
                <w:rFonts w:eastAsia="Times New Roman"/>
              </w:rPr>
            </w:pPr>
          </w:p>
        </w:tc>
      </w:tr>
    </w:tbl>
    <w:p w14:paraId="616CCEE9" w14:textId="77777777" w:rsidR="00000000" w:rsidRDefault="00C01C43">
      <w:pPr>
        <w:jc w:val="both"/>
        <w:divId w:val="177426564"/>
        <w:rPr>
          <w:rFonts w:eastAsia="Times New Roman"/>
        </w:rPr>
      </w:pPr>
    </w:p>
    <w:p w14:paraId="264AB0D0" w14:textId="77777777" w:rsidR="00000000" w:rsidRDefault="00C01C43">
      <w:pPr>
        <w:jc w:val="center"/>
        <w:divId w:val="2055347723"/>
        <w:rPr>
          <w:rFonts w:eastAsia="Times New Roman"/>
        </w:rPr>
      </w:pPr>
      <w:r>
        <w:rPr>
          <w:rFonts w:ascii="Arial" w:eastAsia="Times New Roman" w:hAnsi="Arial" w:cs="Arial"/>
          <w:color w:val="000000"/>
          <w:sz w:val="16"/>
          <w:szCs w:val="16"/>
        </w:rPr>
        <w:t>66</w:t>
      </w:r>
    </w:p>
    <w:p w14:paraId="1A6DF22F" w14:textId="77777777" w:rsidR="00000000" w:rsidRDefault="00C01C43">
      <w:pPr>
        <w:rPr>
          <w:rFonts w:eastAsia="Times New Roman"/>
        </w:rPr>
      </w:pPr>
      <w:r>
        <w:rPr>
          <w:rFonts w:eastAsia="Times New Roman"/>
        </w:rPr>
        <w:pict w14:anchorId="28C3FAC0">
          <v:rect id="_x0000_i1095" style="width:0;height:1.5pt" o:hralign="center" o:hrstd="t" o:hr="t" fillcolor="#a0a0a0" stroked="f"/>
        </w:pict>
      </w:r>
    </w:p>
    <w:p w14:paraId="06F0A7A8" w14:textId="77777777" w:rsidR="00000000" w:rsidRDefault="00C01C43">
      <w:pPr>
        <w:divId w:val="1129856226"/>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595C7C72" w14:textId="77777777" w:rsidR="00000000" w:rsidRDefault="00C01C43">
      <w:pPr>
        <w:jc w:val="both"/>
        <w:divId w:val="1132290723"/>
        <w:rPr>
          <w:rFonts w:eastAsia="Times New Roman"/>
        </w:rPr>
      </w:pPr>
      <w:r>
        <w:rPr>
          <w:rFonts w:ascii="Arial" w:eastAsia="Times New Roman" w:hAnsi="Arial" w:cs="Arial"/>
          <w:b/>
          <w:bCs/>
          <w:color w:val="000000"/>
          <w:sz w:val="20"/>
          <w:szCs w:val="20"/>
        </w:rPr>
        <w:t>Credit-Risk-Related Contingent Features</w:t>
      </w:r>
    </w:p>
    <w:p w14:paraId="4C1F05E4" w14:textId="77777777" w:rsidR="00000000" w:rsidRDefault="00C01C43">
      <w:pPr>
        <w:jc w:val="both"/>
        <w:rPr>
          <w:rFonts w:eastAsia="Times New Roman"/>
        </w:rPr>
      </w:pPr>
      <w:r>
        <w:rPr>
          <w:rFonts w:ascii="Arial" w:eastAsia="Times New Roman" w:hAnsi="Arial" w:cs="Arial"/>
          <w:color w:val="000000"/>
          <w:sz w:val="20"/>
          <w:szCs w:val="20"/>
        </w:rPr>
        <w:t>We enter into derivative contracts which may require us to post collateral periodically. Certain of these derivative contracts contain credit-risk-related contingent clauses which are triggered by c</w:t>
      </w:r>
      <w:r>
        <w:rPr>
          <w:rFonts w:ascii="Arial" w:eastAsia="Times New Roman" w:hAnsi="Arial" w:cs="Arial"/>
          <w:color w:val="000000"/>
          <w:sz w:val="20"/>
          <w:szCs w:val="20"/>
        </w:rPr>
        <w:t>redit events. These credit events may include the requirement to post additional collateral or the immediate settlement of the derivative instruments upon the occurrence of a credit downgrade or if certain defined financial ratios fall below an established</w:t>
      </w:r>
      <w:r>
        <w:rPr>
          <w:rFonts w:ascii="Arial" w:eastAsia="Times New Roman" w:hAnsi="Arial" w:cs="Arial"/>
          <w:color w:val="000000"/>
          <w:sz w:val="20"/>
          <w:szCs w:val="20"/>
        </w:rPr>
        <w:t xml:space="preserve"> threshold. The following table presents the potential collateral requirements for derivative liabilities with credit-risk-contingent features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380"/>
        <w:gridCol w:w="37"/>
        <w:gridCol w:w="36"/>
        <w:gridCol w:w="36"/>
        <w:gridCol w:w="36"/>
        <w:gridCol w:w="109"/>
        <w:gridCol w:w="671"/>
        <w:gridCol w:w="36"/>
        <w:gridCol w:w="36"/>
        <w:gridCol w:w="36"/>
        <w:gridCol w:w="36"/>
        <w:gridCol w:w="109"/>
        <w:gridCol w:w="671"/>
        <w:gridCol w:w="36"/>
      </w:tblGrid>
      <w:tr w:rsidR="00000000" w14:paraId="40439F49" w14:textId="77777777">
        <w:trPr>
          <w:jc w:val="center"/>
        </w:trPr>
        <w:tc>
          <w:tcPr>
            <w:tcW w:w="50" w:type="pct"/>
            <w:vAlign w:val="center"/>
            <w:hideMark/>
          </w:tcPr>
          <w:p w14:paraId="5D31EBEB" w14:textId="77777777" w:rsidR="00000000" w:rsidRDefault="00C01C43">
            <w:pPr>
              <w:jc w:val="both"/>
              <w:rPr>
                <w:rFonts w:eastAsia="Times New Roman"/>
              </w:rPr>
            </w:pPr>
          </w:p>
        </w:tc>
        <w:tc>
          <w:tcPr>
            <w:tcW w:w="3863" w:type="pct"/>
            <w:vAlign w:val="center"/>
            <w:hideMark/>
          </w:tcPr>
          <w:p w14:paraId="5F348C62" w14:textId="77777777" w:rsidR="00000000" w:rsidRDefault="00C01C43">
            <w:pPr>
              <w:rPr>
                <w:rFonts w:eastAsia="Times New Roman"/>
                <w:sz w:val="20"/>
                <w:szCs w:val="20"/>
              </w:rPr>
            </w:pPr>
          </w:p>
        </w:tc>
        <w:tc>
          <w:tcPr>
            <w:tcW w:w="5" w:type="pct"/>
            <w:vAlign w:val="center"/>
            <w:hideMark/>
          </w:tcPr>
          <w:p w14:paraId="7DFA68A9" w14:textId="77777777" w:rsidR="00000000" w:rsidRDefault="00C01C43">
            <w:pPr>
              <w:rPr>
                <w:rFonts w:eastAsia="Times New Roman"/>
                <w:sz w:val="20"/>
                <w:szCs w:val="20"/>
              </w:rPr>
            </w:pPr>
          </w:p>
        </w:tc>
        <w:tc>
          <w:tcPr>
            <w:tcW w:w="5" w:type="pct"/>
            <w:vAlign w:val="center"/>
            <w:hideMark/>
          </w:tcPr>
          <w:p w14:paraId="0A8E0C2A" w14:textId="77777777" w:rsidR="00000000" w:rsidRDefault="00C01C43">
            <w:pPr>
              <w:rPr>
                <w:rFonts w:eastAsia="Times New Roman"/>
                <w:sz w:val="20"/>
                <w:szCs w:val="20"/>
              </w:rPr>
            </w:pPr>
          </w:p>
        </w:tc>
        <w:tc>
          <w:tcPr>
            <w:tcW w:w="41" w:type="pct"/>
            <w:vAlign w:val="center"/>
            <w:hideMark/>
          </w:tcPr>
          <w:p w14:paraId="067568F9" w14:textId="77777777" w:rsidR="00000000" w:rsidRDefault="00C01C43">
            <w:pPr>
              <w:rPr>
                <w:rFonts w:eastAsia="Times New Roman"/>
                <w:sz w:val="20"/>
                <w:szCs w:val="20"/>
              </w:rPr>
            </w:pPr>
          </w:p>
        </w:tc>
        <w:tc>
          <w:tcPr>
            <w:tcW w:w="5" w:type="pct"/>
            <w:vAlign w:val="center"/>
            <w:hideMark/>
          </w:tcPr>
          <w:p w14:paraId="6148D765" w14:textId="77777777" w:rsidR="00000000" w:rsidRDefault="00C01C43">
            <w:pPr>
              <w:rPr>
                <w:rFonts w:eastAsia="Times New Roman"/>
                <w:sz w:val="20"/>
                <w:szCs w:val="20"/>
              </w:rPr>
            </w:pPr>
          </w:p>
        </w:tc>
        <w:tc>
          <w:tcPr>
            <w:tcW w:w="50" w:type="pct"/>
            <w:vAlign w:val="center"/>
            <w:hideMark/>
          </w:tcPr>
          <w:p w14:paraId="427C2DB6" w14:textId="77777777" w:rsidR="00000000" w:rsidRDefault="00C01C43">
            <w:pPr>
              <w:rPr>
                <w:rFonts w:eastAsia="Times New Roman"/>
                <w:sz w:val="20"/>
                <w:szCs w:val="20"/>
              </w:rPr>
            </w:pPr>
          </w:p>
        </w:tc>
        <w:tc>
          <w:tcPr>
            <w:tcW w:w="434" w:type="pct"/>
            <w:vAlign w:val="center"/>
            <w:hideMark/>
          </w:tcPr>
          <w:p w14:paraId="30F267CD" w14:textId="77777777" w:rsidR="00000000" w:rsidRDefault="00C01C43">
            <w:pPr>
              <w:rPr>
                <w:rFonts w:eastAsia="Times New Roman"/>
                <w:sz w:val="20"/>
                <w:szCs w:val="20"/>
              </w:rPr>
            </w:pPr>
          </w:p>
        </w:tc>
        <w:tc>
          <w:tcPr>
            <w:tcW w:w="5" w:type="pct"/>
            <w:vAlign w:val="center"/>
            <w:hideMark/>
          </w:tcPr>
          <w:p w14:paraId="5E84DE4A" w14:textId="77777777" w:rsidR="00000000" w:rsidRDefault="00C01C43">
            <w:pPr>
              <w:rPr>
                <w:rFonts w:eastAsia="Times New Roman"/>
                <w:sz w:val="20"/>
                <w:szCs w:val="20"/>
              </w:rPr>
            </w:pPr>
          </w:p>
        </w:tc>
        <w:tc>
          <w:tcPr>
            <w:tcW w:w="5" w:type="pct"/>
            <w:vAlign w:val="center"/>
            <w:hideMark/>
          </w:tcPr>
          <w:p w14:paraId="2A50AD47" w14:textId="77777777" w:rsidR="00000000" w:rsidRDefault="00C01C43">
            <w:pPr>
              <w:rPr>
                <w:rFonts w:eastAsia="Times New Roman"/>
                <w:sz w:val="20"/>
                <w:szCs w:val="20"/>
              </w:rPr>
            </w:pPr>
          </w:p>
        </w:tc>
        <w:tc>
          <w:tcPr>
            <w:tcW w:w="41" w:type="pct"/>
            <w:vAlign w:val="center"/>
            <w:hideMark/>
          </w:tcPr>
          <w:p w14:paraId="741441F3" w14:textId="77777777" w:rsidR="00000000" w:rsidRDefault="00C01C43">
            <w:pPr>
              <w:rPr>
                <w:rFonts w:eastAsia="Times New Roman"/>
                <w:sz w:val="20"/>
                <w:szCs w:val="20"/>
              </w:rPr>
            </w:pPr>
          </w:p>
        </w:tc>
        <w:tc>
          <w:tcPr>
            <w:tcW w:w="5" w:type="pct"/>
            <w:vAlign w:val="center"/>
            <w:hideMark/>
          </w:tcPr>
          <w:p w14:paraId="4832FA38" w14:textId="77777777" w:rsidR="00000000" w:rsidRDefault="00C01C43">
            <w:pPr>
              <w:rPr>
                <w:rFonts w:eastAsia="Times New Roman"/>
                <w:sz w:val="20"/>
                <w:szCs w:val="20"/>
              </w:rPr>
            </w:pPr>
          </w:p>
        </w:tc>
        <w:tc>
          <w:tcPr>
            <w:tcW w:w="50" w:type="pct"/>
            <w:vAlign w:val="center"/>
            <w:hideMark/>
          </w:tcPr>
          <w:p w14:paraId="66B60265" w14:textId="77777777" w:rsidR="00000000" w:rsidRDefault="00C01C43">
            <w:pPr>
              <w:rPr>
                <w:rFonts w:eastAsia="Times New Roman"/>
                <w:sz w:val="20"/>
                <w:szCs w:val="20"/>
              </w:rPr>
            </w:pPr>
          </w:p>
        </w:tc>
        <w:tc>
          <w:tcPr>
            <w:tcW w:w="434" w:type="pct"/>
            <w:vAlign w:val="center"/>
            <w:hideMark/>
          </w:tcPr>
          <w:p w14:paraId="6F86C48A" w14:textId="77777777" w:rsidR="00000000" w:rsidRDefault="00C01C43">
            <w:pPr>
              <w:rPr>
                <w:rFonts w:eastAsia="Times New Roman"/>
                <w:sz w:val="20"/>
                <w:szCs w:val="20"/>
              </w:rPr>
            </w:pPr>
          </w:p>
        </w:tc>
        <w:tc>
          <w:tcPr>
            <w:tcW w:w="5" w:type="pct"/>
            <w:vAlign w:val="center"/>
            <w:hideMark/>
          </w:tcPr>
          <w:p w14:paraId="202ED8E5" w14:textId="77777777" w:rsidR="00000000" w:rsidRDefault="00C01C43">
            <w:pPr>
              <w:rPr>
                <w:rFonts w:eastAsia="Times New Roman"/>
                <w:sz w:val="20"/>
                <w:szCs w:val="20"/>
              </w:rPr>
            </w:pPr>
          </w:p>
        </w:tc>
      </w:tr>
      <w:tr w:rsidR="00000000" w14:paraId="098E00B2" w14:textId="77777777">
        <w:trPr>
          <w:jc w:val="center"/>
        </w:trPr>
        <w:tc>
          <w:tcPr>
            <w:tcW w:w="0" w:type="auto"/>
            <w:gridSpan w:val="3"/>
            <w:tcMar>
              <w:top w:w="0" w:type="dxa"/>
              <w:left w:w="20" w:type="dxa"/>
              <w:bottom w:w="0" w:type="dxa"/>
              <w:right w:w="20" w:type="dxa"/>
            </w:tcMar>
            <w:vAlign w:val="center"/>
            <w:hideMark/>
          </w:tcPr>
          <w:p w14:paraId="7D42820A" w14:textId="77777777" w:rsidR="00000000" w:rsidRDefault="00C01C43">
            <w:pPr>
              <w:rPr>
                <w:rFonts w:eastAsia="Times New Roman"/>
                <w:sz w:val="20"/>
                <w:szCs w:val="20"/>
              </w:rPr>
            </w:pPr>
          </w:p>
        </w:tc>
        <w:tc>
          <w:tcPr>
            <w:tcW w:w="0" w:type="auto"/>
            <w:gridSpan w:val="12"/>
            <w:tcBorders>
              <w:bottom w:val="single" w:sz="8" w:space="0" w:color="000000"/>
            </w:tcBorders>
            <w:tcMar>
              <w:top w:w="30" w:type="dxa"/>
              <w:left w:w="20" w:type="dxa"/>
              <w:bottom w:w="30" w:type="dxa"/>
              <w:right w:w="20" w:type="dxa"/>
            </w:tcMar>
            <w:hideMark/>
          </w:tcPr>
          <w:p w14:paraId="7B83C79E" w14:textId="77777777" w:rsidR="00000000" w:rsidRDefault="00C01C43">
            <w:pPr>
              <w:jc w:val="center"/>
              <w:rPr>
                <w:rFonts w:eastAsia="Times New Roman"/>
              </w:rPr>
            </w:pPr>
            <w:r>
              <w:rPr>
                <w:rFonts w:ascii="Arial" w:eastAsia="Times New Roman" w:hAnsi="Arial" w:cs="Arial"/>
                <w:b/>
                <w:bCs/>
                <w:color w:val="333333"/>
                <w:sz w:val="16"/>
                <w:szCs w:val="16"/>
              </w:rPr>
              <w:t>Potential Collateral Requirements for Derivative Liabilities</w:t>
            </w:r>
            <w:r>
              <w:rPr>
                <w:rFonts w:ascii="Arial" w:eastAsia="Times New Roman" w:hAnsi="Arial" w:cs="Arial"/>
                <w:b/>
                <w:bCs/>
                <w:color w:val="333333"/>
                <w:sz w:val="16"/>
                <w:szCs w:val="16"/>
              </w:rPr>
              <w:br/>
              <w:t>with Credit-Risk-Contingent Features</w:t>
            </w:r>
          </w:p>
        </w:tc>
      </w:tr>
      <w:tr w:rsidR="00000000" w14:paraId="6191A665" w14:textId="77777777">
        <w:trPr>
          <w:jc w:val="center"/>
        </w:trPr>
        <w:tc>
          <w:tcPr>
            <w:tcW w:w="0" w:type="auto"/>
            <w:gridSpan w:val="3"/>
            <w:tcMar>
              <w:top w:w="0" w:type="dxa"/>
              <w:left w:w="20" w:type="dxa"/>
              <w:bottom w:w="0" w:type="dxa"/>
              <w:right w:w="20" w:type="dxa"/>
            </w:tcMar>
            <w:vAlign w:val="center"/>
            <w:hideMark/>
          </w:tcPr>
          <w:p w14:paraId="27BD6FBA" w14:textId="77777777" w:rsidR="00000000" w:rsidRDefault="00C01C43">
            <w:pPr>
              <w:jc w:val="center"/>
              <w:rPr>
                <w:rFonts w:eastAsia="Times New Roman"/>
              </w:rPr>
            </w:pPr>
          </w:p>
        </w:tc>
        <w:tc>
          <w:tcPr>
            <w:tcW w:w="0" w:type="auto"/>
            <w:gridSpan w:val="12"/>
            <w:tcBorders>
              <w:top w:val="single" w:sz="8" w:space="0" w:color="000000"/>
            </w:tcBorders>
            <w:tcMar>
              <w:top w:w="30" w:type="dxa"/>
              <w:left w:w="20" w:type="dxa"/>
              <w:bottom w:w="30" w:type="dxa"/>
              <w:right w:w="20" w:type="dxa"/>
            </w:tcMar>
            <w:hideMark/>
          </w:tcPr>
          <w:p w14:paraId="2973FBDA" w14:textId="77777777" w:rsidR="00000000" w:rsidRDefault="00C01C43">
            <w:pPr>
              <w:jc w:val="center"/>
              <w:rPr>
                <w:rFonts w:eastAsia="Times New Roman"/>
              </w:rPr>
            </w:pPr>
            <w:r>
              <w:rPr>
                <w:rFonts w:ascii="Arial" w:eastAsia="Times New Roman" w:hAnsi="Arial" w:cs="Arial"/>
                <w:b/>
                <w:bCs/>
                <w:color w:val="333333"/>
                <w:sz w:val="16"/>
                <w:szCs w:val="16"/>
              </w:rPr>
              <w:t>As of December 31,</w:t>
            </w:r>
          </w:p>
        </w:tc>
      </w:tr>
      <w:tr w:rsidR="00000000" w14:paraId="49415103" w14:textId="77777777">
        <w:trPr>
          <w:jc w:val="center"/>
        </w:trPr>
        <w:tc>
          <w:tcPr>
            <w:tcW w:w="0" w:type="auto"/>
            <w:gridSpan w:val="3"/>
            <w:tcMar>
              <w:top w:w="0" w:type="dxa"/>
              <w:left w:w="20" w:type="dxa"/>
              <w:bottom w:w="0" w:type="dxa"/>
              <w:right w:w="20" w:type="dxa"/>
            </w:tcMar>
            <w:vAlign w:val="center"/>
            <w:hideMark/>
          </w:tcPr>
          <w:p w14:paraId="2BA9667B" w14:textId="77777777" w:rsidR="00000000" w:rsidRDefault="00C01C43">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CCD44D8" w14:textId="77777777" w:rsidR="00000000" w:rsidRDefault="00C01C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09D6C2E0" w14:textId="77777777" w:rsidR="00000000" w:rsidRDefault="00C01C43">
            <w:pPr>
              <w:jc w:val="right"/>
              <w:rPr>
                <w:rFonts w:eastAsia="Times New Roman"/>
              </w:rPr>
            </w:pPr>
            <w:r>
              <w:rPr>
                <w:rFonts w:ascii="Arial" w:eastAsia="Times New Roman" w:hAnsi="Arial" w:cs="Arial"/>
                <w:b/>
                <w:bCs/>
                <w:color w:val="333333"/>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EFECBE4" w14:textId="77777777" w:rsidR="00000000" w:rsidRDefault="00C01C4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FE0AC5D" w14:textId="77777777" w:rsidR="00000000" w:rsidRDefault="00C01C43">
            <w:pPr>
              <w:jc w:val="right"/>
              <w:rPr>
                <w:rFonts w:eastAsia="Times New Roman"/>
              </w:rPr>
            </w:pPr>
            <w:r>
              <w:rPr>
                <w:rFonts w:ascii="Arial" w:eastAsia="Times New Roman" w:hAnsi="Arial" w:cs="Arial"/>
                <w:b/>
                <w:bCs/>
                <w:color w:val="333333"/>
                <w:sz w:val="16"/>
                <w:szCs w:val="16"/>
              </w:rPr>
              <w:t>2019</w:t>
            </w:r>
          </w:p>
        </w:tc>
      </w:tr>
      <w:tr w:rsidR="00000000" w14:paraId="5AFCA966"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14:paraId="69CDC923" w14:textId="77777777" w:rsidR="00000000" w:rsidRDefault="00C01C43">
            <w:pPr>
              <w:rPr>
                <w:rFonts w:eastAsia="Times New Roman"/>
              </w:rPr>
            </w:pPr>
            <w:r>
              <w:rPr>
                <w:rFonts w:ascii="Arial" w:eastAsia="Times New Roman" w:hAnsi="Arial" w:cs="Arial"/>
                <w:color w:val="000000"/>
                <w:sz w:val="16"/>
                <w:szCs w:val="16"/>
              </w:rPr>
              <w:t>Net derivative liability positions with credit contingent features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AA36E2" w14:textId="77777777" w:rsidR="00000000" w:rsidRDefault="00C01C4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14:paraId="1B08368C"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hideMark/>
          </w:tcPr>
          <w:p w14:paraId="2521666A" w14:textId="77777777" w:rsidR="00000000" w:rsidRDefault="00C01C43">
            <w:pPr>
              <w:jc w:val="right"/>
              <w:rPr>
                <w:rFonts w:eastAsia="Times New Roman"/>
              </w:rPr>
            </w:pPr>
            <w:r>
              <w:rPr>
                <w:rFonts w:ascii="Arial" w:eastAsia="Times New Roman" w:hAnsi="Arial" w:cs="Arial"/>
                <w:color w:val="000000"/>
                <w:sz w:val="16"/>
                <w:szCs w:val="16"/>
              </w:rPr>
              <w:t>20.0 </w:t>
            </w:r>
          </w:p>
        </w:tc>
        <w:tc>
          <w:tcPr>
            <w:tcW w:w="0" w:type="auto"/>
            <w:tcBorders>
              <w:top w:val="single" w:sz="8" w:space="0" w:color="000000"/>
            </w:tcBorders>
            <w:shd w:val="clear" w:color="auto" w:fill="CCEEFF"/>
            <w:tcMar>
              <w:top w:w="30" w:type="dxa"/>
              <w:left w:w="0" w:type="dxa"/>
              <w:bottom w:w="30" w:type="dxa"/>
              <w:right w:w="20" w:type="dxa"/>
            </w:tcMar>
            <w:hideMark/>
          </w:tcPr>
          <w:p w14:paraId="0D62A3E9"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36EC5A"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0215EFD9"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hideMark/>
          </w:tcPr>
          <w:p w14:paraId="1E9EFF52" w14:textId="77777777" w:rsidR="00000000" w:rsidRDefault="00C01C43">
            <w:pPr>
              <w:jc w:val="right"/>
              <w:rPr>
                <w:rFonts w:eastAsia="Times New Roman"/>
              </w:rPr>
            </w:pPr>
            <w:r>
              <w:rPr>
                <w:rFonts w:ascii="Arial" w:eastAsia="Times New Roman" w:hAnsi="Arial" w:cs="Arial"/>
                <w:color w:val="000000"/>
                <w:sz w:val="16"/>
                <w:szCs w:val="16"/>
              </w:rPr>
              <w:t>45.6 </w:t>
            </w:r>
          </w:p>
        </w:tc>
        <w:tc>
          <w:tcPr>
            <w:tcW w:w="0" w:type="auto"/>
            <w:tcBorders>
              <w:top w:val="single" w:sz="8" w:space="0" w:color="000000"/>
            </w:tcBorders>
            <w:shd w:val="clear" w:color="auto" w:fill="CCEEFF"/>
            <w:tcMar>
              <w:top w:w="30" w:type="dxa"/>
              <w:left w:w="0" w:type="dxa"/>
              <w:bottom w:w="30" w:type="dxa"/>
              <w:right w:w="20" w:type="dxa"/>
            </w:tcMar>
            <w:hideMark/>
          </w:tcPr>
          <w:p w14:paraId="54B5BC11" w14:textId="77777777" w:rsidR="00000000" w:rsidRDefault="00C01C43">
            <w:pPr>
              <w:jc w:val="right"/>
              <w:rPr>
                <w:rFonts w:eastAsia="Times New Roman"/>
              </w:rPr>
            </w:pPr>
          </w:p>
        </w:tc>
      </w:tr>
      <w:tr w:rsidR="00000000" w14:paraId="4AD2DE30" w14:textId="77777777">
        <w:trPr>
          <w:jc w:val="center"/>
        </w:trPr>
        <w:tc>
          <w:tcPr>
            <w:tcW w:w="0" w:type="auto"/>
            <w:gridSpan w:val="3"/>
            <w:shd w:val="clear" w:color="auto" w:fill="FFFFFF"/>
            <w:tcMar>
              <w:top w:w="30" w:type="dxa"/>
              <w:left w:w="20" w:type="dxa"/>
              <w:bottom w:w="30" w:type="dxa"/>
              <w:right w:w="20" w:type="dxa"/>
            </w:tcMar>
            <w:hideMark/>
          </w:tcPr>
          <w:p w14:paraId="29FB8400" w14:textId="77777777" w:rsidR="00000000" w:rsidRDefault="00C01C43">
            <w:pPr>
              <w:rPr>
                <w:rFonts w:eastAsia="Times New Roman"/>
              </w:rPr>
            </w:pPr>
            <w:r>
              <w:rPr>
                <w:rFonts w:ascii="Arial" w:eastAsia="Times New Roman" w:hAnsi="Arial" w:cs="Arial"/>
                <w:color w:val="000000"/>
                <w:sz w:val="16"/>
                <w:szCs w:val="16"/>
              </w:rPr>
              <w:t>Collateral posted and held by our counterparties</w:t>
            </w:r>
          </w:p>
        </w:tc>
        <w:tc>
          <w:tcPr>
            <w:tcW w:w="0" w:type="auto"/>
            <w:gridSpan w:val="3"/>
            <w:shd w:val="clear" w:color="auto" w:fill="FFFFFF"/>
            <w:tcMar>
              <w:top w:w="0" w:type="dxa"/>
              <w:left w:w="20" w:type="dxa"/>
              <w:bottom w:w="0" w:type="dxa"/>
              <w:right w:w="20" w:type="dxa"/>
            </w:tcMar>
            <w:vAlign w:val="center"/>
            <w:hideMark/>
          </w:tcPr>
          <w:p w14:paraId="3103B497"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hideMark/>
          </w:tcPr>
          <w:p w14:paraId="7633CE5B"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hideMark/>
          </w:tcPr>
          <w:p w14:paraId="3C80808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CFA47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0E558E0" w14:textId="77777777" w:rsidR="00000000" w:rsidRDefault="00C01C43">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hideMark/>
          </w:tcPr>
          <w:p w14:paraId="398F5594" w14:textId="77777777" w:rsidR="00000000" w:rsidRDefault="00C01C43">
            <w:pPr>
              <w:jc w:val="right"/>
              <w:rPr>
                <w:rFonts w:eastAsia="Times New Roman"/>
              </w:rPr>
            </w:pPr>
          </w:p>
        </w:tc>
      </w:tr>
      <w:tr w:rsidR="00000000" w14:paraId="5B2E1F95" w14:textId="77777777">
        <w:trPr>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14:paraId="16A2C5F6" w14:textId="77777777" w:rsidR="00000000" w:rsidRDefault="00C01C43">
            <w:pPr>
              <w:rPr>
                <w:rFonts w:eastAsia="Times New Roman"/>
              </w:rPr>
            </w:pPr>
            <w:r>
              <w:rPr>
                <w:rFonts w:ascii="Arial" w:eastAsia="Times New Roman" w:hAnsi="Arial" w:cs="Arial"/>
                <w:color w:val="000000"/>
                <w:sz w:val="16"/>
                <w:szCs w:val="16"/>
              </w:rPr>
              <w:t>Maximum additional potential collateral requirements</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D911EC4" w14:textId="77777777" w:rsidR="00000000" w:rsidRDefault="00C01C4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43565271"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61A5A206" w14:textId="77777777" w:rsidR="00000000" w:rsidRDefault="00C01C43">
            <w:pPr>
              <w:jc w:val="right"/>
              <w:rPr>
                <w:rFonts w:eastAsia="Times New Roman"/>
              </w:rPr>
            </w:pPr>
            <w:r>
              <w:rPr>
                <w:rFonts w:ascii="Arial" w:eastAsia="Times New Roman" w:hAnsi="Arial" w:cs="Arial"/>
                <w:color w:val="000000"/>
                <w:sz w:val="16"/>
                <w:szCs w:val="16"/>
              </w:rPr>
              <w:t>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2A45AC61"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DF2C3CE"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754E8302"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6004E760" w14:textId="77777777" w:rsidR="00000000" w:rsidRDefault="00C01C43">
            <w:pPr>
              <w:jc w:val="right"/>
              <w:rPr>
                <w:rFonts w:eastAsia="Times New Roman"/>
              </w:rPr>
            </w:pPr>
            <w:r>
              <w:rPr>
                <w:rFonts w:ascii="Arial" w:eastAsia="Times New Roman" w:hAnsi="Arial" w:cs="Arial"/>
                <w:color w:val="000000"/>
                <w:sz w:val="16"/>
                <w:szCs w:val="16"/>
              </w:rPr>
              <w:t>45.6 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372D2D42" w14:textId="77777777" w:rsidR="00000000" w:rsidRDefault="00C01C43">
            <w:pPr>
              <w:jc w:val="right"/>
              <w:rPr>
                <w:rFonts w:eastAsia="Times New Roman"/>
              </w:rPr>
            </w:pPr>
          </w:p>
        </w:tc>
      </w:tr>
    </w:tbl>
    <w:p w14:paraId="137E7278" w14:textId="77777777" w:rsidR="00000000" w:rsidRDefault="00C01C43">
      <w:pPr>
        <w:divId w:val="806437851"/>
        <w:rPr>
          <w:rFonts w:eastAsia="Times New Roman"/>
        </w:rPr>
      </w:pPr>
      <w:r>
        <w:rPr>
          <w:rFonts w:ascii="Arial" w:eastAsia="Times New Roman" w:hAnsi="Arial" w:cs="Arial"/>
          <w:color w:val="000000"/>
          <w:sz w:val="20"/>
          <w:szCs w:val="20"/>
        </w:rPr>
        <w:t xml:space="preserve">At December 31, 2020 and 2019, there was no </w:t>
      </w:r>
      <w:r>
        <w:rPr>
          <w:rFonts w:ascii="Arial" w:eastAsia="Times New Roman" w:hAnsi="Arial" w:cs="Arial"/>
          <w:color w:val="000000"/>
          <w:sz w:val="20"/>
          <w:szCs w:val="20"/>
        </w:rPr>
        <w:t>collateral held by our counterparties on these derivative contracts with credit-risk-contingent features.</w:t>
      </w:r>
    </w:p>
    <w:p w14:paraId="74FA292D" w14:textId="77777777" w:rsidR="00000000" w:rsidRDefault="00C01C43">
      <w:pPr>
        <w:divId w:val="1104613286"/>
        <w:rPr>
          <w:rFonts w:eastAsia="Times New Roman"/>
        </w:rPr>
      </w:pPr>
    </w:p>
    <w:p w14:paraId="3C0A9D68" w14:textId="77777777" w:rsidR="00000000" w:rsidRDefault="00C01C43">
      <w:pPr>
        <w:jc w:val="both"/>
        <w:divId w:val="1736779532"/>
        <w:rPr>
          <w:rFonts w:eastAsia="Times New Roman"/>
        </w:rPr>
      </w:pPr>
      <w:r>
        <w:rPr>
          <w:rFonts w:ascii="Arial" w:eastAsia="Times New Roman" w:hAnsi="Arial" w:cs="Arial"/>
          <w:b/>
          <w:bCs/>
          <w:color w:val="000000"/>
          <w:sz w:val="20"/>
          <w:szCs w:val="20"/>
        </w:rPr>
        <w:t>5. Restructuring</w:t>
      </w:r>
    </w:p>
    <w:p w14:paraId="7E457492" w14:textId="77777777" w:rsidR="00000000" w:rsidRDefault="00C01C43">
      <w:pPr>
        <w:jc w:val="both"/>
        <w:rPr>
          <w:rFonts w:eastAsia="Times New Roman"/>
        </w:rPr>
      </w:pPr>
      <w:r>
        <w:rPr>
          <w:rFonts w:ascii="Arial" w:eastAsia="Times New Roman" w:hAnsi="Arial" w:cs="Arial"/>
          <w:color w:val="000000"/>
          <w:sz w:val="20"/>
          <w:szCs w:val="20"/>
        </w:rPr>
        <w:t>As a result of the review of our land business and changes in the overall economic landscape for all our reportable segments due to the COVID-19 pandemic, in the first quarter of 2020, we implemented a restructuring initiative focused on streamlining our o</w:t>
      </w:r>
      <w:r>
        <w:rPr>
          <w:rFonts w:ascii="Arial" w:eastAsia="Times New Roman" w:hAnsi="Arial" w:cs="Arial"/>
          <w:color w:val="000000"/>
          <w:sz w:val="20"/>
          <w:szCs w:val="20"/>
        </w:rPr>
        <w:t>perations and rationalizing our deployment and allocation of resources. While we took several actions during the year ended December 31, 2020, our focus has been mainly the cost-reduction initiatives as a result of the pandemic. As a result, the overall la</w:t>
      </w:r>
      <w:r>
        <w:rPr>
          <w:rFonts w:ascii="Arial" w:eastAsia="Times New Roman" w:hAnsi="Arial" w:cs="Arial"/>
          <w:color w:val="000000"/>
          <w:sz w:val="20"/>
          <w:szCs w:val="20"/>
        </w:rPr>
        <w:t>nd restructuring plan is now expected to be finalized by the end of the second quarter of 2021.</w:t>
      </w:r>
    </w:p>
    <w:p w14:paraId="4996046B" w14:textId="77777777" w:rsidR="00000000" w:rsidRDefault="00C01C43">
      <w:pPr>
        <w:divId w:val="2021589449"/>
        <w:rPr>
          <w:rFonts w:eastAsia="Times New Roman"/>
        </w:rPr>
      </w:pPr>
    </w:p>
    <w:p w14:paraId="1B344E9F" w14:textId="77777777" w:rsidR="00000000" w:rsidRDefault="00C01C43">
      <w:pPr>
        <w:jc w:val="both"/>
        <w:divId w:val="348143320"/>
        <w:rPr>
          <w:rFonts w:eastAsia="Times New Roman"/>
        </w:rPr>
      </w:pPr>
      <w:r>
        <w:rPr>
          <w:rFonts w:ascii="Arial" w:eastAsia="Times New Roman" w:hAnsi="Arial" w:cs="Arial"/>
          <w:color w:val="000000"/>
          <w:sz w:val="20"/>
          <w:szCs w:val="20"/>
        </w:rPr>
        <w:t>For the year ended December 31, 2020, we incurred $10.3 million in restructuring costs, comprised principally of certain severance costs included in Restructu</w:t>
      </w:r>
      <w:r>
        <w:rPr>
          <w:rFonts w:ascii="Arial" w:eastAsia="Times New Roman" w:hAnsi="Arial" w:cs="Arial"/>
          <w:color w:val="000000"/>
          <w:sz w:val="20"/>
          <w:szCs w:val="20"/>
        </w:rPr>
        <w:t>ring charges in our Consolidated Statements of Income and Comprehensive Income. Our accrued restructuring charges as of December 31, 2020 are included in Accrued expenses and other current liabilities within our Consolidated Balance Sheet.</w:t>
      </w:r>
    </w:p>
    <w:p w14:paraId="40B8E3C2" w14:textId="77777777" w:rsidR="00000000" w:rsidRDefault="00C01C43">
      <w:pPr>
        <w:divId w:val="1934974670"/>
        <w:rPr>
          <w:rFonts w:eastAsia="Times New Roman"/>
        </w:rPr>
      </w:pPr>
      <w:r>
        <w:rPr>
          <w:rFonts w:ascii="Arial" w:eastAsia="Times New Roman" w:hAnsi="Arial" w:cs="Arial"/>
          <w:color w:val="000000"/>
          <w:sz w:val="20"/>
          <w:szCs w:val="20"/>
        </w:rPr>
        <w:t>The following ta</w:t>
      </w:r>
      <w:r>
        <w:rPr>
          <w:rFonts w:ascii="Arial" w:eastAsia="Times New Roman" w:hAnsi="Arial" w:cs="Arial"/>
          <w:color w:val="000000"/>
          <w:sz w:val="20"/>
          <w:szCs w:val="20"/>
        </w:rPr>
        <w:t>ble provides a summary of our restructuring activities during the years ended December 31, 2020 and 2019 (in millions):</w:t>
      </w:r>
    </w:p>
    <w:tbl>
      <w:tblPr>
        <w:tblW w:w="4978" w:type="pct"/>
        <w:tblCellMar>
          <w:top w:w="15" w:type="dxa"/>
          <w:left w:w="15" w:type="dxa"/>
          <w:bottom w:w="15" w:type="dxa"/>
          <w:right w:w="15" w:type="dxa"/>
        </w:tblCellMar>
        <w:tblLook w:val="04A0" w:firstRow="1" w:lastRow="0" w:firstColumn="1" w:lastColumn="0" w:noHBand="0" w:noVBand="1"/>
      </w:tblPr>
      <w:tblGrid>
        <w:gridCol w:w="39"/>
        <w:gridCol w:w="2878"/>
        <w:gridCol w:w="37"/>
        <w:gridCol w:w="110"/>
        <w:gridCol w:w="898"/>
        <w:gridCol w:w="36"/>
        <w:gridCol w:w="109"/>
        <w:gridCol w:w="898"/>
        <w:gridCol w:w="36"/>
        <w:gridCol w:w="110"/>
        <w:gridCol w:w="898"/>
        <w:gridCol w:w="36"/>
        <w:gridCol w:w="110"/>
        <w:gridCol w:w="898"/>
        <w:gridCol w:w="36"/>
        <w:gridCol w:w="110"/>
        <w:gridCol w:w="994"/>
        <w:gridCol w:w="36"/>
      </w:tblGrid>
      <w:tr w:rsidR="00000000" w14:paraId="05C445A3" w14:textId="77777777">
        <w:trPr>
          <w:divId w:val="743836480"/>
        </w:trPr>
        <w:tc>
          <w:tcPr>
            <w:tcW w:w="50" w:type="pct"/>
            <w:vAlign w:val="center"/>
            <w:hideMark/>
          </w:tcPr>
          <w:p w14:paraId="10065395" w14:textId="77777777" w:rsidR="00000000" w:rsidRDefault="00C01C43">
            <w:pPr>
              <w:rPr>
                <w:rFonts w:eastAsia="Times New Roman"/>
              </w:rPr>
            </w:pPr>
          </w:p>
        </w:tc>
        <w:tc>
          <w:tcPr>
            <w:tcW w:w="1765" w:type="pct"/>
            <w:vAlign w:val="center"/>
            <w:hideMark/>
          </w:tcPr>
          <w:p w14:paraId="5DC14741" w14:textId="77777777" w:rsidR="00000000" w:rsidRDefault="00C01C43">
            <w:pPr>
              <w:rPr>
                <w:rFonts w:eastAsia="Times New Roman"/>
                <w:sz w:val="20"/>
                <w:szCs w:val="20"/>
              </w:rPr>
            </w:pPr>
          </w:p>
        </w:tc>
        <w:tc>
          <w:tcPr>
            <w:tcW w:w="5" w:type="pct"/>
            <w:vAlign w:val="center"/>
            <w:hideMark/>
          </w:tcPr>
          <w:p w14:paraId="5AD7776E" w14:textId="77777777" w:rsidR="00000000" w:rsidRDefault="00C01C43">
            <w:pPr>
              <w:rPr>
                <w:rFonts w:eastAsia="Times New Roman"/>
                <w:sz w:val="20"/>
                <w:szCs w:val="20"/>
              </w:rPr>
            </w:pPr>
          </w:p>
        </w:tc>
        <w:tc>
          <w:tcPr>
            <w:tcW w:w="50" w:type="pct"/>
            <w:vAlign w:val="center"/>
            <w:hideMark/>
          </w:tcPr>
          <w:p w14:paraId="170DA99B" w14:textId="77777777" w:rsidR="00000000" w:rsidRDefault="00C01C43">
            <w:pPr>
              <w:rPr>
                <w:rFonts w:eastAsia="Times New Roman"/>
                <w:sz w:val="20"/>
                <w:szCs w:val="20"/>
              </w:rPr>
            </w:pPr>
          </w:p>
        </w:tc>
        <w:tc>
          <w:tcPr>
            <w:tcW w:w="569" w:type="pct"/>
            <w:vAlign w:val="center"/>
            <w:hideMark/>
          </w:tcPr>
          <w:p w14:paraId="02304F57" w14:textId="77777777" w:rsidR="00000000" w:rsidRDefault="00C01C43">
            <w:pPr>
              <w:rPr>
                <w:rFonts w:eastAsia="Times New Roman"/>
                <w:sz w:val="20"/>
                <w:szCs w:val="20"/>
              </w:rPr>
            </w:pPr>
          </w:p>
        </w:tc>
        <w:tc>
          <w:tcPr>
            <w:tcW w:w="5" w:type="pct"/>
            <w:vAlign w:val="center"/>
            <w:hideMark/>
          </w:tcPr>
          <w:p w14:paraId="126080A5" w14:textId="77777777" w:rsidR="00000000" w:rsidRDefault="00C01C43">
            <w:pPr>
              <w:rPr>
                <w:rFonts w:eastAsia="Times New Roman"/>
                <w:sz w:val="20"/>
                <w:szCs w:val="20"/>
              </w:rPr>
            </w:pPr>
          </w:p>
        </w:tc>
        <w:tc>
          <w:tcPr>
            <w:tcW w:w="50" w:type="pct"/>
            <w:vAlign w:val="center"/>
            <w:hideMark/>
          </w:tcPr>
          <w:p w14:paraId="1B33EABA" w14:textId="77777777" w:rsidR="00000000" w:rsidRDefault="00C01C43">
            <w:pPr>
              <w:rPr>
                <w:rFonts w:eastAsia="Times New Roman"/>
                <w:sz w:val="20"/>
                <w:szCs w:val="20"/>
              </w:rPr>
            </w:pPr>
          </w:p>
        </w:tc>
        <w:tc>
          <w:tcPr>
            <w:tcW w:w="569" w:type="pct"/>
            <w:vAlign w:val="center"/>
            <w:hideMark/>
          </w:tcPr>
          <w:p w14:paraId="31C08F34" w14:textId="77777777" w:rsidR="00000000" w:rsidRDefault="00C01C43">
            <w:pPr>
              <w:rPr>
                <w:rFonts w:eastAsia="Times New Roman"/>
                <w:sz w:val="20"/>
                <w:szCs w:val="20"/>
              </w:rPr>
            </w:pPr>
          </w:p>
        </w:tc>
        <w:tc>
          <w:tcPr>
            <w:tcW w:w="5" w:type="pct"/>
            <w:vAlign w:val="center"/>
            <w:hideMark/>
          </w:tcPr>
          <w:p w14:paraId="4342891E" w14:textId="77777777" w:rsidR="00000000" w:rsidRDefault="00C01C43">
            <w:pPr>
              <w:rPr>
                <w:rFonts w:eastAsia="Times New Roman"/>
                <w:sz w:val="20"/>
                <w:szCs w:val="20"/>
              </w:rPr>
            </w:pPr>
          </w:p>
        </w:tc>
        <w:tc>
          <w:tcPr>
            <w:tcW w:w="50" w:type="pct"/>
            <w:vAlign w:val="center"/>
            <w:hideMark/>
          </w:tcPr>
          <w:p w14:paraId="6A932BD2" w14:textId="77777777" w:rsidR="00000000" w:rsidRDefault="00C01C43">
            <w:pPr>
              <w:rPr>
                <w:rFonts w:eastAsia="Times New Roman"/>
                <w:sz w:val="20"/>
                <w:szCs w:val="20"/>
              </w:rPr>
            </w:pPr>
          </w:p>
        </w:tc>
        <w:tc>
          <w:tcPr>
            <w:tcW w:w="569" w:type="pct"/>
            <w:vAlign w:val="center"/>
            <w:hideMark/>
          </w:tcPr>
          <w:p w14:paraId="2B051505" w14:textId="77777777" w:rsidR="00000000" w:rsidRDefault="00C01C43">
            <w:pPr>
              <w:rPr>
                <w:rFonts w:eastAsia="Times New Roman"/>
                <w:sz w:val="20"/>
                <w:szCs w:val="20"/>
              </w:rPr>
            </w:pPr>
          </w:p>
        </w:tc>
        <w:tc>
          <w:tcPr>
            <w:tcW w:w="5" w:type="pct"/>
            <w:vAlign w:val="center"/>
            <w:hideMark/>
          </w:tcPr>
          <w:p w14:paraId="7D0432B6" w14:textId="77777777" w:rsidR="00000000" w:rsidRDefault="00C01C43">
            <w:pPr>
              <w:rPr>
                <w:rFonts w:eastAsia="Times New Roman"/>
                <w:sz w:val="20"/>
                <w:szCs w:val="20"/>
              </w:rPr>
            </w:pPr>
          </w:p>
        </w:tc>
        <w:tc>
          <w:tcPr>
            <w:tcW w:w="50" w:type="pct"/>
            <w:vAlign w:val="center"/>
            <w:hideMark/>
          </w:tcPr>
          <w:p w14:paraId="251A5E6A" w14:textId="77777777" w:rsidR="00000000" w:rsidRDefault="00C01C43">
            <w:pPr>
              <w:rPr>
                <w:rFonts w:eastAsia="Times New Roman"/>
                <w:sz w:val="20"/>
                <w:szCs w:val="20"/>
              </w:rPr>
            </w:pPr>
          </w:p>
        </w:tc>
        <w:tc>
          <w:tcPr>
            <w:tcW w:w="569" w:type="pct"/>
            <w:vAlign w:val="center"/>
            <w:hideMark/>
          </w:tcPr>
          <w:p w14:paraId="7FA4CA5E" w14:textId="77777777" w:rsidR="00000000" w:rsidRDefault="00C01C43">
            <w:pPr>
              <w:rPr>
                <w:rFonts w:eastAsia="Times New Roman"/>
                <w:sz w:val="20"/>
                <w:szCs w:val="20"/>
              </w:rPr>
            </w:pPr>
          </w:p>
        </w:tc>
        <w:tc>
          <w:tcPr>
            <w:tcW w:w="5" w:type="pct"/>
            <w:vAlign w:val="center"/>
            <w:hideMark/>
          </w:tcPr>
          <w:p w14:paraId="6FF46B63" w14:textId="77777777" w:rsidR="00000000" w:rsidRDefault="00C01C43">
            <w:pPr>
              <w:rPr>
                <w:rFonts w:eastAsia="Times New Roman"/>
                <w:sz w:val="20"/>
                <w:szCs w:val="20"/>
              </w:rPr>
            </w:pPr>
          </w:p>
        </w:tc>
        <w:tc>
          <w:tcPr>
            <w:tcW w:w="50" w:type="pct"/>
            <w:vAlign w:val="center"/>
            <w:hideMark/>
          </w:tcPr>
          <w:p w14:paraId="0EC89CE5" w14:textId="77777777" w:rsidR="00000000" w:rsidRDefault="00C01C43">
            <w:pPr>
              <w:rPr>
                <w:rFonts w:eastAsia="Times New Roman"/>
                <w:sz w:val="20"/>
                <w:szCs w:val="20"/>
              </w:rPr>
            </w:pPr>
          </w:p>
        </w:tc>
        <w:tc>
          <w:tcPr>
            <w:tcW w:w="627" w:type="pct"/>
            <w:vAlign w:val="center"/>
            <w:hideMark/>
          </w:tcPr>
          <w:p w14:paraId="4137AE45" w14:textId="77777777" w:rsidR="00000000" w:rsidRDefault="00C01C43">
            <w:pPr>
              <w:rPr>
                <w:rFonts w:eastAsia="Times New Roman"/>
                <w:sz w:val="20"/>
                <w:szCs w:val="20"/>
              </w:rPr>
            </w:pPr>
          </w:p>
        </w:tc>
        <w:tc>
          <w:tcPr>
            <w:tcW w:w="5" w:type="pct"/>
            <w:vAlign w:val="center"/>
            <w:hideMark/>
          </w:tcPr>
          <w:p w14:paraId="102565EF" w14:textId="77777777" w:rsidR="00000000" w:rsidRDefault="00C01C43">
            <w:pPr>
              <w:rPr>
                <w:rFonts w:eastAsia="Times New Roman"/>
                <w:sz w:val="20"/>
                <w:szCs w:val="20"/>
              </w:rPr>
            </w:pPr>
          </w:p>
        </w:tc>
      </w:tr>
      <w:tr w:rsidR="00000000" w14:paraId="465490F5" w14:textId="77777777">
        <w:trPr>
          <w:divId w:val="743836480"/>
        </w:trPr>
        <w:tc>
          <w:tcPr>
            <w:tcW w:w="0" w:type="auto"/>
            <w:gridSpan w:val="3"/>
            <w:tcMar>
              <w:top w:w="0" w:type="dxa"/>
              <w:left w:w="20" w:type="dxa"/>
              <w:bottom w:w="0" w:type="dxa"/>
              <w:right w:w="20" w:type="dxa"/>
            </w:tcMar>
            <w:vAlign w:val="center"/>
            <w:hideMark/>
          </w:tcPr>
          <w:p w14:paraId="55B04073"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65A56B7E" w14:textId="77777777" w:rsidR="00000000" w:rsidRDefault="00C01C43">
            <w:pPr>
              <w:jc w:val="center"/>
              <w:rPr>
                <w:rFonts w:eastAsia="Times New Roman"/>
              </w:rPr>
            </w:pPr>
            <w:r>
              <w:rPr>
                <w:rFonts w:ascii="Arial" w:eastAsia="Times New Roman" w:hAnsi="Arial" w:cs="Arial"/>
                <w:b/>
                <w:bCs/>
                <w:color w:val="000000"/>
                <w:sz w:val="16"/>
                <w:szCs w:val="16"/>
              </w:rPr>
              <w:t>Aviation</w:t>
            </w:r>
          </w:p>
        </w:tc>
        <w:tc>
          <w:tcPr>
            <w:tcW w:w="0" w:type="auto"/>
            <w:gridSpan w:val="3"/>
            <w:tcMar>
              <w:top w:w="30" w:type="dxa"/>
              <w:left w:w="20" w:type="dxa"/>
              <w:bottom w:w="30" w:type="dxa"/>
              <w:right w:w="20" w:type="dxa"/>
            </w:tcMar>
            <w:vAlign w:val="bottom"/>
            <w:hideMark/>
          </w:tcPr>
          <w:p w14:paraId="1619BA4F" w14:textId="77777777" w:rsidR="00000000" w:rsidRDefault="00C01C43">
            <w:pPr>
              <w:jc w:val="center"/>
              <w:rPr>
                <w:rFonts w:eastAsia="Times New Roman"/>
              </w:rPr>
            </w:pPr>
            <w:r>
              <w:rPr>
                <w:rFonts w:ascii="Arial" w:eastAsia="Times New Roman" w:hAnsi="Arial" w:cs="Arial"/>
                <w:b/>
                <w:bCs/>
                <w:color w:val="000000"/>
                <w:sz w:val="16"/>
                <w:szCs w:val="16"/>
              </w:rPr>
              <w:t>Land</w:t>
            </w:r>
          </w:p>
        </w:tc>
        <w:tc>
          <w:tcPr>
            <w:tcW w:w="0" w:type="auto"/>
            <w:gridSpan w:val="3"/>
            <w:tcMar>
              <w:top w:w="30" w:type="dxa"/>
              <w:left w:w="20" w:type="dxa"/>
              <w:bottom w:w="30" w:type="dxa"/>
              <w:right w:w="20" w:type="dxa"/>
            </w:tcMar>
            <w:vAlign w:val="bottom"/>
            <w:hideMark/>
          </w:tcPr>
          <w:p w14:paraId="740D3400" w14:textId="77777777" w:rsidR="00000000" w:rsidRDefault="00C01C43">
            <w:pPr>
              <w:jc w:val="center"/>
              <w:rPr>
                <w:rFonts w:eastAsia="Times New Roman"/>
              </w:rPr>
            </w:pPr>
            <w:r>
              <w:rPr>
                <w:rFonts w:ascii="Arial" w:eastAsia="Times New Roman" w:hAnsi="Arial" w:cs="Arial"/>
                <w:b/>
                <w:bCs/>
                <w:color w:val="000000"/>
                <w:sz w:val="16"/>
                <w:szCs w:val="16"/>
              </w:rPr>
              <w:t>Marine</w:t>
            </w:r>
          </w:p>
        </w:tc>
        <w:tc>
          <w:tcPr>
            <w:tcW w:w="0" w:type="auto"/>
            <w:gridSpan w:val="3"/>
            <w:tcMar>
              <w:top w:w="30" w:type="dxa"/>
              <w:left w:w="20" w:type="dxa"/>
              <w:bottom w:w="30" w:type="dxa"/>
              <w:right w:w="20" w:type="dxa"/>
            </w:tcMar>
            <w:vAlign w:val="bottom"/>
            <w:hideMark/>
          </w:tcPr>
          <w:p w14:paraId="3990D2E5" w14:textId="77777777" w:rsidR="00000000" w:rsidRDefault="00C01C43">
            <w:pPr>
              <w:jc w:val="center"/>
              <w:rPr>
                <w:rFonts w:eastAsia="Times New Roman"/>
              </w:rPr>
            </w:pPr>
            <w:r>
              <w:rPr>
                <w:rFonts w:ascii="Arial" w:eastAsia="Times New Roman" w:hAnsi="Arial" w:cs="Arial"/>
                <w:b/>
                <w:bCs/>
                <w:color w:val="000000"/>
                <w:sz w:val="16"/>
                <w:szCs w:val="16"/>
              </w:rPr>
              <w:t>Corporate</w:t>
            </w:r>
          </w:p>
        </w:tc>
        <w:tc>
          <w:tcPr>
            <w:tcW w:w="0" w:type="auto"/>
            <w:gridSpan w:val="3"/>
            <w:tcMar>
              <w:top w:w="30" w:type="dxa"/>
              <w:left w:w="20" w:type="dxa"/>
              <w:bottom w:w="30" w:type="dxa"/>
              <w:right w:w="20" w:type="dxa"/>
            </w:tcMar>
            <w:vAlign w:val="bottom"/>
            <w:hideMark/>
          </w:tcPr>
          <w:p w14:paraId="03F76E71" w14:textId="77777777" w:rsidR="00000000" w:rsidRDefault="00C01C43">
            <w:pPr>
              <w:jc w:val="center"/>
              <w:rPr>
                <w:rFonts w:eastAsia="Times New Roman"/>
              </w:rPr>
            </w:pPr>
            <w:r>
              <w:rPr>
                <w:rFonts w:ascii="Arial" w:eastAsia="Times New Roman" w:hAnsi="Arial" w:cs="Arial"/>
                <w:b/>
                <w:bCs/>
                <w:color w:val="000000"/>
                <w:sz w:val="16"/>
                <w:szCs w:val="16"/>
              </w:rPr>
              <w:t>Consolidated</w:t>
            </w:r>
          </w:p>
        </w:tc>
      </w:tr>
      <w:tr w:rsidR="00000000" w14:paraId="24D643D8" w14:textId="77777777">
        <w:trPr>
          <w:divId w:val="74383648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49F1C7" w14:textId="77777777" w:rsidR="00000000" w:rsidRDefault="00C01C43">
            <w:pPr>
              <w:rPr>
                <w:rFonts w:eastAsia="Times New Roman"/>
              </w:rPr>
            </w:pPr>
            <w:r>
              <w:rPr>
                <w:rFonts w:ascii="Arial" w:eastAsia="Times New Roman" w:hAnsi="Arial" w:cs="Arial"/>
                <w:color w:val="000000"/>
                <w:sz w:val="16"/>
                <w:szCs w:val="16"/>
              </w:rPr>
              <w:t>Accrued charges as of December 31, 2018</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CD32E9"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2709C3" w14:textId="77777777" w:rsidR="00000000" w:rsidRDefault="00C01C43">
            <w:pPr>
              <w:jc w:val="right"/>
              <w:rPr>
                <w:rFonts w:eastAsia="Times New Roman"/>
              </w:rPr>
            </w:pPr>
            <w:r>
              <w:rPr>
                <w:rFonts w:ascii="Arial" w:eastAsia="Times New Roman" w:hAnsi="Arial" w:cs="Arial"/>
                <w:color w:val="000000"/>
                <w:sz w:val="16"/>
                <w:szCs w:val="16"/>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AE2DB7" w14:textId="77777777" w:rsidR="00000000" w:rsidRDefault="00C01C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1CC84D"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3D37DE" w14:textId="77777777" w:rsidR="00000000" w:rsidRDefault="00C01C43">
            <w:pPr>
              <w:jc w:val="right"/>
              <w:rPr>
                <w:rFonts w:eastAsia="Times New Roman"/>
              </w:rPr>
            </w:pPr>
            <w:r>
              <w:rPr>
                <w:rFonts w:ascii="Arial" w:eastAsia="Times New Roman" w:hAnsi="Arial" w:cs="Arial"/>
                <w:color w:val="000000"/>
                <w:sz w:val="16"/>
                <w:szCs w:val="16"/>
              </w:rPr>
              <w:t>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953045" w14:textId="77777777" w:rsidR="00000000" w:rsidRDefault="00C01C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697AD8"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9A77A7" w14:textId="77777777" w:rsidR="00000000" w:rsidRDefault="00C01C43">
            <w:pPr>
              <w:jc w:val="right"/>
              <w:rPr>
                <w:rFonts w:eastAsia="Times New Roman"/>
              </w:rPr>
            </w:pPr>
            <w:r>
              <w:rPr>
                <w:rFonts w:ascii="Arial" w:eastAsia="Times New Roman" w:hAnsi="Arial" w:cs="Arial"/>
                <w:color w:val="000000"/>
                <w:sz w:val="16"/>
                <w:szCs w:val="16"/>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ED2194" w14:textId="77777777" w:rsidR="00000000" w:rsidRDefault="00C01C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2DF16C"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93A117" w14:textId="77777777" w:rsidR="00000000" w:rsidRDefault="00C01C43">
            <w:pPr>
              <w:jc w:val="right"/>
              <w:rPr>
                <w:rFonts w:eastAsia="Times New Roman"/>
              </w:rPr>
            </w:pPr>
            <w:r>
              <w:rPr>
                <w:rFonts w:ascii="Arial" w:eastAsia="Times New Roman" w:hAnsi="Arial" w:cs="Arial"/>
                <w:color w:val="000000"/>
                <w:sz w:val="16"/>
                <w:szCs w:val="16"/>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97B590" w14:textId="77777777" w:rsidR="00000000" w:rsidRDefault="00C01C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1D36B8"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C90FC7" w14:textId="77777777" w:rsidR="00000000" w:rsidRDefault="00C01C43">
            <w:pPr>
              <w:jc w:val="right"/>
              <w:rPr>
                <w:rFonts w:eastAsia="Times New Roman"/>
              </w:rPr>
            </w:pPr>
            <w:r>
              <w:rPr>
                <w:rFonts w:ascii="Arial" w:eastAsia="Times New Roman" w:hAnsi="Arial" w:cs="Arial"/>
                <w:color w:val="000000"/>
                <w:sz w:val="16"/>
                <w:szCs w:val="16"/>
              </w:rPr>
              <w:t>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6F2474" w14:textId="77777777" w:rsidR="00000000" w:rsidRDefault="00C01C43">
            <w:pPr>
              <w:jc w:val="right"/>
              <w:rPr>
                <w:rFonts w:eastAsia="Times New Roman"/>
              </w:rPr>
            </w:pPr>
          </w:p>
        </w:tc>
      </w:tr>
      <w:tr w:rsidR="00000000" w14:paraId="358FD806" w14:textId="77777777">
        <w:trPr>
          <w:divId w:val="743836480"/>
        </w:trPr>
        <w:tc>
          <w:tcPr>
            <w:tcW w:w="0" w:type="auto"/>
            <w:gridSpan w:val="3"/>
            <w:tcMar>
              <w:top w:w="30" w:type="dxa"/>
              <w:left w:w="20" w:type="dxa"/>
              <w:bottom w:w="30" w:type="dxa"/>
              <w:right w:w="20" w:type="dxa"/>
            </w:tcMar>
            <w:vAlign w:val="bottom"/>
            <w:hideMark/>
          </w:tcPr>
          <w:p w14:paraId="4AF576CE" w14:textId="77777777" w:rsidR="00000000" w:rsidRDefault="00C01C43">
            <w:pPr>
              <w:rPr>
                <w:rFonts w:eastAsia="Times New Roman"/>
              </w:rPr>
            </w:pPr>
            <w:r>
              <w:rPr>
                <w:rFonts w:ascii="Arial" w:eastAsia="Times New Roman" w:hAnsi="Arial" w:cs="Arial"/>
                <w:color w:val="000000"/>
                <w:sz w:val="16"/>
                <w:szCs w:val="16"/>
              </w:rPr>
              <w:t>Restructuring charges</w:t>
            </w:r>
          </w:p>
        </w:tc>
        <w:tc>
          <w:tcPr>
            <w:tcW w:w="0" w:type="auto"/>
            <w:gridSpan w:val="2"/>
            <w:tcMar>
              <w:top w:w="30" w:type="dxa"/>
              <w:left w:w="20" w:type="dxa"/>
              <w:bottom w:w="30" w:type="dxa"/>
              <w:right w:w="0" w:type="dxa"/>
            </w:tcMar>
            <w:vAlign w:val="bottom"/>
            <w:hideMark/>
          </w:tcPr>
          <w:p w14:paraId="45DBA5A9" w14:textId="77777777" w:rsidR="00000000" w:rsidRDefault="00C01C43">
            <w:pPr>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bottom"/>
            <w:hideMark/>
          </w:tcPr>
          <w:p w14:paraId="166F22A8" w14:textId="77777777" w:rsidR="00000000" w:rsidRDefault="00C01C43">
            <w:pPr>
              <w:jc w:val="right"/>
              <w:rPr>
                <w:rFonts w:eastAsia="Times New Roman"/>
              </w:rPr>
            </w:pPr>
          </w:p>
        </w:tc>
        <w:tc>
          <w:tcPr>
            <w:tcW w:w="0" w:type="auto"/>
            <w:gridSpan w:val="2"/>
            <w:tcMar>
              <w:top w:w="30" w:type="dxa"/>
              <w:left w:w="20" w:type="dxa"/>
              <w:bottom w:w="30" w:type="dxa"/>
              <w:right w:w="0" w:type="dxa"/>
            </w:tcMar>
            <w:vAlign w:val="bottom"/>
            <w:hideMark/>
          </w:tcPr>
          <w:p w14:paraId="40914DD7" w14:textId="77777777" w:rsidR="00000000" w:rsidRDefault="00C01C43">
            <w:pPr>
              <w:jc w:val="right"/>
              <w:rPr>
                <w:rFonts w:eastAsia="Times New Roman"/>
              </w:rPr>
            </w:pPr>
            <w:r>
              <w:rPr>
                <w:rFonts w:ascii="Arial" w:eastAsia="Times New Roman" w:hAnsi="Arial" w:cs="Arial"/>
                <w:color w:val="000000"/>
                <w:sz w:val="16"/>
                <w:szCs w:val="16"/>
              </w:rPr>
              <w:t>4.4 </w:t>
            </w:r>
          </w:p>
        </w:tc>
        <w:tc>
          <w:tcPr>
            <w:tcW w:w="0" w:type="auto"/>
            <w:tcMar>
              <w:top w:w="30" w:type="dxa"/>
              <w:left w:w="0" w:type="dxa"/>
              <w:bottom w:w="30" w:type="dxa"/>
              <w:right w:w="20" w:type="dxa"/>
            </w:tcMar>
            <w:vAlign w:val="bottom"/>
            <w:hideMark/>
          </w:tcPr>
          <w:p w14:paraId="2163FD89" w14:textId="77777777" w:rsidR="00000000" w:rsidRDefault="00C01C43">
            <w:pPr>
              <w:jc w:val="right"/>
              <w:rPr>
                <w:rFonts w:eastAsia="Times New Roman"/>
              </w:rPr>
            </w:pPr>
          </w:p>
        </w:tc>
        <w:tc>
          <w:tcPr>
            <w:tcW w:w="0" w:type="auto"/>
            <w:gridSpan w:val="2"/>
            <w:tcMar>
              <w:top w:w="30" w:type="dxa"/>
              <w:left w:w="20" w:type="dxa"/>
              <w:bottom w:w="30" w:type="dxa"/>
              <w:right w:w="0" w:type="dxa"/>
            </w:tcMar>
            <w:vAlign w:val="bottom"/>
            <w:hideMark/>
          </w:tcPr>
          <w:p w14:paraId="14022EBD" w14:textId="77777777" w:rsidR="00000000" w:rsidRDefault="00C01C43">
            <w:pPr>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bottom"/>
            <w:hideMark/>
          </w:tcPr>
          <w:p w14:paraId="32C7C474" w14:textId="77777777" w:rsidR="00000000" w:rsidRDefault="00C01C43">
            <w:pPr>
              <w:jc w:val="right"/>
              <w:rPr>
                <w:rFonts w:eastAsia="Times New Roman"/>
              </w:rPr>
            </w:pPr>
          </w:p>
        </w:tc>
        <w:tc>
          <w:tcPr>
            <w:tcW w:w="0" w:type="auto"/>
            <w:gridSpan w:val="2"/>
            <w:tcMar>
              <w:top w:w="30" w:type="dxa"/>
              <w:left w:w="20" w:type="dxa"/>
              <w:bottom w:w="30" w:type="dxa"/>
              <w:right w:w="0" w:type="dxa"/>
            </w:tcMar>
            <w:vAlign w:val="bottom"/>
            <w:hideMark/>
          </w:tcPr>
          <w:p w14:paraId="34C86E08" w14:textId="77777777" w:rsidR="00000000" w:rsidRDefault="00C01C43">
            <w:pPr>
              <w:jc w:val="right"/>
              <w:rPr>
                <w:rFonts w:eastAsia="Times New Roman"/>
              </w:rPr>
            </w:pPr>
            <w:r>
              <w:rPr>
                <w:rFonts w:ascii="Arial" w:eastAsia="Times New Roman" w:hAnsi="Arial" w:cs="Arial"/>
                <w:color w:val="000000"/>
                <w:sz w:val="16"/>
                <w:szCs w:val="16"/>
              </w:rPr>
              <w:t>13.0 </w:t>
            </w:r>
          </w:p>
        </w:tc>
        <w:tc>
          <w:tcPr>
            <w:tcW w:w="0" w:type="auto"/>
            <w:tcMar>
              <w:top w:w="30" w:type="dxa"/>
              <w:left w:w="0" w:type="dxa"/>
              <w:bottom w:w="30" w:type="dxa"/>
              <w:right w:w="20" w:type="dxa"/>
            </w:tcMar>
            <w:vAlign w:val="bottom"/>
            <w:hideMark/>
          </w:tcPr>
          <w:p w14:paraId="08320539" w14:textId="77777777" w:rsidR="00000000" w:rsidRDefault="00C01C43">
            <w:pPr>
              <w:jc w:val="right"/>
              <w:rPr>
                <w:rFonts w:eastAsia="Times New Roman"/>
              </w:rPr>
            </w:pPr>
          </w:p>
        </w:tc>
        <w:tc>
          <w:tcPr>
            <w:tcW w:w="0" w:type="auto"/>
            <w:gridSpan w:val="2"/>
            <w:tcMar>
              <w:top w:w="30" w:type="dxa"/>
              <w:left w:w="20" w:type="dxa"/>
              <w:bottom w:w="30" w:type="dxa"/>
              <w:right w:w="0" w:type="dxa"/>
            </w:tcMar>
            <w:vAlign w:val="bottom"/>
            <w:hideMark/>
          </w:tcPr>
          <w:p w14:paraId="01FF06CB" w14:textId="77777777" w:rsidR="00000000" w:rsidRDefault="00C01C43">
            <w:pPr>
              <w:jc w:val="right"/>
              <w:rPr>
                <w:rFonts w:eastAsia="Times New Roman"/>
              </w:rPr>
            </w:pPr>
            <w:r>
              <w:rPr>
                <w:rFonts w:ascii="Arial" w:eastAsia="Times New Roman" w:hAnsi="Arial" w:cs="Arial"/>
                <w:color w:val="000000"/>
                <w:sz w:val="16"/>
                <w:szCs w:val="16"/>
              </w:rPr>
              <w:t>19.7 </w:t>
            </w:r>
          </w:p>
        </w:tc>
        <w:tc>
          <w:tcPr>
            <w:tcW w:w="0" w:type="auto"/>
            <w:tcMar>
              <w:top w:w="30" w:type="dxa"/>
              <w:left w:w="0" w:type="dxa"/>
              <w:bottom w:w="30" w:type="dxa"/>
              <w:right w:w="20" w:type="dxa"/>
            </w:tcMar>
            <w:vAlign w:val="bottom"/>
            <w:hideMark/>
          </w:tcPr>
          <w:p w14:paraId="2FB45E3B" w14:textId="77777777" w:rsidR="00000000" w:rsidRDefault="00C01C43">
            <w:pPr>
              <w:jc w:val="right"/>
              <w:rPr>
                <w:rFonts w:eastAsia="Times New Roman"/>
              </w:rPr>
            </w:pPr>
          </w:p>
        </w:tc>
      </w:tr>
      <w:tr w:rsidR="00000000" w14:paraId="392FA0E3" w14:textId="77777777">
        <w:trPr>
          <w:divId w:val="743836480"/>
        </w:trPr>
        <w:tc>
          <w:tcPr>
            <w:tcW w:w="0" w:type="auto"/>
            <w:gridSpan w:val="3"/>
            <w:shd w:val="clear" w:color="auto" w:fill="CCEEFF"/>
            <w:tcMar>
              <w:top w:w="30" w:type="dxa"/>
              <w:left w:w="20" w:type="dxa"/>
              <w:bottom w:w="30" w:type="dxa"/>
              <w:right w:w="20" w:type="dxa"/>
            </w:tcMar>
            <w:vAlign w:val="bottom"/>
            <w:hideMark/>
          </w:tcPr>
          <w:p w14:paraId="6A5F3FCF" w14:textId="77777777" w:rsidR="00000000" w:rsidRDefault="00C01C43">
            <w:pPr>
              <w:rPr>
                <w:rFonts w:eastAsia="Times New Roman"/>
              </w:rPr>
            </w:pPr>
            <w:r>
              <w:rPr>
                <w:rFonts w:ascii="Arial" w:eastAsia="Times New Roman" w:hAnsi="Arial" w:cs="Arial"/>
                <w:color w:val="000000"/>
                <w:sz w:val="16"/>
                <w:szCs w:val="16"/>
              </w:rPr>
              <w:t>Paid during the period</w:t>
            </w:r>
          </w:p>
        </w:tc>
        <w:tc>
          <w:tcPr>
            <w:tcW w:w="0" w:type="auto"/>
            <w:gridSpan w:val="2"/>
            <w:shd w:val="clear" w:color="auto" w:fill="CCEEFF"/>
            <w:tcMar>
              <w:top w:w="30" w:type="dxa"/>
              <w:left w:w="20" w:type="dxa"/>
              <w:bottom w:w="30" w:type="dxa"/>
              <w:right w:w="0" w:type="dxa"/>
            </w:tcMar>
            <w:vAlign w:val="bottom"/>
            <w:hideMark/>
          </w:tcPr>
          <w:p w14:paraId="631FDC09" w14:textId="77777777" w:rsidR="00000000" w:rsidRDefault="00C01C43">
            <w:pPr>
              <w:jc w:val="right"/>
              <w:rPr>
                <w:rFonts w:eastAsia="Times New Roman"/>
              </w:rPr>
            </w:pPr>
            <w:r>
              <w:rPr>
                <w:rFonts w:ascii="Arial" w:eastAsia="Times New Roman" w:hAnsi="Arial" w:cs="Arial"/>
                <w:color w:val="000000"/>
                <w:sz w:val="16"/>
                <w:szCs w:val="16"/>
              </w:rPr>
              <w:t>(2.1)</w:t>
            </w:r>
          </w:p>
        </w:tc>
        <w:tc>
          <w:tcPr>
            <w:tcW w:w="0" w:type="auto"/>
            <w:shd w:val="clear" w:color="auto" w:fill="CCEEFF"/>
            <w:tcMar>
              <w:top w:w="30" w:type="dxa"/>
              <w:left w:w="0" w:type="dxa"/>
              <w:bottom w:w="30" w:type="dxa"/>
              <w:right w:w="20" w:type="dxa"/>
            </w:tcMar>
            <w:vAlign w:val="bottom"/>
            <w:hideMark/>
          </w:tcPr>
          <w:p w14:paraId="58493E6D"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ECD0CA" w14:textId="77777777" w:rsidR="00000000" w:rsidRDefault="00C01C43">
            <w:pPr>
              <w:jc w:val="right"/>
              <w:rPr>
                <w:rFonts w:eastAsia="Times New Roman"/>
              </w:rPr>
            </w:pPr>
            <w:r>
              <w:rPr>
                <w:rFonts w:ascii="Arial" w:eastAsia="Times New Roman" w:hAnsi="Arial" w:cs="Arial"/>
                <w:color w:val="000000"/>
                <w:sz w:val="16"/>
                <w:szCs w:val="16"/>
              </w:rPr>
              <w:t>(9.6)</w:t>
            </w:r>
          </w:p>
        </w:tc>
        <w:tc>
          <w:tcPr>
            <w:tcW w:w="0" w:type="auto"/>
            <w:shd w:val="clear" w:color="auto" w:fill="CCEEFF"/>
            <w:tcMar>
              <w:top w:w="30" w:type="dxa"/>
              <w:left w:w="0" w:type="dxa"/>
              <w:bottom w:w="30" w:type="dxa"/>
              <w:right w:w="20" w:type="dxa"/>
            </w:tcMar>
            <w:vAlign w:val="bottom"/>
            <w:hideMark/>
          </w:tcPr>
          <w:p w14:paraId="74128C27"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97ABE8" w14:textId="77777777" w:rsidR="00000000" w:rsidRDefault="00C01C43">
            <w:pPr>
              <w:jc w:val="right"/>
              <w:rPr>
                <w:rFonts w:eastAsia="Times New Roman"/>
              </w:rPr>
            </w:pPr>
            <w:r>
              <w:rPr>
                <w:rFonts w:ascii="Arial" w:eastAsia="Times New Roman" w:hAnsi="Arial" w:cs="Arial"/>
                <w:color w:val="000000"/>
                <w:sz w:val="16"/>
                <w:szCs w:val="16"/>
              </w:rPr>
              <w:t>(2.4)</w:t>
            </w:r>
          </w:p>
        </w:tc>
        <w:tc>
          <w:tcPr>
            <w:tcW w:w="0" w:type="auto"/>
            <w:shd w:val="clear" w:color="auto" w:fill="CCEEFF"/>
            <w:tcMar>
              <w:top w:w="30" w:type="dxa"/>
              <w:left w:w="0" w:type="dxa"/>
              <w:bottom w:w="30" w:type="dxa"/>
              <w:right w:w="20" w:type="dxa"/>
            </w:tcMar>
            <w:vAlign w:val="bottom"/>
            <w:hideMark/>
          </w:tcPr>
          <w:p w14:paraId="03AAA0F4"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ED508F" w14:textId="77777777" w:rsidR="00000000" w:rsidRDefault="00C01C43">
            <w:pPr>
              <w:jc w:val="right"/>
              <w:rPr>
                <w:rFonts w:eastAsia="Times New Roman"/>
              </w:rPr>
            </w:pPr>
            <w:r>
              <w:rPr>
                <w:rFonts w:ascii="Arial" w:eastAsia="Times New Roman" w:hAnsi="Arial" w:cs="Arial"/>
                <w:color w:val="000000"/>
                <w:sz w:val="16"/>
                <w:szCs w:val="16"/>
              </w:rPr>
              <w:t>(16.8)</w:t>
            </w:r>
          </w:p>
        </w:tc>
        <w:tc>
          <w:tcPr>
            <w:tcW w:w="0" w:type="auto"/>
            <w:shd w:val="clear" w:color="auto" w:fill="CCEEFF"/>
            <w:tcMar>
              <w:top w:w="30" w:type="dxa"/>
              <w:left w:w="0" w:type="dxa"/>
              <w:bottom w:w="30" w:type="dxa"/>
              <w:right w:w="20" w:type="dxa"/>
            </w:tcMar>
            <w:vAlign w:val="bottom"/>
            <w:hideMark/>
          </w:tcPr>
          <w:p w14:paraId="02386654"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BA58F7" w14:textId="77777777" w:rsidR="00000000" w:rsidRDefault="00C01C43">
            <w:pPr>
              <w:jc w:val="right"/>
              <w:rPr>
                <w:rFonts w:eastAsia="Times New Roman"/>
              </w:rPr>
            </w:pPr>
            <w:r>
              <w:rPr>
                <w:rFonts w:ascii="Arial" w:eastAsia="Times New Roman" w:hAnsi="Arial" w:cs="Arial"/>
                <w:color w:val="000000"/>
                <w:sz w:val="16"/>
                <w:szCs w:val="16"/>
              </w:rPr>
              <w:t>(30.8)</w:t>
            </w:r>
          </w:p>
        </w:tc>
        <w:tc>
          <w:tcPr>
            <w:tcW w:w="0" w:type="auto"/>
            <w:shd w:val="clear" w:color="auto" w:fill="CCEEFF"/>
            <w:tcMar>
              <w:top w:w="30" w:type="dxa"/>
              <w:left w:w="0" w:type="dxa"/>
              <w:bottom w:w="30" w:type="dxa"/>
              <w:right w:w="20" w:type="dxa"/>
            </w:tcMar>
            <w:vAlign w:val="bottom"/>
            <w:hideMark/>
          </w:tcPr>
          <w:p w14:paraId="2FF3DB45" w14:textId="77777777" w:rsidR="00000000" w:rsidRDefault="00C01C43">
            <w:pPr>
              <w:jc w:val="right"/>
              <w:rPr>
                <w:rFonts w:eastAsia="Times New Roman"/>
              </w:rPr>
            </w:pPr>
          </w:p>
        </w:tc>
      </w:tr>
      <w:tr w:rsidR="00000000" w14:paraId="6BCE9F4E" w14:textId="77777777">
        <w:trPr>
          <w:divId w:val="743836480"/>
        </w:trPr>
        <w:tc>
          <w:tcPr>
            <w:tcW w:w="0" w:type="auto"/>
            <w:gridSpan w:val="3"/>
            <w:tcBorders>
              <w:top w:val="single" w:sz="8" w:space="0" w:color="000000"/>
            </w:tcBorders>
            <w:tcMar>
              <w:top w:w="30" w:type="dxa"/>
              <w:left w:w="20" w:type="dxa"/>
              <w:bottom w:w="30" w:type="dxa"/>
              <w:right w:w="20" w:type="dxa"/>
            </w:tcMar>
            <w:vAlign w:val="bottom"/>
            <w:hideMark/>
          </w:tcPr>
          <w:p w14:paraId="733BEE7E" w14:textId="77777777" w:rsidR="00000000" w:rsidRDefault="00C01C43">
            <w:pPr>
              <w:rPr>
                <w:rFonts w:eastAsia="Times New Roman"/>
              </w:rPr>
            </w:pPr>
            <w:r>
              <w:rPr>
                <w:rFonts w:ascii="Arial" w:eastAsia="Times New Roman" w:hAnsi="Arial" w:cs="Arial"/>
                <w:color w:val="000000"/>
                <w:sz w:val="16"/>
                <w:szCs w:val="16"/>
              </w:rPr>
              <w:t>Accrued charges as of December 31, 2019</w:t>
            </w:r>
          </w:p>
        </w:tc>
        <w:tc>
          <w:tcPr>
            <w:tcW w:w="0" w:type="auto"/>
            <w:gridSpan w:val="2"/>
            <w:tcBorders>
              <w:top w:val="single" w:sz="8" w:space="0" w:color="000000"/>
            </w:tcBorders>
            <w:tcMar>
              <w:top w:w="30" w:type="dxa"/>
              <w:left w:w="20" w:type="dxa"/>
              <w:bottom w:w="30" w:type="dxa"/>
              <w:right w:w="0" w:type="dxa"/>
            </w:tcMar>
            <w:vAlign w:val="bottom"/>
            <w:hideMark/>
          </w:tcPr>
          <w:p w14:paraId="5D39434B" w14:textId="77777777" w:rsidR="00000000" w:rsidRDefault="00C01C43">
            <w:pPr>
              <w:jc w:val="right"/>
              <w:rPr>
                <w:rFonts w:eastAsia="Times New Roman"/>
              </w:rPr>
            </w:pPr>
            <w:r>
              <w:rPr>
                <w:rFonts w:ascii="Arial" w:eastAsia="Times New Roman" w:hAnsi="Arial" w:cs="Arial"/>
                <w:color w:val="000000"/>
                <w:sz w:val="16"/>
                <w:szCs w:val="16"/>
              </w:rPr>
              <w:t>0.5 </w:t>
            </w:r>
          </w:p>
        </w:tc>
        <w:tc>
          <w:tcPr>
            <w:tcW w:w="0" w:type="auto"/>
            <w:tcBorders>
              <w:top w:val="single" w:sz="8" w:space="0" w:color="000000"/>
            </w:tcBorders>
            <w:tcMar>
              <w:top w:w="30" w:type="dxa"/>
              <w:left w:w="0" w:type="dxa"/>
              <w:bottom w:w="30" w:type="dxa"/>
              <w:right w:w="20" w:type="dxa"/>
            </w:tcMar>
            <w:vAlign w:val="bottom"/>
            <w:hideMark/>
          </w:tcPr>
          <w:p w14:paraId="78D78742" w14:textId="77777777" w:rsidR="00000000" w:rsidRDefault="00C01C4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14:paraId="7F6CE835" w14:textId="77777777" w:rsidR="00000000" w:rsidRDefault="00C01C43">
            <w:pPr>
              <w:jc w:val="right"/>
              <w:rPr>
                <w:rFonts w:eastAsia="Times New Roman"/>
              </w:rPr>
            </w:pPr>
            <w:r>
              <w:rPr>
                <w:rFonts w:ascii="Arial" w:eastAsia="Times New Roman" w:hAnsi="Arial" w:cs="Arial"/>
                <w:color w:val="000000"/>
                <w:sz w:val="16"/>
                <w:szCs w:val="16"/>
              </w:rPr>
              <w:t>7.5 </w:t>
            </w:r>
          </w:p>
        </w:tc>
        <w:tc>
          <w:tcPr>
            <w:tcW w:w="0" w:type="auto"/>
            <w:tcBorders>
              <w:top w:val="single" w:sz="8" w:space="0" w:color="000000"/>
            </w:tcBorders>
            <w:tcMar>
              <w:top w:w="30" w:type="dxa"/>
              <w:left w:w="0" w:type="dxa"/>
              <w:bottom w:w="30" w:type="dxa"/>
              <w:right w:w="20" w:type="dxa"/>
            </w:tcMar>
            <w:vAlign w:val="bottom"/>
            <w:hideMark/>
          </w:tcPr>
          <w:p w14:paraId="10153590" w14:textId="77777777" w:rsidR="00000000" w:rsidRDefault="00C01C4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14:paraId="18B495FA" w14:textId="77777777" w:rsidR="00000000" w:rsidRDefault="00C01C43">
            <w:pPr>
              <w:jc w:val="right"/>
              <w:rPr>
                <w:rFonts w:eastAsia="Times New Roman"/>
              </w:rPr>
            </w:pPr>
            <w:r>
              <w:rPr>
                <w:rFonts w:ascii="Arial" w:eastAsia="Times New Roman" w:hAnsi="Arial" w:cs="Arial"/>
                <w:color w:val="000000"/>
                <w:sz w:val="16"/>
                <w:szCs w:val="16"/>
              </w:rPr>
              <w:t>1.3 </w:t>
            </w:r>
          </w:p>
        </w:tc>
        <w:tc>
          <w:tcPr>
            <w:tcW w:w="0" w:type="auto"/>
            <w:tcBorders>
              <w:top w:val="single" w:sz="8" w:space="0" w:color="000000"/>
            </w:tcBorders>
            <w:tcMar>
              <w:top w:w="30" w:type="dxa"/>
              <w:left w:w="0" w:type="dxa"/>
              <w:bottom w:w="30" w:type="dxa"/>
              <w:right w:w="20" w:type="dxa"/>
            </w:tcMar>
            <w:vAlign w:val="bottom"/>
            <w:hideMark/>
          </w:tcPr>
          <w:p w14:paraId="62EA684B" w14:textId="77777777" w:rsidR="00000000" w:rsidRDefault="00C01C4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14:paraId="55AFE23B" w14:textId="77777777" w:rsidR="00000000" w:rsidRDefault="00C01C43">
            <w:pPr>
              <w:jc w:val="right"/>
              <w:rPr>
                <w:rFonts w:eastAsia="Times New Roman"/>
              </w:rPr>
            </w:pPr>
            <w:r>
              <w:rPr>
                <w:rFonts w:ascii="Arial" w:eastAsia="Times New Roman" w:hAnsi="Arial" w:cs="Arial"/>
                <w:color w:val="000000"/>
                <w:sz w:val="16"/>
                <w:szCs w:val="16"/>
              </w:rPr>
              <w:t>0.2 </w:t>
            </w:r>
          </w:p>
        </w:tc>
        <w:tc>
          <w:tcPr>
            <w:tcW w:w="0" w:type="auto"/>
            <w:tcBorders>
              <w:top w:val="single" w:sz="8" w:space="0" w:color="000000"/>
            </w:tcBorders>
            <w:tcMar>
              <w:top w:w="30" w:type="dxa"/>
              <w:left w:w="0" w:type="dxa"/>
              <w:bottom w:w="30" w:type="dxa"/>
              <w:right w:w="20" w:type="dxa"/>
            </w:tcMar>
            <w:vAlign w:val="bottom"/>
            <w:hideMark/>
          </w:tcPr>
          <w:p w14:paraId="5786DB3B" w14:textId="77777777" w:rsidR="00000000" w:rsidRDefault="00C01C4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14:paraId="6B95528E" w14:textId="77777777" w:rsidR="00000000" w:rsidRDefault="00C01C43">
            <w:pPr>
              <w:jc w:val="right"/>
              <w:rPr>
                <w:rFonts w:eastAsia="Times New Roman"/>
              </w:rPr>
            </w:pPr>
            <w:r>
              <w:rPr>
                <w:rFonts w:ascii="Arial" w:eastAsia="Times New Roman" w:hAnsi="Arial" w:cs="Arial"/>
                <w:color w:val="000000"/>
                <w:sz w:val="16"/>
                <w:szCs w:val="16"/>
              </w:rPr>
              <w:t>9.5 </w:t>
            </w:r>
          </w:p>
        </w:tc>
        <w:tc>
          <w:tcPr>
            <w:tcW w:w="0" w:type="auto"/>
            <w:tcBorders>
              <w:top w:val="single" w:sz="8" w:space="0" w:color="000000"/>
            </w:tcBorders>
            <w:tcMar>
              <w:top w:w="30" w:type="dxa"/>
              <w:left w:w="0" w:type="dxa"/>
              <w:bottom w:w="30" w:type="dxa"/>
              <w:right w:w="20" w:type="dxa"/>
            </w:tcMar>
            <w:vAlign w:val="bottom"/>
            <w:hideMark/>
          </w:tcPr>
          <w:p w14:paraId="5A8CEF8B" w14:textId="77777777" w:rsidR="00000000" w:rsidRDefault="00C01C43">
            <w:pPr>
              <w:jc w:val="right"/>
              <w:rPr>
                <w:rFonts w:eastAsia="Times New Roman"/>
              </w:rPr>
            </w:pPr>
          </w:p>
        </w:tc>
      </w:tr>
      <w:tr w:rsidR="00000000" w14:paraId="0CD8C12A" w14:textId="77777777">
        <w:trPr>
          <w:divId w:val="743836480"/>
        </w:trPr>
        <w:tc>
          <w:tcPr>
            <w:tcW w:w="0" w:type="auto"/>
            <w:gridSpan w:val="3"/>
            <w:shd w:val="clear" w:color="auto" w:fill="CCEDFF"/>
            <w:tcMar>
              <w:top w:w="30" w:type="dxa"/>
              <w:left w:w="20" w:type="dxa"/>
              <w:bottom w:w="30" w:type="dxa"/>
              <w:right w:w="20" w:type="dxa"/>
            </w:tcMar>
            <w:vAlign w:val="bottom"/>
            <w:hideMark/>
          </w:tcPr>
          <w:p w14:paraId="70C25E2E" w14:textId="77777777" w:rsidR="00000000" w:rsidRDefault="00C01C43">
            <w:pPr>
              <w:rPr>
                <w:rFonts w:eastAsia="Times New Roman"/>
              </w:rPr>
            </w:pPr>
            <w:r>
              <w:rPr>
                <w:rFonts w:ascii="Arial" w:eastAsia="Times New Roman" w:hAnsi="Arial" w:cs="Arial"/>
                <w:color w:val="000000"/>
                <w:sz w:val="16"/>
                <w:szCs w:val="16"/>
              </w:rPr>
              <w:t>Restructuring charges</w:t>
            </w:r>
          </w:p>
        </w:tc>
        <w:tc>
          <w:tcPr>
            <w:tcW w:w="0" w:type="auto"/>
            <w:gridSpan w:val="2"/>
            <w:shd w:val="clear" w:color="auto" w:fill="CCEDFF"/>
            <w:tcMar>
              <w:top w:w="30" w:type="dxa"/>
              <w:left w:w="20" w:type="dxa"/>
              <w:bottom w:w="30" w:type="dxa"/>
              <w:right w:w="0" w:type="dxa"/>
            </w:tcMar>
            <w:vAlign w:val="bottom"/>
            <w:hideMark/>
          </w:tcPr>
          <w:p w14:paraId="6BA40BCF" w14:textId="77777777" w:rsidR="00000000" w:rsidRDefault="00C01C43">
            <w:pPr>
              <w:jc w:val="right"/>
              <w:rPr>
                <w:rFonts w:eastAsia="Times New Roman"/>
              </w:rPr>
            </w:pPr>
            <w:r>
              <w:rPr>
                <w:rFonts w:ascii="Arial" w:eastAsia="Times New Roman" w:hAnsi="Arial" w:cs="Arial"/>
                <w:color w:val="000000"/>
                <w:sz w:val="16"/>
                <w:szCs w:val="16"/>
              </w:rPr>
              <w:t>3.3 </w:t>
            </w:r>
          </w:p>
        </w:tc>
        <w:tc>
          <w:tcPr>
            <w:tcW w:w="0" w:type="auto"/>
            <w:shd w:val="clear" w:color="auto" w:fill="CCEDFF"/>
            <w:tcMar>
              <w:top w:w="30" w:type="dxa"/>
              <w:left w:w="0" w:type="dxa"/>
              <w:bottom w:w="30" w:type="dxa"/>
              <w:right w:w="20" w:type="dxa"/>
            </w:tcMar>
            <w:vAlign w:val="bottom"/>
            <w:hideMark/>
          </w:tcPr>
          <w:p w14:paraId="0F660335" w14:textId="77777777" w:rsidR="00000000" w:rsidRDefault="00C01C43">
            <w:pPr>
              <w:jc w:val="right"/>
              <w:rPr>
                <w:rFonts w:eastAsia="Times New Roman"/>
              </w:rPr>
            </w:pPr>
          </w:p>
        </w:tc>
        <w:tc>
          <w:tcPr>
            <w:tcW w:w="0" w:type="auto"/>
            <w:gridSpan w:val="2"/>
            <w:shd w:val="clear" w:color="auto" w:fill="CCEDFF"/>
            <w:tcMar>
              <w:top w:w="30" w:type="dxa"/>
              <w:left w:w="20" w:type="dxa"/>
              <w:bottom w:w="30" w:type="dxa"/>
              <w:right w:w="0" w:type="dxa"/>
            </w:tcMar>
            <w:vAlign w:val="bottom"/>
            <w:hideMark/>
          </w:tcPr>
          <w:p w14:paraId="5795B73C" w14:textId="77777777" w:rsidR="00000000" w:rsidRDefault="00C01C43">
            <w:pPr>
              <w:jc w:val="right"/>
              <w:rPr>
                <w:rFonts w:eastAsia="Times New Roman"/>
              </w:rPr>
            </w:pPr>
            <w:r>
              <w:rPr>
                <w:rFonts w:ascii="Arial" w:eastAsia="Times New Roman" w:hAnsi="Arial" w:cs="Arial"/>
                <w:color w:val="000000"/>
                <w:sz w:val="16"/>
                <w:szCs w:val="16"/>
              </w:rPr>
              <w:t>3.9 </w:t>
            </w:r>
          </w:p>
        </w:tc>
        <w:tc>
          <w:tcPr>
            <w:tcW w:w="0" w:type="auto"/>
            <w:shd w:val="clear" w:color="auto" w:fill="CCEDFF"/>
            <w:tcMar>
              <w:top w:w="30" w:type="dxa"/>
              <w:left w:w="0" w:type="dxa"/>
              <w:bottom w:w="30" w:type="dxa"/>
              <w:right w:w="20" w:type="dxa"/>
            </w:tcMar>
            <w:vAlign w:val="bottom"/>
            <w:hideMark/>
          </w:tcPr>
          <w:p w14:paraId="25A34E5E" w14:textId="77777777" w:rsidR="00000000" w:rsidRDefault="00C01C43">
            <w:pPr>
              <w:jc w:val="right"/>
              <w:rPr>
                <w:rFonts w:eastAsia="Times New Roman"/>
              </w:rPr>
            </w:pPr>
          </w:p>
        </w:tc>
        <w:tc>
          <w:tcPr>
            <w:tcW w:w="0" w:type="auto"/>
            <w:gridSpan w:val="2"/>
            <w:shd w:val="clear" w:color="auto" w:fill="CCEDFF"/>
            <w:tcMar>
              <w:top w:w="30" w:type="dxa"/>
              <w:left w:w="20" w:type="dxa"/>
              <w:bottom w:w="30" w:type="dxa"/>
              <w:right w:w="0" w:type="dxa"/>
            </w:tcMar>
            <w:vAlign w:val="bottom"/>
            <w:hideMark/>
          </w:tcPr>
          <w:p w14:paraId="05023043" w14:textId="77777777" w:rsidR="00000000" w:rsidRDefault="00C01C43">
            <w:pPr>
              <w:jc w:val="right"/>
              <w:rPr>
                <w:rFonts w:eastAsia="Times New Roman"/>
              </w:rPr>
            </w:pPr>
            <w:r>
              <w:rPr>
                <w:rFonts w:ascii="Arial" w:eastAsia="Times New Roman" w:hAnsi="Arial" w:cs="Arial"/>
                <w:color w:val="000000"/>
                <w:sz w:val="16"/>
                <w:szCs w:val="16"/>
              </w:rPr>
              <w:t>1.9 </w:t>
            </w:r>
          </w:p>
        </w:tc>
        <w:tc>
          <w:tcPr>
            <w:tcW w:w="0" w:type="auto"/>
            <w:shd w:val="clear" w:color="auto" w:fill="CCEDFF"/>
            <w:tcMar>
              <w:top w:w="30" w:type="dxa"/>
              <w:left w:w="0" w:type="dxa"/>
              <w:bottom w:w="30" w:type="dxa"/>
              <w:right w:w="20" w:type="dxa"/>
            </w:tcMar>
            <w:vAlign w:val="bottom"/>
            <w:hideMark/>
          </w:tcPr>
          <w:p w14:paraId="40023216" w14:textId="77777777" w:rsidR="00000000" w:rsidRDefault="00C01C43">
            <w:pPr>
              <w:jc w:val="right"/>
              <w:rPr>
                <w:rFonts w:eastAsia="Times New Roman"/>
              </w:rPr>
            </w:pPr>
          </w:p>
        </w:tc>
        <w:tc>
          <w:tcPr>
            <w:tcW w:w="0" w:type="auto"/>
            <w:gridSpan w:val="2"/>
            <w:shd w:val="clear" w:color="auto" w:fill="CCEDFF"/>
            <w:tcMar>
              <w:top w:w="30" w:type="dxa"/>
              <w:left w:w="20" w:type="dxa"/>
              <w:bottom w:w="30" w:type="dxa"/>
              <w:right w:w="0" w:type="dxa"/>
            </w:tcMar>
            <w:vAlign w:val="bottom"/>
            <w:hideMark/>
          </w:tcPr>
          <w:p w14:paraId="2F48553A" w14:textId="77777777" w:rsidR="00000000" w:rsidRDefault="00C01C43">
            <w:pPr>
              <w:jc w:val="right"/>
              <w:rPr>
                <w:rFonts w:eastAsia="Times New Roman"/>
              </w:rPr>
            </w:pPr>
            <w:r>
              <w:rPr>
                <w:rFonts w:ascii="Arial" w:eastAsia="Times New Roman" w:hAnsi="Arial" w:cs="Arial"/>
                <w:color w:val="000000"/>
                <w:sz w:val="16"/>
                <w:szCs w:val="16"/>
              </w:rPr>
              <w:t>1.2 </w:t>
            </w:r>
          </w:p>
        </w:tc>
        <w:tc>
          <w:tcPr>
            <w:tcW w:w="0" w:type="auto"/>
            <w:shd w:val="clear" w:color="auto" w:fill="CCEDFF"/>
            <w:tcMar>
              <w:top w:w="30" w:type="dxa"/>
              <w:left w:w="0" w:type="dxa"/>
              <w:bottom w:w="30" w:type="dxa"/>
              <w:right w:w="20" w:type="dxa"/>
            </w:tcMar>
            <w:vAlign w:val="bottom"/>
            <w:hideMark/>
          </w:tcPr>
          <w:p w14:paraId="04FA66BE" w14:textId="77777777" w:rsidR="00000000" w:rsidRDefault="00C01C43">
            <w:pPr>
              <w:jc w:val="right"/>
              <w:rPr>
                <w:rFonts w:eastAsia="Times New Roman"/>
              </w:rPr>
            </w:pPr>
          </w:p>
        </w:tc>
        <w:tc>
          <w:tcPr>
            <w:tcW w:w="0" w:type="auto"/>
            <w:gridSpan w:val="2"/>
            <w:shd w:val="clear" w:color="auto" w:fill="CCEDFF"/>
            <w:tcMar>
              <w:top w:w="30" w:type="dxa"/>
              <w:left w:w="20" w:type="dxa"/>
              <w:bottom w:w="30" w:type="dxa"/>
              <w:right w:w="0" w:type="dxa"/>
            </w:tcMar>
            <w:vAlign w:val="bottom"/>
            <w:hideMark/>
          </w:tcPr>
          <w:p w14:paraId="1544443E" w14:textId="77777777" w:rsidR="00000000" w:rsidRDefault="00C01C43">
            <w:pPr>
              <w:jc w:val="right"/>
              <w:rPr>
                <w:rFonts w:eastAsia="Times New Roman"/>
              </w:rPr>
            </w:pPr>
            <w:r>
              <w:rPr>
                <w:rFonts w:ascii="Arial" w:eastAsia="Times New Roman" w:hAnsi="Arial" w:cs="Arial"/>
                <w:color w:val="000000"/>
                <w:sz w:val="16"/>
                <w:szCs w:val="16"/>
              </w:rPr>
              <w:t>10.3 </w:t>
            </w:r>
          </w:p>
        </w:tc>
        <w:tc>
          <w:tcPr>
            <w:tcW w:w="0" w:type="auto"/>
            <w:shd w:val="clear" w:color="auto" w:fill="CCEDFF"/>
            <w:tcMar>
              <w:top w:w="30" w:type="dxa"/>
              <w:left w:w="0" w:type="dxa"/>
              <w:bottom w:w="30" w:type="dxa"/>
              <w:right w:w="20" w:type="dxa"/>
            </w:tcMar>
            <w:vAlign w:val="bottom"/>
            <w:hideMark/>
          </w:tcPr>
          <w:p w14:paraId="76FAC15B" w14:textId="77777777" w:rsidR="00000000" w:rsidRDefault="00C01C43">
            <w:pPr>
              <w:jc w:val="right"/>
              <w:rPr>
                <w:rFonts w:eastAsia="Times New Roman"/>
              </w:rPr>
            </w:pPr>
          </w:p>
        </w:tc>
      </w:tr>
      <w:tr w:rsidR="00000000" w14:paraId="1A9B8D7A" w14:textId="77777777">
        <w:trPr>
          <w:divId w:val="743836480"/>
        </w:trPr>
        <w:tc>
          <w:tcPr>
            <w:tcW w:w="0" w:type="auto"/>
            <w:gridSpan w:val="3"/>
            <w:tcMar>
              <w:top w:w="30" w:type="dxa"/>
              <w:left w:w="20" w:type="dxa"/>
              <w:bottom w:w="30" w:type="dxa"/>
              <w:right w:w="20" w:type="dxa"/>
            </w:tcMar>
            <w:vAlign w:val="bottom"/>
            <w:hideMark/>
          </w:tcPr>
          <w:p w14:paraId="72771A88" w14:textId="77777777" w:rsidR="00000000" w:rsidRDefault="00C01C43">
            <w:pPr>
              <w:rPr>
                <w:rFonts w:eastAsia="Times New Roman"/>
              </w:rPr>
            </w:pPr>
            <w:r>
              <w:rPr>
                <w:rFonts w:ascii="Arial" w:eastAsia="Times New Roman" w:hAnsi="Arial" w:cs="Arial"/>
                <w:color w:val="000000"/>
                <w:sz w:val="16"/>
                <w:szCs w:val="16"/>
              </w:rPr>
              <w:t>Paid during the period</w:t>
            </w:r>
          </w:p>
        </w:tc>
        <w:tc>
          <w:tcPr>
            <w:tcW w:w="0" w:type="auto"/>
            <w:gridSpan w:val="2"/>
            <w:tcMar>
              <w:top w:w="30" w:type="dxa"/>
              <w:left w:w="20" w:type="dxa"/>
              <w:bottom w:w="30" w:type="dxa"/>
              <w:right w:w="0" w:type="dxa"/>
            </w:tcMar>
            <w:vAlign w:val="bottom"/>
            <w:hideMark/>
          </w:tcPr>
          <w:p w14:paraId="5E41CF09" w14:textId="77777777" w:rsidR="00000000" w:rsidRDefault="00C01C43">
            <w:pPr>
              <w:jc w:val="right"/>
              <w:rPr>
                <w:rFonts w:eastAsia="Times New Roman"/>
              </w:rPr>
            </w:pPr>
            <w:r>
              <w:rPr>
                <w:rFonts w:ascii="Arial" w:eastAsia="Times New Roman" w:hAnsi="Arial" w:cs="Arial"/>
                <w:color w:val="000000"/>
                <w:sz w:val="16"/>
                <w:szCs w:val="16"/>
              </w:rPr>
              <w:t>(3.0)</w:t>
            </w:r>
          </w:p>
        </w:tc>
        <w:tc>
          <w:tcPr>
            <w:tcW w:w="0" w:type="auto"/>
            <w:tcMar>
              <w:top w:w="30" w:type="dxa"/>
              <w:left w:w="0" w:type="dxa"/>
              <w:bottom w:w="30" w:type="dxa"/>
              <w:right w:w="20" w:type="dxa"/>
            </w:tcMar>
            <w:vAlign w:val="bottom"/>
            <w:hideMark/>
          </w:tcPr>
          <w:p w14:paraId="1DB08163" w14:textId="77777777" w:rsidR="00000000" w:rsidRDefault="00C01C43">
            <w:pPr>
              <w:jc w:val="right"/>
              <w:rPr>
                <w:rFonts w:eastAsia="Times New Roman"/>
              </w:rPr>
            </w:pPr>
          </w:p>
        </w:tc>
        <w:tc>
          <w:tcPr>
            <w:tcW w:w="0" w:type="auto"/>
            <w:gridSpan w:val="2"/>
            <w:tcMar>
              <w:top w:w="30" w:type="dxa"/>
              <w:left w:w="20" w:type="dxa"/>
              <w:bottom w:w="30" w:type="dxa"/>
              <w:right w:w="0" w:type="dxa"/>
            </w:tcMar>
            <w:vAlign w:val="bottom"/>
            <w:hideMark/>
          </w:tcPr>
          <w:p w14:paraId="176062C6" w14:textId="77777777" w:rsidR="00000000" w:rsidRDefault="00C01C43">
            <w:pPr>
              <w:jc w:val="right"/>
              <w:rPr>
                <w:rFonts w:eastAsia="Times New Roman"/>
              </w:rPr>
            </w:pPr>
            <w:r>
              <w:rPr>
                <w:rFonts w:ascii="Arial" w:eastAsia="Times New Roman" w:hAnsi="Arial" w:cs="Arial"/>
                <w:color w:val="000000"/>
                <w:sz w:val="16"/>
                <w:szCs w:val="16"/>
              </w:rPr>
              <w:t>(6.7)</w:t>
            </w:r>
          </w:p>
        </w:tc>
        <w:tc>
          <w:tcPr>
            <w:tcW w:w="0" w:type="auto"/>
            <w:tcMar>
              <w:top w:w="30" w:type="dxa"/>
              <w:left w:w="0" w:type="dxa"/>
              <w:bottom w:w="30" w:type="dxa"/>
              <w:right w:w="20" w:type="dxa"/>
            </w:tcMar>
            <w:vAlign w:val="bottom"/>
            <w:hideMark/>
          </w:tcPr>
          <w:p w14:paraId="67B9F50F" w14:textId="77777777" w:rsidR="00000000" w:rsidRDefault="00C01C43">
            <w:pPr>
              <w:jc w:val="right"/>
              <w:rPr>
                <w:rFonts w:eastAsia="Times New Roman"/>
              </w:rPr>
            </w:pPr>
          </w:p>
        </w:tc>
        <w:tc>
          <w:tcPr>
            <w:tcW w:w="0" w:type="auto"/>
            <w:gridSpan w:val="2"/>
            <w:tcMar>
              <w:top w:w="30" w:type="dxa"/>
              <w:left w:w="20" w:type="dxa"/>
              <w:bottom w:w="30" w:type="dxa"/>
              <w:right w:w="0" w:type="dxa"/>
            </w:tcMar>
            <w:vAlign w:val="bottom"/>
            <w:hideMark/>
          </w:tcPr>
          <w:p w14:paraId="63FB23F4" w14:textId="77777777" w:rsidR="00000000" w:rsidRDefault="00C01C43">
            <w:pPr>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bottom"/>
            <w:hideMark/>
          </w:tcPr>
          <w:p w14:paraId="349F29DF" w14:textId="77777777" w:rsidR="00000000" w:rsidRDefault="00C01C43">
            <w:pPr>
              <w:jc w:val="right"/>
              <w:rPr>
                <w:rFonts w:eastAsia="Times New Roman"/>
              </w:rPr>
            </w:pPr>
          </w:p>
        </w:tc>
        <w:tc>
          <w:tcPr>
            <w:tcW w:w="0" w:type="auto"/>
            <w:gridSpan w:val="2"/>
            <w:tcMar>
              <w:top w:w="30" w:type="dxa"/>
              <w:left w:w="20" w:type="dxa"/>
              <w:bottom w:w="30" w:type="dxa"/>
              <w:right w:w="0" w:type="dxa"/>
            </w:tcMar>
            <w:vAlign w:val="bottom"/>
            <w:hideMark/>
          </w:tcPr>
          <w:p w14:paraId="59162EDF" w14:textId="77777777" w:rsidR="00000000" w:rsidRDefault="00C01C43">
            <w:pPr>
              <w:jc w:val="right"/>
              <w:rPr>
                <w:rFonts w:eastAsia="Times New Roman"/>
              </w:rPr>
            </w:pPr>
            <w:r>
              <w:rPr>
                <w:rFonts w:ascii="Arial" w:eastAsia="Times New Roman" w:hAnsi="Arial" w:cs="Arial"/>
                <w:color w:val="000000"/>
                <w:sz w:val="16"/>
                <w:szCs w:val="16"/>
              </w:rPr>
              <w:t>(1.4)</w:t>
            </w:r>
          </w:p>
        </w:tc>
        <w:tc>
          <w:tcPr>
            <w:tcW w:w="0" w:type="auto"/>
            <w:tcMar>
              <w:top w:w="30" w:type="dxa"/>
              <w:left w:w="0" w:type="dxa"/>
              <w:bottom w:w="30" w:type="dxa"/>
              <w:right w:w="20" w:type="dxa"/>
            </w:tcMar>
            <w:vAlign w:val="bottom"/>
            <w:hideMark/>
          </w:tcPr>
          <w:p w14:paraId="4310F934" w14:textId="77777777" w:rsidR="00000000" w:rsidRDefault="00C01C43">
            <w:pPr>
              <w:jc w:val="right"/>
              <w:rPr>
                <w:rFonts w:eastAsia="Times New Roman"/>
              </w:rPr>
            </w:pPr>
          </w:p>
        </w:tc>
        <w:tc>
          <w:tcPr>
            <w:tcW w:w="0" w:type="auto"/>
            <w:gridSpan w:val="2"/>
            <w:tcMar>
              <w:top w:w="30" w:type="dxa"/>
              <w:left w:w="20" w:type="dxa"/>
              <w:bottom w:w="30" w:type="dxa"/>
              <w:right w:w="0" w:type="dxa"/>
            </w:tcMar>
            <w:vAlign w:val="bottom"/>
            <w:hideMark/>
          </w:tcPr>
          <w:p w14:paraId="7D3511B5" w14:textId="77777777" w:rsidR="00000000" w:rsidRDefault="00C01C43">
            <w:pPr>
              <w:jc w:val="right"/>
              <w:rPr>
                <w:rFonts w:eastAsia="Times New Roman"/>
              </w:rPr>
            </w:pPr>
            <w:r>
              <w:rPr>
                <w:rFonts w:ascii="Arial" w:eastAsia="Times New Roman" w:hAnsi="Arial" w:cs="Arial"/>
                <w:color w:val="000000"/>
                <w:sz w:val="16"/>
                <w:szCs w:val="16"/>
              </w:rPr>
              <w:t>(13.3)</w:t>
            </w:r>
          </w:p>
        </w:tc>
        <w:tc>
          <w:tcPr>
            <w:tcW w:w="0" w:type="auto"/>
            <w:tcMar>
              <w:top w:w="30" w:type="dxa"/>
              <w:left w:w="0" w:type="dxa"/>
              <w:bottom w:w="30" w:type="dxa"/>
              <w:right w:w="20" w:type="dxa"/>
            </w:tcMar>
            <w:vAlign w:val="bottom"/>
            <w:hideMark/>
          </w:tcPr>
          <w:p w14:paraId="77F55A71" w14:textId="77777777" w:rsidR="00000000" w:rsidRDefault="00C01C43">
            <w:pPr>
              <w:jc w:val="right"/>
              <w:rPr>
                <w:rFonts w:eastAsia="Times New Roman"/>
              </w:rPr>
            </w:pPr>
          </w:p>
        </w:tc>
      </w:tr>
      <w:tr w:rsidR="00000000" w14:paraId="70D00E2B" w14:textId="77777777">
        <w:trPr>
          <w:divId w:val="743836480"/>
        </w:trPr>
        <w:tc>
          <w:tcPr>
            <w:tcW w:w="0" w:type="auto"/>
            <w:gridSpan w:val="3"/>
            <w:tcBorders>
              <w:top w:val="single" w:sz="8" w:space="0" w:color="000000"/>
              <w:bottom w:val="double" w:sz="6" w:space="0" w:color="000000"/>
            </w:tcBorders>
            <w:shd w:val="clear" w:color="auto" w:fill="CCEDFF"/>
            <w:tcMar>
              <w:top w:w="30" w:type="dxa"/>
              <w:left w:w="20" w:type="dxa"/>
              <w:bottom w:w="30" w:type="dxa"/>
              <w:right w:w="20" w:type="dxa"/>
            </w:tcMar>
            <w:vAlign w:val="bottom"/>
            <w:hideMark/>
          </w:tcPr>
          <w:p w14:paraId="5C8F2E80" w14:textId="77777777" w:rsidR="00000000" w:rsidRDefault="00C01C43">
            <w:pPr>
              <w:rPr>
                <w:rFonts w:eastAsia="Times New Roman"/>
              </w:rPr>
            </w:pPr>
            <w:r>
              <w:rPr>
                <w:rFonts w:ascii="Arial" w:eastAsia="Times New Roman" w:hAnsi="Arial" w:cs="Arial"/>
                <w:color w:val="000000"/>
                <w:sz w:val="16"/>
                <w:szCs w:val="16"/>
              </w:rPr>
              <w:t>Accrued charges as of December 31, 2020</w:t>
            </w:r>
          </w:p>
        </w:tc>
        <w:tc>
          <w:tcPr>
            <w:tcW w:w="0" w:type="auto"/>
            <w:tcBorders>
              <w:top w:val="single" w:sz="8" w:space="0" w:color="000000"/>
              <w:bottom w:val="double" w:sz="6" w:space="0" w:color="000000"/>
            </w:tcBorders>
            <w:shd w:val="clear" w:color="auto" w:fill="CCEDFF"/>
            <w:tcMar>
              <w:top w:w="30" w:type="dxa"/>
              <w:left w:w="20" w:type="dxa"/>
              <w:bottom w:w="30" w:type="dxa"/>
              <w:right w:w="0" w:type="dxa"/>
            </w:tcMar>
            <w:vAlign w:val="bottom"/>
            <w:hideMark/>
          </w:tcPr>
          <w:p w14:paraId="7BF7D2A4"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DFF"/>
            <w:tcMar>
              <w:top w:w="30" w:type="dxa"/>
              <w:left w:w="0" w:type="dxa"/>
              <w:bottom w:w="30" w:type="dxa"/>
              <w:right w:w="0" w:type="dxa"/>
            </w:tcMar>
            <w:vAlign w:val="bottom"/>
            <w:hideMark/>
          </w:tcPr>
          <w:p w14:paraId="6D58DE3A" w14:textId="77777777" w:rsidR="00000000" w:rsidRDefault="00C01C43">
            <w:pPr>
              <w:jc w:val="right"/>
              <w:rPr>
                <w:rFonts w:eastAsia="Times New Roman"/>
              </w:rPr>
            </w:pPr>
            <w:r>
              <w:rPr>
                <w:rFonts w:ascii="Arial" w:eastAsia="Times New Roman" w:hAnsi="Arial" w:cs="Arial"/>
                <w:color w:val="000000"/>
                <w:sz w:val="16"/>
                <w:szCs w:val="16"/>
              </w:rPr>
              <w:t>0.9 </w:t>
            </w:r>
          </w:p>
        </w:tc>
        <w:tc>
          <w:tcPr>
            <w:tcW w:w="0" w:type="auto"/>
            <w:tcBorders>
              <w:top w:val="single" w:sz="8" w:space="0" w:color="000000"/>
              <w:bottom w:val="double" w:sz="6" w:space="0" w:color="000000"/>
            </w:tcBorders>
            <w:shd w:val="clear" w:color="auto" w:fill="CCEDFF"/>
            <w:tcMar>
              <w:top w:w="30" w:type="dxa"/>
              <w:left w:w="0" w:type="dxa"/>
              <w:bottom w:w="30" w:type="dxa"/>
              <w:right w:w="20" w:type="dxa"/>
            </w:tcMar>
            <w:vAlign w:val="bottom"/>
            <w:hideMark/>
          </w:tcPr>
          <w:p w14:paraId="055252A2" w14:textId="77777777" w:rsidR="00000000" w:rsidRDefault="00C01C43">
            <w:pPr>
              <w:jc w:val="right"/>
              <w:rPr>
                <w:rFonts w:eastAsia="Times New Roman"/>
              </w:rPr>
            </w:pPr>
          </w:p>
        </w:tc>
        <w:tc>
          <w:tcPr>
            <w:tcW w:w="0" w:type="auto"/>
            <w:tcBorders>
              <w:top w:val="single" w:sz="8" w:space="0" w:color="000000"/>
              <w:bottom w:val="double" w:sz="6" w:space="0" w:color="000000"/>
            </w:tcBorders>
            <w:shd w:val="clear" w:color="auto" w:fill="CCEDFF"/>
            <w:tcMar>
              <w:top w:w="30" w:type="dxa"/>
              <w:left w:w="20" w:type="dxa"/>
              <w:bottom w:w="30" w:type="dxa"/>
              <w:right w:w="0" w:type="dxa"/>
            </w:tcMar>
            <w:vAlign w:val="bottom"/>
            <w:hideMark/>
          </w:tcPr>
          <w:p w14:paraId="4238B232"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DFF"/>
            <w:tcMar>
              <w:top w:w="30" w:type="dxa"/>
              <w:left w:w="0" w:type="dxa"/>
              <w:bottom w:w="30" w:type="dxa"/>
              <w:right w:w="0" w:type="dxa"/>
            </w:tcMar>
            <w:vAlign w:val="bottom"/>
            <w:hideMark/>
          </w:tcPr>
          <w:p w14:paraId="1418FB7D" w14:textId="77777777" w:rsidR="00000000" w:rsidRDefault="00C01C43">
            <w:pPr>
              <w:jc w:val="right"/>
              <w:rPr>
                <w:rFonts w:eastAsia="Times New Roman"/>
              </w:rPr>
            </w:pPr>
            <w:r>
              <w:rPr>
                <w:rFonts w:ascii="Arial" w:eastAsia="Times New Roman" w:hAnsi="Arial" w:cs="Arial"/>
                <w:color w:val="000000"/>
                <w:sz w:val="16"/>
                <w:szCs w:val="16"/>
              </w:rPr>
              <w:t>4.6 </w:t>
            </w:r>
          </w:p>
        </w:tc>
        <w:tc>
          <w:tcPr>
            <w:tcW w:w="0" w:type="auto"/>
            <w:tcBorders>
              <w:top w:val="single" w:sz="8" w:space="0" w:color="000000"/>
              <w:bottom w:val="double" w:sz="6" w:space="0" w:color="000000"/>
            </w:tcBorders>
            <w:shd w:val="clear" w:color="auto" w:fill="CCEDFF"/>
            <w:tcMar>
              <w:top w:w="30" w:type="dxa"/>
              <w:left w:w="0" w:type="dxa"/>
              <w:bottom w:w="30" w:type="dxa"/>
              <w:right w:w="20" w:type="dxa"/>
            </w:tcMar>
            <w:vAlign w:val="bottom"/>
            <w:hideMark/>
          </w:tcPr>
          <w:p w14:paraId="1D749D4A" w14:textId="77777777" w:rsidR="00000000" w:rsidRDefault="00C01C43">
            <w:pPr>
              <w:jc w:val="right"/>
              <w:rPr>
                <w:rFonts w:eastAsia="Times New Roman"/>
              </w:rPr>
            </w:pPr>
          </w:p>
        </w:tc>
        <w:tc>
          <w:tcPr>
            <w:tcW w:w="0" w:type="auto"/>
            <w:tcBorders>
              <w:top w:val="single" w:sz="8" w:space="0" w:color="000000"/>
              <w:bottom w:val="double" w:sz="6" w:space="0" w:color="000000"/>
            </w:tcBorders>
            <w:shd w:val="clear" w:color="auto" w:fill="CCEDFF"/>
            <w:tcMar>
              <w:top w:w="30" w:type="dxa"/>
              <w:left w:w="20" w:type="dxa"/>
              <w:bottom w:w="30" w:type="dxa"/>
              <w:right w:w="0" w:type="dxa"/>
            </w:tcMar>
            <w:vAlign w:val="bottom"/>
            <w:hideMark/>
          </w:tcPr>
          <w:p w14:paraId="1DC2E02C"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DFF"/>
            <w:tcMar>
              <w:top w:w="30" w:type="dxa"/>
              <w:left w:w="0" w:type="dxa"/>
              <w:bottom w:w="30" w:type="dxa"/>
              <w:right w:w="0" w:type="dxa"/>
            </w:tcMar>
            <w:vAlign w:val="bottom"/>
            <w:hideMark/>
          </w:tcPr>
          <w:p w14:paraId="581ECBFA" w14:textId="77777777" w:rsidR="00000000" w:rsidRDefault="00C01C43">
            <w:pPr>
              <w:jc w:val="right"/>
              <w:rPr>
                <w:rFonts w:eastAsia="Times New Roman"/>
              </w:rPr>
            </w:pPr>
            <w:r>
              <w:rPr>
                <w:rFonts w:ascii="Arial" w:eastAsia="Times New Roman" w:hAnsi="Arial" w:cs="Arial"/>
                <w:color w:val="000000"/>
                <w:sz w:val="16"/>
                <w:szCs w:val="16"/>
              </w:rPr>
              <w:t>0.9 </w:t>
            </w:r>
          </w:p>
        </w:tc>
        <w:tc>
          <w:tcPr>
            <w:tcW w:w="0" w:type="auto"/>
            <w:tcBorders>
              <w:top w:val="single" w:sz="8" w:space="0" w:color="000000"/>
              <w:bottom w:val="double" w:sz="6" w:space="0" w:color="000000"/>
            </w:tcBorders>
            <w:shd w:val="clear" w:color="auto" w:fill="CCEDFF"/>
            <w:tcMar>
              <w:top w:w="30" w:type="dxa"/>
              <w:left w:w="0" w:type="dxa"/>
              <w:bottom w:w="30" w:type="dxa"/>
              <w:right w:w="20" w:type="dxa"/>
            </w:tcMar>
            <w:vAlign w:val="bottom"/>
            <w:hideMark/>
          </w:tcPr>
          <w:p w14:paraId="3084276A" w14:textId="77777777" w:rsidR="00000000" w:rsidRDefault="00C01C43">
            <w:pPr>
              <w:jc w:val="right"/>
              <w:rPr>
                <w:rFonts w:eastAsia="Times New Roman"/>
              </w:rPr>
            </w:pPr>
          </w:p>
        </w:tc>
        <w:tc>
          <w:tcPr>
            <w:tcW w:w="0" w:type="auto"/>
            <w:tcBorders>
              <w:top w:val="single" w:sz="8" w:space="0" w:color="000000"/>
              <w:bottom w:val="double" w:sz="6" w:space="0" w:color="000000"/>
            </w:tcBorders>
            <w:shd w:val="clear" w:color="auto" w:fill="CCEDFF"/>
            <w:tcMar>
              <w:top w:w="30" w:type="dxa"/>
              <w:left w:w="20" w:type="dxa"/>
              <w:bottom w:w="30" w:type="dxa"/>
              <w:right w:w="0" w:type="dxa"/>
            </w:tcMar>
            <w:vAlign w:val="bottom"/>
            <w:hideMark/>
          </w:tcPr>
          <w:p w14:paraId="58E8CF12"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DFF"/>
            <w:tcMar>
              <w:top w:w="30" w:type="dxa"/>
              <w:left w:w="0" w:type="dxa"/>
              <w:bottom w:w="30" w:type="dxa"/>
              <w:right w:w="0" w:type="dxa"/>
            </w:tcMar>
            <w:vAlign w:val="bottom"/>
            <w:hideMark/>
          </w:tcPr>
          <w:p w14:paraId="765CBCE7" w14:textId="77777777" w:rsidR="00000000" w:rsidRDefault="00C01C43">
            <w:pPr>
              <w:jc w:val="right"/>
              <w:rPr>
                <w:rFonts w:eastAsia="Times New Roman"/>
              </w:rPr>
            </w:pPr>
            <w:r>
              <w:rPr>
                <w:rFonts w:ascii="Arial" w:eastAsia="Times New Roman" w:hAnsi="Arial" w:cs="Arial"/>
                <w:color w:val="000000"/>
                <w:sz w:val="16"/>
                <w:szCs w:val="16"/>
              </w:rPr>
              <w:t>0.1 </w:t>
            </w:r>
          </w:p>
        </w:tc>
        <w:tc>
          <w:tcPr>
            <w:tcW w:w="0" w:type="auto"/>
            <w:tcBorders>
              <w:top w:val="single" w:sz="8" w:space="0" w:color="000000"/>
              <w:bottom w:val="double" w:sz="6" w:space="0" w:color="000000"/>
            </w:tcBorders>
            <w:shd w:val="clear" w:color="auto" w:fill="CCEDFF"/>
            <w:tcMar>
              <w:top w:w="30" w:type="dxa"/>
              <w:left w:w="0" w:type="dxa"/>
              <w:bottom w:w="30" w:type="dxa"/>
              <w:right w:w="20" w:type="dxa"/>
            </w:tcMar>
            <w:vAlign w:val="bottom"/>
            <w:hideMark/>
          </w:tcPr>
          <w:p w14:paraId="5EC7E22D" w14:textId="77777777" w:rsidR="00000000" w:rsidRDefault="00C01C43">
            <w:pPr>
              <w:jc w:val="right"/>
              <w:rPr>
                <w:rFonts w:eastAsia="Times New Roman"/>
              </w:rPr>
            </w:pPr>
          </w:p>
        </w:tc>
        <w:tc>
          <w:tcPr>
            <w:tcW w:w="0" w:type="auto"/>
            <w:tcBorders>
              <w:top w:val="single" w:sz="8" w:space="0" w:color="000000"/>
              <w:bottom w:val="double" w:sz="6" w:space="0" w:color="000000"/>
            </w:tcBorders>
            <w:shd w:val="clear" w:color="auto" w:fill="CCEDFF"/>
            <w:tcMar>
              <w:top w:w="30" w:type="dxa"/>
              <w:left w:w="20" w:type="dxa"/>
              <w:bottom w:w="30" w:type="dxa"/>
              <w:right w:w="0" w:type="dxa"/>
            </w:tcMar>
            <w:vAlign w:val="bottom"/>
            <w:hideMark/>
          </w:tcPr>
          <w:p w14:paraId="353CC6B8"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DFF"/>
            <w:tcMar>
              <w:top w:w="30" w:type="dxa"/>
              <w:left w:w="0" w:type="dxa"/>
              <w:bottom w:w="30" w:type="dxa"/>
              <w:right w:w="0" w:type="dxa"/>
            </w:tcMar>
            <w:vAlign w:val="bottom"/>
            <w:hideMark/>
          </w:tcPr>
          <w:p w14:paraId="77A049AC" w14:textId="77777777" w:rsidR="00000000" w:rsidRDefault="00C01C43">
            <w:pPr>
              <w:jc w:val="right"/>
              <w:rPr>
                <w:rFonts w:eastAsia="Times New Roman"/>
              </w:rPr>
            </w:pPr>
            <w:r>
              <w:rPr>
                <w:rFonts w:ascii="Arial" w:eastAsia="Times New Roman" w:hAnsi="Arial" w:cs="Arial"/>
                <w:color w:val="000000"/>
                <w:sz w:val="16"/>
                <w:szCs w:val="16"/>
              </w:rPr>
              <w:t>6.6 </w:t>
            </w:r>
          </w:p>
        </w:tc>
        <w:tc>
          <w:tcPr>
            <w:tcW w:w="0" w:type="auto"/>
            <w:tcBorders>
              <w:top w:val="single" w:sz="8" w:space="0" w:color="000000"/>
              <w:bottom w:val="double" w:sz="6" w:space="0" w:color="000000"/>
            </w:tcBorders>
            <w:shd w:val="clear" w:color="auto" w:fill="CCEDFF"/>
            <w:tcMar>
              <w:top w:w="30" w:type="dxa"/>
              <w:left w:w="0" w:type="dxa"/>
              <w:bottom w:w="30" w:type="dxa"/>
              <w:right w:w="20" w:type="dxa"/>
            </w:tcMar>
            <w:vAlign w:val="bottom"/>
            <w:hideMark/>
          </w:tcPr>
          <w:p w14:paraId="5B373A9A" w14:textId="77777777" w:rsidR="00000000" w:rsidRDefault="00C01C43">
            <w:pPr>
              <w:jc w:val="right"/>
              <w:rPr>
                <w:rFonts w:eastAsia="Times New Roman"/>
              </w:rPr>
            </w:pPr>
          </w:p>
        </w:tc>
      </w:tr>
    </w:tbl>
    <w:p w14:paraId="78BC7ADC" w14:textId="77777777" w:rsidR="00000000" w:rsidRDefault="00C01C43">
      <w:pPr>
        <w:divId w:val="425418099"/>
        <w:rPr>
          <w:rFonts w:eastAsia="Times New Roman"/>
        </w:rPr>
      </w:pPr>
    </w:p>
    <w:p w14:paraId="71C231D8" w14:textId="77777777" w:rsidR="00000000" w:rsidRDefault="00C01C43">
      <w:pPr>
        <w:jc w:val="both"/>
        <w:rPr>
          <w:rFonts w:eastAsia="Times New Roman"/>
        </w:rPr>
      </w:pPr>
      <w:r>
        <w:rPr>
          <w:rFonts w:ascii="Arial" w:eastAsia="Times New Roman" w:hAnsi="Arial" w:cs="Arial"/>
          <w:color w:val="000000"/>
          <w:sz w:val="20"/>
          <w:szCs w:val="20"/>
        </w:rPr>
        <w:t>During the second quarter of 2020, we completed a cost reduction initiative to rationalize our global office footprint and approved the abandonment o</w:t>
      </w:r>
      <w:r>
        <w:rPr>
          <w:rFonts w:ascii="Arial" w:eastAsia="Times New Roman" w:hAnsi="Arial" w:cs="Arial"/>
          <w:color w:val="000000"/>
          <w:sz w:val="20"/>
          <w:szCs w:val="20"/>
        </w:rPr>
        <w:t>f certain office leases, including the transition of select offices to smaller or more cost-effective locations. These asset groups, consisting mainly of right-of-use assets and leasehold improvements, were tested for impairment. We concluded that the carr</w:t>
      </w:r>
      <w:r>
        <w:rPr>
          <w:rFonts w:ascii="Arial" w:eastAsia="Times New Roman" w:hAnsi="Arial" w:cs="Arial"/>
          <w:color w:val="000000"/>
          <w:sz w:val="20"/>
          <w:szCs w:val="20"/>
        </w:rPr>
        <w:t>ying amounts of these asset groups were not recoverable and the fair value determined was concluded to be nominal based on a discounted cash flow model. As a result, an $18.6 million impairment charge was recorded during the second quarter of 2020 and incl</w:t>
      </w:r>
      <w:r>
        <w:rPr>
          <w:rFonts w:ascii="Arial" w:eastAsia="Times New Roman" w:hAnsi="Arial" w:cs="Arial"/>
          <w:color w:val="000000"/>
          <w:sz w:val="20"/>
          <w:szCs w:val="20"/>
        </w:rPr>
        <w:t>uded within Asset impairments on our Consolidated Statements of Income and Comprehensive Income.</w:t>
      </w:r>
    </w:p>
    <w:p w14:paraId="41FF2946" w14:textId="77777777" w:rsidR="00000000" w:rsidRDefault="00C01C43">
      <w:pPr>
        <w:ind w:firstLine="360"/>
        <w:jc w:val="both"/>
        <w:rPr>
          <w:rFonts w:eastAsia="Times New Roman"/>
        </w:rPr>
      </w:pPr>
    </w:p>
    <w:p w14:paraId="74DF3B5E" w14:textId="77777777" w:rsidR="00000000" w:rsidRDefault="00C01C43">
      <w:pPr>
        <w:jc w:val="both"/>
        <w:rPr>
          <w:rFonts w:eastAsia="Times New Roman"/>
        </w:rPr>
      </w:pPr>
    </w:p>
    <w:p w14:paraId="32F5764B" w14:textId="77777777" w:rsidR="00000000" w:rsidRDefault="00C01C43">
      <w:pPr>
        <w:jc w:val="center"/>
        <w:divId w:val="372458929"/>
        <w:rPr>
          <w:rFonts w:eastAsia="Times New Roman"/>
        </w:rPr>
      </w:pPr>
      <w:r>
        <w:rPr>
          <w:rFonts w:ascii="Arial" w:eastAsia="Times New Roman" w:hAnsi="Arial" w:cs="Arial"/>
          <w:color w:val="000000"/>
          <w:sz w:val="16"/>
          <w:szCs w:val="16"/>
        </w:rPr>
        <w:t>67</w:t>
      </w:r>
    </w:p>
    <w:p w14:paraId="0DC7D984" w14:textId="77777777" w:rsidR="00000000" w:rsidRDefault="00C01C43">
      <w:pPr>
        <w:rPr>
          <w:rFonts w:eastAsia="Times New Roman"/>
        </w:rPr>
      </w:pPr>
      <w:r>
        <w:rPr>
          <w:rFonts w:eastAsia="Times New Roman"/>
        </w:rPr>
        <w:pict w14:anchorId="01776CA6">
          <v:rect id="_x0000_i1096" style="width:0;height:1.5pt" o:hralign="center" o:hrstd="t" o:hr="t" fillcolor="#a0a0a0" stroked="f"/>
        </w:pict>
      </w:r>
    </w:p>
    <w:p w14:paraId="46F04E41" w14:textId="77777777" w:rsidR="00000000" w:rsidRDefault="00C01C43">
      <w:pPr>
        <w:divId w:val="1554386162"/>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0BF70163" w14:textId="77777777" w:rsidR="00000000" w:rsidRDefault="00C01C43">
      <w:pPr>
        <w:jc w:val="both"/>
        <w:rPr>
          <w:rFonts w:eastAsia="Times New Roman"/>
        </w:rPr>
      </w:pPr>
      <w:r>
        <w:rPr>
          <w:rFonts w:ascii="Arial" w:eastAsia="Times New Roman" w:hAnsi="Arial" w:cs="Arial"/>
          <w:color w:val="000000"/>
          <w:sz w:val="20"/>
          <w:szCs w:val="20"/>
        </w:rPr>
        <w:t>The following table provides a summary of this impairment by reportable business segment for the for the year ended December 31, 2020 (in millio</w:t>
      </w:r>
      <w:r>
        <w:rPr>
          <w:rFonts w:ascii="Arial" w:eastAsia="Times New Roman" w:hAnsi="Arial" w:cs="Arial"/>
          <w:color w:val="000000"/>
          <w:sz w:val="20"/>
          <w:szCs w:val="20"/>
        </w:rPr>
        <w:t>ns):</w:t>
      </w:r>
    </w:p>
    <w:p w14:paraId="1DFCEA6A" w14:textId="77777777" w:rsidR="00000000" w:rsidRDefault="00C01C43">
      <w:pPr>
        <w:ind w:firstLine="360"/>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101"/>
        <w:gridCol w:w="36"/>
        <w:gridCol w:w="110"/>
        <w:gridCol w:w="1079"/>
        <w:gridCol w:w="36"/>
        <w:gridCol w:w="110"/>
        <w:gridCol w:w="1079"/>
        <w:gridCol w:w="36"/>
        <w:gridCol w:w="110"/>
        <w:gridCol w:w="1080"/>
        <w:gridCol w:w="36"/>
        <w:gridCol w:w="110"/>
        <w:gridCol w:w="1080"/>
        <w:gridCol w:w="36"/>
        <w:gridCol w:w="110"/>
        <w:gridCol w:w="1082"/>
        <w:gridCol w:w="36"/>
      </w:tblGrid>
      <w:tr w:rsidR="00000000" w14:paraId="168E354F" w14:textId="77777777">
        <w:trPr>
          <w:divId w:val="761343562"/>
        </w:trPr>
        <w:tc>
          <w:tcPr>
            <w:tcW w:w="50" w:type="pct"/>
            <w:vAlign w:val="center"/>
            <w:hideMark/>
          </w:tcPr>
          <w:p w14:paraId="0AB9A7DF" w14:textId="77777777" w:rsidR="00000000" w:rsidRDefault="00C01C43">
            <w:pPr>
              <w:ind w:firstLine="360"/>
              <w:jc w:val="both"/>
              <w:rPr>
                <w:rFonts w:eastAsia="Times New Roman"/>
              </w:rPr>
            </w:pPr>
          </w:p>
        </w:tc>
        <w:tc>
          <w:tcPr>
            <w:tcW w:w="1290" w:type="pct"/>
            <w:vAlign w:val="center"/>
            <w:hideMark/>
          </w:tcPr>
          <w:p w14:paraId="0F69D4CE" w14:textId="77777777" w:rsidR="00000000" w:rsidRDefault="00C01C43">
            <w:pPr>
              <w:rPr>
                <w:rFonts w:eastAsia="Times New Roman"/>
                <w:sz w:val="20"/>
                <w:szCs w:val="20"/>
              </w:rPr>
            </w:pPr>
          </w:p>
        </w:tc>
        <w:tc>
          <w:tcPr>
            <w:tcW w:w="5" w:type="pct"/>
            <w:vAlign w:val="center"/>
            <w:hideMark/>
          </w:tcPr>
          <w:p w14:paraId="6A159E8D" w14:textId="77777777" w:rsidR="00000000" w:rsidRDefault="00C01C43">
            <w:pPr>
              <w:rPr>
                <w:rFonts w:eastAsia="Times New Roman"/>
                <w:sz w:val="20"/>
                <w:szCs w:val="20"/>
              </w:rPr>
            </w:pPr>
          </w:p>
        </w:tc>
        <w:tc>
          <w:tcPr>
            <w:tcW w:w="50" w:type="pct"/>
            <w:vAlign w:val="center"/>
            <w:hideMark/>
          </w:tcPr>
          <w:p w14:paraId="5A707E82" w14:textId="77777777" w:rsidR="00000000" w:rsidRDefault="00C01C43">
            <w:pPr>
              <w:rPr>
                <w:rFonts w:eastAsia="Times New Roman"/>
                <w:sz w:val="20"/>
                <w:szCs w:val="20"/>
              </w:rPr>
            </w:pPr>
          </w:p>
        </w:tc>
        <w:tc>
          <w:tcPr>
            <w:tcW w:w="675" w:type="pct"/>
            <w:vAlign w:val="center"/>
            <w:hideMark/>
          </w:tcPr>
          <w:p w14:paraId="28B221A9" w14:textId="77777777" w:rsidR="00000000" w:rsidRDefault="00C01C43">
            <w:pPr>
              <w:rPr>
                <w:rFonts w:eastAsia="Times New Roman"/>
                <w:sz w:val="20"/>
                <w:szCs w:val="20"/>
              </w:rPr>
            </w:pPr>
          </w:p>
        </w:tc>
        <w:tc>
          <w:tcPr>
            <w:tcW w:w="5" w:type="pct"/>
            <w:vAlign w:val="center"/>
            <w:hideMark/>
          </w:tcPr>
          <w:p w14:paraId="54C22177" w14:textId="77777777" w:rsidR="00000000" w:rsidRDefault="00C01C43">
            <w:pPr>
              <w:rPr>
                <w:rFonts w:eastAsia="Times New Roman"/>
                <w:sz w:val="20"/>
                <w:szCs w:val="20"/>
              </w:rPr>
            </w:pPr>
          </w:p>
        </w:tc>
        <w:tc>
          <w:tcPr>
            <w:tcW w:w="50" w:type="pct"/>
            <w:vAlign w:val="center"/>
            <w:hideMark/>
          </w:tcPr>
          <w:p w14:paraId="368AC09A" w14:textId="77777777" w:rsidR="00000000" w:rsidRDefault="00C01C43">
            <w:pPr>
              <w:rPr>
                <w:rFonts w:eastAsia="Times New Roman"/>
                <w:sz w:val="20"/>
                <w:szCs w:val="20"/>
              </w:rPr>
            </w:pPr>
          </w:p>
        </w:tc>
        <w:tc>
          <w:tcPr>
            <w:tcW w:w="675" w:type="pct"/>
            <w:vAlign w:val="center"/>
            <w:hideMark/>
          </w:tcPr>
          <w:p w14:paraId="040B9CC8" w14:textId="77777777" w:rsidR="00000000" w:rsidRDefault="00C01C43">
            <w:pPr>
              <w:rPr>
                <w:rFonts w:eastAsia="Times New Roman"/>
                <w:sz w:val="20"/>
                <w:szCs w:val="20"/>
              </w:rPr>
            </w:pPr>
          </w:p>
        </w:tc>
        <w:tc>
          <w:tcPr>
            <w:tcW w:w="5" w:type="pct"/>
            <w:vAlign w:val="center"/>
            <w:hideMark/>
          </w:tcPr>
          <w:p w14:paraId="4C8A470C" w14:textId="77777777" w:rsidR="00000000" w:rsidRDefault="00C01C43">
            <w:pPr>
              <w:rPr>
                <w:rFonts w:eastAsia="Times New Roman"/>
                <w:sz w:val="20"/>
                <w:szCs w:val="20"/>
              </w:rPr>
            </w:pPr>
          </w:p>
        </w:tc>
        <w:tc>
          <w:tcPr>
            <w:tcW w:w="50" w:type="pct"/>
            <w:vAlign w:val="center"/>
            <w:hideMark/>
          </w:tcPr>
          <w:p w14:paraId="6FD47F82" w14:textId="77777777" w:rsidR="00000000" w:rsidRDefault="00C01C43">
            <w:pPr>
              <w:rPr>
                <w:rFonts w:eastAsia="Times New Roman"/>
                <w:sz w:val="20"/>
                <w:szCs w:val="20"/>
              </w:rPr>
            </w:pPr>
          </w:p>
        </w:tc>
        <w:tc>
          <w:tcPr>
            <w:tcW w:w="675" w:type="pct"/>
            <w:vAlign w:val="center"/>
            <w:hideMark/>
          </w:tcPr>
          <w:p w14:paraId="462C8A7F" w14:textId="77777777" w:rsidR="00000000" w:rsidRDefault="00C01C43">
            <w:pPr>
              <w:rPr>
                <w:rFonts w:eastAsia="Times New Roman"/>
                <w:sz w:val="20"/>
                <w:szCs w:val="20"/>
              </w:rPr>
            </w:pPr>
          </w:p>
        </w:tc>
        <w:tc>
          <w:tcPr>
            <w:tcW w:w="5" w:type="pct"/>
            <w:vAlign w:val="center"/>
            <w:hideMark/>
          </w:tcPr>
          <w:p w14:paraId="35CA161C" w14:textId="77777777" w:rsidR="00000000" w:rsidRDefault="00C01C43">
            <w:pPr>
              <w:rPr>
                <w:rFonts w:eastAsia="Times New Roman"/>
                <w:sz w:val="20"/>
                <w:szCs w:val="20"/>
              </w:rPr>
            </w:pPr>
          </w:p>
        </w:tc>
        <w:tc>
          <w:tcPr>
            <w:tcW w:w="50" w:type="pct"/>
            <w:vAlign w:val="center"/>
            <w:hideMark/>
          </w:tcPr>
          <w:p w14:paraId="24BF0033" w14:textId="77777777" w:rsidR="00000000" w:rsidRDefault="00C01C43">
            <w:pPr>
              <w:rPr>
                <w:rFonts w:eastAsia="Times New Roman"/>
                <w:sz w:val="20"/>
                <w:szCs w:val="20"/>
              </w:rPr>
            </w:pPr>
          </w:p>
        </w:tc>
        <w:tc>
          <w:tcPr>
            <w:tcW w:w="675" w:type="pct"/>
            <w:vAlign w:val="center"/>
            <w:hideMark/>
          </w:tcPr>
          <w:p w14:paraId="4E7757B4" w14:textId="77777777" w:rsidR="00000000" w:rsidRDefault="00C01C43">
            <w:pPr>
              <w:rPr>
                <w:rFonts w:eastAsia="Times New Roman"/>
                <w:sz w:val="20"/>
                <w:szCs w:val="20"/>
              </w:rPr>
            </w:pPr>
          </w:p>
        </w:tc>
        <w:tc>
          <w:tcPr>
            <w:tcW w:w="5" w:type="pct"/>
            <w:vAlign w:val="center"/>
            <w:hideMark/>
          </w:tcPr>
          <w:p w14:paraId="536C708D" w14:textId="77777777" w:rsidR="00000000" w:rsidRDefault="00C01C43">
            <w:pPr>
              <w:rPr>
                <w:rFonts w:eastAsia="Times New Roman"/>
                <w:sz w:val="20"/>
                <w:szCs w:val="20"/>
              </w:rPr>
            </w:pPr>
          </w:p>
        </w:tc>
        <w:tc>
          <w:tcPr>
            <w:tcW w:w="50" w:type="pct"/>
            <w:vAlign w:val="center"/>
            <w:hideMark/>
          </w:tcPr>
          <w:p w14:paraId="0226BB1A" w14:textId="77777777" w:rsidR="00000000" w:rsidRDefault="00C01C43">
            <w:pPr>
              <w:rPr>
                <w:rFonts w:eastAsia="Times New Roman"/>
                <w:sz w:val="20"/>
                <w:szCs w:val="20"/>
              </w:rPr>
            </w:pPr>
          </w:p>
        </w:tc>
        <w:tc>
          <w:tcPr>
            <w:tcW w:w="676" w:type="pct"/>
            <w:vAlign w:val="center"/>
            <w:hideMark/>
          </w:tcPr>
          <w:p w14:paraId="22E47AD0" w14:textId="77777777" w:rsidR="00000000" w:rsidRDefault="00C01C43">
            <w:pPr>
              <w:rPr>
                <w:rFonts w:eastAsia="Times New Roman"/>
                <w:sz w:val="20"/>
                <w:szCs w:val="20"/>
              </w:rPr>
            </w:pPr>
          </w:p>
        </w:tc>
        <w:tc>
          <w:tcPr>
            <w:tcW w:w="5" w:type="pct"/>
            <w:vAlign w:val="center"/>
            <w:hideMark/>
          </w:tcPr>
          <w:p w14:paraId="3248310B" w14:textId="77777777" w:rsidR="00000000" w:rsidRDefault="00C01C43">
            <w:pPr>
              <w:rPr>
                <w:rFonts w:eastAsia="Times New Roman"/>
                <w:sz w:val="20"/>
                <w:szCs w:val="20"/>
              </w:rPr>
            </w:pPr>
          </w:p>
        </w:tc>
      </w:tr>
      <w:tr w:rsidR="00000000" w14:paraId="3D186B1C" w14:textId="77777777">
        <w:trPr>
          <w:divId w:val="761343562"/>
        </w:trPr>
        <w:tc>
          <w:tcPr>
            <w:tcW w:w="0" w:type="auto"/>
            <w:gridSpan w:val="3"/>
            <w:tcMar>
              <w:top w:w="0" w:type="dxa"/>
              <w:left w:w="20" w:type="dxa"/>
              <w:bottom w:w="0" w:type="dxa"/>
              <w:right w:w="20" w:type="dxa"/>
            </w:tcMar>
            <w:vAlign w:val="center"/>
            <w:hideMark/>
          </w:tcPr>
          <w:p w14:paraId="689FE805"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5994FD3A" w14:textId="77777777" w:rsidR="00000000" w:rsidRDefault="00C01C43">
            <w:pPr>
              <w:jc w:val="right"/>
              <w:rPr>
                <w:rFonts w:eastAsia="Times New Roman"/>
              </w:rPr>
            </w:pPr>
            <w:r>
              <w:rPr>
                <w:rFonts w:ascii="Arial" w:eastAsia="Times New Roman" w:hAnsi="Arial" w:cs="Arial"/>
                <w:b/>
                <w:bCs/>
                <w:color w:val="000000"/>
                <w:sz w:val="16"/>
                <w:szCs w:val="16"/>
              </w:rPr>
              <w:t>Aviation</w:t>
            </w:r>
          </w:p>
        </w:tc>
        <w:tc>
          <w:tcPr>
            <w:tcW w:w="0" w:type="auto"/>
            <w:gridSpan w:val="3"/>
            <w:tcMar>
              <w:top w:w="30" w:type="dxa"/>
              <w:left w:w="20" w:type="dxa"/>
              <w:bottom w:w="30" w:type="dxa"/>
              <w:right w:w="20" w:type="dxa"/>
            </w:tcMar>
            <w:vAlign w:val="bottom"/>
            <w:hideMark/>
          </w:tcPr>
          <w:p w14:paraId="43C38C1C" w14:textId="77777777" w:rsidR="00000000" w:rsidRDefault="00C01C43">
            <w:pPr>
              <w:jc w:val="right"/>
              <w:rPr>
                <w:rFonts w:eastAsia="Times New Roman"/>
              </w:rPr>
            </w:pPr>
            <w:r>
              <w:rPr>
                <w:rFonts w:ascii="Arial" w:eastAsia="Times New Roman" w:hAnsi="Arial" w:cs="Arial"/>
                <w:b/>
                <w:bCs/>
                <w:color w:val="000000"/>
                <w:sz w:val="16"/>
                <w:szCs w:val="16"/>
              </w:rPr>
              <w:t>Land</w:t>
            </w:r>
          </w:p>
        </w:tc>
        <w:tc>
          <w:tcPr>
            <w:tcW w:w="0" w:type="auto"/>
            <w:gridSpan w:val="3"/>
            <w:tcMar>
              <w:top w:w="30" w:type="dxa"/>
              <w:left w:w="20" w:type="dxa"/>
              <w:bottom w:w="30" w:type="dxa"/>
              <w:right w:w="20" w:type="dxa"/>
            </w:tcMar>
            <w:vAlign w:val="bottom"/>
            <w:hideMark/>
          </w:tcPr>
          <w:p w14:paraId="3FE2F98B" w14:textId="77777777" w:rsidR="00000000" w:rsidRDefault="00C01C43">
            <w:pPr>
              <w:jc w:val="right"/>
              <w:rPr>
                <w:rFonts w:eastAsia="Times New Roman"/>
              </w:rPr>
            </w:pPr>
            <w:r>
              <w:rPr>
                <w:rFonts w:ascii="Arial" w:eastAsia="Times New Roman" w:hAnsi="Arial" w:cs="Arial"/>
                <w:b/>
                <w:bCs/>
                <w:color w:val="000000"/>
                <w:sz w:val="16"/>
                <w:szCs w:val="16"/>
              </w:rPr>
              <w:t>Marine</w:t>
            </w:r>
          </w:p>
        </w:tc>
        <w:tc>
          <w:tcPr>
            <w:tcW w:w="0" w:type="auto"/>
            <w:gridSpan w:val="3"/>
            <w:tcMar>
              <w:top w:w="30" w:type="dxa"/>
              <w:left w:w="20" w:type="dxa"/>
              <w:bottom w:w="30" w:type="dxa"/>
              <w:right w:w="20" w:type="dxa"/>
            </w:tcMar>
            <w:vAlign w:val="bottom"/>
            <w:hideMark/>
          </w:tcPr>
          <w:p w14:paraId="018C2E81" w14:textId="77777777" w:rsidR="00000000" w:rsidRDefault="00C01C43">
            <w:pPr>
              <w:jc w:val="right"/>
              <w:rPr>
                <w:rFonts w:eastAsia="Times New Roman"/>
              </w:rPr>
            </w:pPr>
            <w:r>
              <w:rPr>
                <w:rFonts w:ascii="Arial" w:eastAsia="Times New Roman" w:hAnsi="Arial" w:cs="Arial"/>
                <w:b/>
                <w:bCs/>
                <w:color w:val="000000"/>
                <w:sz w:val="16"/>
                <w:szCs w:val="16"/>
              </w:rPr>
              <w:t>Corporate</w:t>
            </w:r>
          </w:p>
        </w:tc>
        <w:tc>
          <w:tcPr>
            <w:tcW w:w="0" w:type="auto"/>
            <w:gridSpan w:val="3"/>
            <w:tcMar>
              <w:top w:w="30" w:type="dxa"/>
              <w:left w:w="20" w:type="dxa"/>
              <w:bottom w:w="30" w:type="dxa"/>
              <w:right w:w="20" w:type="dxa"/>
            </w:tcMar>
            <w:vAlign w:val="bottom"/>
            <w:hideMark/>
          </w:tcPr>
          <w:p w14:paraId="79E0B8A4" w14:textId="77777777" w:rsidR="00000000" w:rsidRDefault="00C01C43">
            <w:pPr>
              <w:jc w:val="right"/>
              <w:rPr>
                <w:rFonts w:eastAsia="Times New Roman"/>
              </w:rPr>
            </w:pPr>
            <w:r>
              <w:rPr>
                <w:rFonts w:ascii="Arial" w:eastAsia="Times New Roman" w:hAnsi="Arial" w:cs="Arial"/>
                <w:b/>
                <w:bCs/>
                <w:color w:val="000000"/>
                <w:sz w:val="16"/>
                <w:szCs w:val="16"/>
              </w:rPr>
              <w:t>Consolidated</w:t>
            </w:r>
          </w:p>
        </w:tc>
      </w:tr>
      <w:tr w:rsidR="00000000" w14:paraId="57AD22F0" w14:textId="77777777">
        <w:trPr>
          <w:divId w:val="761343562"/>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6CD1D607" w14:textId="77777777" w:rsidR="00000000" w:rsidRDefault="00C01C43">
            <w:pPr>
              <w:rPr>
                <w:rFonts w:eastAsia="Times New Roman"/>
              </w:rPr>
            </w:pPr>
            <w:r>
              <w:rPr>
                <w:rFonts w:ascii="Arial" w:eastAsia="Times New Roman" w:hAnsi="Arial" w:cs="Arial"/>
                <w:color w:val="000000"/>
                <w:sz w:val="16"/>
                <w:szCs w:val="16"/>
              </w:rPr>
              <w:t>Asset impairments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0CC7F9"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6077FF" w14:textId="77777777" w:rsidR="00000000" w:rsidRDefault="00C01C43">
            <w:pPr>
              <w:jc w:val="right"/>
              <w:rPr>
                <w:rFonts w:eastAsia="Times New Roman"/>
              </w:rPr>
            </w:pPr>
            <w:r>
              <w:rPr>
                <w:rFonts w:ascii="Arial" w:eastAsia="Times New Roman" w:hAnsi="Arial" w:cs="Arial"/>
                <w:color w:val="000000"/>
                <w:sz w:val="16"/>
                <w:szCs w:val="16"/>
              </w:rPr>
              <w:t>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1E831A0" w14:textId="77777777" w:rsidR="00000000" w:rsidRDefault="00C01C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C4A59C"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122D63" w14:textId="77777777" w:rsidR="00000000" w:rsidRDefault="00C01C43">
            <w:pPr>
              <w:jc w:val="right"/>
              <w:rPr>
                <w:rFonts w:eastAsia="Times New Roman"/>
              </w:rPr>
            </w:pPr>
            <w:r>
              <w:rPr>
                <w:rFonts w:ascii="Arial" w:eastAsia="Times New Roman" w:hAnsi="Arial" w:cs="Arial"/>
                <w:color w:val="000000"/>
                <w:sz w:val="16"/>
                <w:szCs w:val="16"/>
              </w:rPr>
              <w:t>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63EF07" w14:textId="77777777" w:rsidR="00000000" w:rsidRDefault="00C01C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D5C500"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F3423A" w14:textId="77777777" w:rsidR="00000000" w:rsidRDefault="00C01C43">
            <w:pPr>
              <w:jc w:val="right"/>
              <w:rPr>
                <w:rFonts w:eastAsia="Times New Roman"/>
              </w:rPr>
            </w:pPr>
            <w:r>
              <w:rPr>
                <w:rFonts w:ascii="Arial" w:eastAsia="Times New Roman" w:hAnsi="Arial" w:cs="Arial"/>
                <w:color w:val="000000"/>
                <w:sz w:val="16"/>
                <w:szCs w:val="16"/>
              </w:rPr>
              <w:t>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4091E0" w14:textId="77777777" w:rsidR="00000000" w:rsidRDefault="00C01C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2910F2"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7BF433" w14:textId="77777777" w:rsidR="00000000" w:rsidRDefault="00C01C43">
            <w:pPr>
              <w:jc w:val="right"/>
              <w:rPr>
                <w:rFonts w:eastAsia="Times New Roman"/>
              </w:rPr>
            </w:pPr>
            <w:r>
              <w:rPr>
                <w:rFonts w:ascii="Arial" w:eastAsia="Times New Roman" w:hAnsi="Arial" w:cs="Arial"/>
                <w:color w:val="000000"/>
                <w:sz w:val="16"/>
                <w:szCs w:val="16"/>
              </w:rPr>
              <w:t>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540BA9" w14:textId="77777777" w:rsidR="00000000" w:rsidRDefault="00C01C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504901"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0DB0CF" w14:textId="77777777" w:rsidR="00000000" w:rsidRDefault="00C01C43">
            <w:pPr>
              <w:jc w:val="right"/>
              <w:rPr>
                <w:rFonts w:eastAsia="Times New Roman"/>
              </w:rPr>
            </w:pPr>
            <w:r>
              <w:rPr>
                <w:rFonts w:ascii="Arial" w:eastAsia="Times New Roman" w:hAnsi="Arial" w:cs="Arial"/>
                <w:color w:val="000000"/>
                <w:sz w:val="16"/>
                <w:szCs w:val="16"/>
              </w:rPr>
              <w:t>18.6 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44E25E" w14:textId="77777777" w:rsidR="00000000" w:rsidRDefault="00C01C43">
            <w:pPr>
              <w:jc w:val="right"/>
              <w:rPr>
                <w:rFonts w:eastAsia="Times New Roman"/>
              </w:rPr>
            </w:pPr>
          </w:p>
        </w:tc>
      </w:tr>
    </w:tbl>
    <w:p w14:paraId="28223585" w14:textId="77777777" w:rsidR="00000000" w:rsidRDefault="00C01C43">
      <w:pPr>
        <w:jc w:val="both"/>
        <w:rPr>
          <w:rFonts w:eastAsia="Times New Roman"/>
        </w:rPr>
      </w:pPr>
    </w:p>
    <w:p w14:paraId="436BEB1C" w14:textId="77777777" w:rsidR="00000000" w:rsidRDefault="00C01C43">
      <w:pPr>
        <w:jc w:val="both"/>
        <w:rPr>
          <w:rFonts w:eastAsia="Times New Roman"/>
        </w:rPr>
      </w:pPr>
    </w:p>
    <w:p w14:paraId="1E276911" w14:textId="77777777" w:rsidR="00000000" w:rsidRDefault="00C01C43">
      <w:pPr>
        <w:jc w:val="both"/>
        <w:divId w:val="1872842013"/>
        <w:rPr>
          <w:rFonts w:eastAsia="Times New Roman"/>
        </w:rPr>
      </w:pPr>
      <w:r>
        <w:rPr>
          <w:rFonts w:ascii="Arial" w:eastAsia="Times New Roman" w:hAnsi="Arial" w:cs="Arial"/>
          <w:b/>
          <w:bCs/>
          <w:color w:val="000000"/>
          <w:sz w:val="20"/>
          <w:szCs w:val="20"/>
        </w:rPr>
        <w:t>6. Property and Equipment</w:t>
      </w:r>
    </w:p>
    <w:p w14:paraId="68F6671F" w14:textId="77777777" w:rsidR="00000000" w:rsidRDefault="00C01C43">
      <w:pPr>
        <w:jc w:val="both"/>
        <w:divId w:val="2118938304"/>
        <w:rPr>
          <w:rFonts w:eastAsia="Times New Roman"/>
        </w:rPr>
      </w:pPr>
      <w:r>
        <w:rPr>
          <w:rFonts w:ascii="Arial" w:eastAsia="Times New Roman" w:hAnsi="Arial" w:cs="Arial"/>
          <w:color w:val="000000"/>
          <w:sz w:val="20"/>
          <w:szCs w:val="20"/>
        </w:rPr>
        <w:t>The amount of property and equipment and their respective estimated useful lives are as follows (in millions):</w:t>
      </w:r>
    </w:p>
    <w:tbl>
      <w:tblPr>
        <w:tblW w:w="4978" w:type="pct"/>
        <w:tblCellMar>
          <w:top w:w="15" w:type="dxa"/>
          <w:left w:w="15" w:type="dxa"/>
          <w:bottom w:w="15" w:type="dxa"/>
          <w:right w:w="15" w:type="dxa"/>
        </w:tblCellMar>
        <w:tblLook w:val="04A0" w:firstRow="1" w:lastRow="0" w:firstColumn="1" w:lastColumn="0" w:noHBand="0" w:noVBand="1"/>
      </w:tblPr>
      <w:tblGrid>
        <w:gridCol w:w="38"/>
        <w:gridCol w:w="5029"/>
        <w:gridCol w:w="36"/>
        <w:gridCol w:w="36"/>
        <w:gridCol w:w="36"/>
        <w:gridCol w:w="36"/>
        <w:gridCol w:w="132"/>
        <w:gridCol w:w="696"/>
        <w:gridCol w:w="36"/>
        <w:gridCol w:w="36"/>
        <w:gridCol w:w="36"/>
        <w:gridCol w:w="36"/>
        <w:gridCol w:w="132"/>
        <w:gridCol w:w="685"/>
        <w:gridCol w:w="36"/>
        <w:gridCol w:w="36"/>
        <w:gridCol w:w="36"/>
        <w:gridCol w:w="36"/>
        <w:gridCol w:w="81"/>
        <w:gridCol w:w="1008"/>
        <w:gridCol w:w="36"/>
      </w:tblGrid>
      <w:tr w:rsidR="00000000" w14:paraId="25CCC3F3" w14:textId="77777777">
        <w:trPr>
          <w:divId w:val="1286808824"/>
        </w:trPr>
        <w:tc>
          <w:tcPr>
            <w:tcW w:w="50" w:type="pct"/>
            <w:vAlign w:val="center"/>
            <w:hideMark/>
          </w:tcPr>
          <w:p w14:paraId="4FDF0812" w14:textId="77777777" w:rsidR="00000000" w:rsidRDefault="00C01C43">
            <w:pPr>
              <w:jc w:val="both"/>
              <w:rPr>
                <w:rFonts w:eastAsia="Times New Roman"/>
              </w:rPr>
            </w:pPr>
          </w:p>
        </w:tc>
        <w:tc>
          <w:tcPr>
            <w:tcW w:w="3087" w:type="pct"/>
            <w:vAlign w:val="center"/>
            <w:hideMark/>
          </w:tcPr>
          <w:p w14:paraId="3A458563" w14:textId="77777777" w:rsidR="00000000" w:rsidRDefault="00C01C43">
            <w:pPr>
              <w:rPr>
                <w:rFonts w:eastAsia="Times New Roman"/>
                <w:sz w:val="20"/>
                <w:szCs w:val="20"/>
              </w:rPr>
            </w:pPr>
          </w:p>
        </w:tc>
        <w:tc>
          <w:tcPr>
            <w:tcW w:w="5" w:type="pct"/>
            <w:vAlign w:val="center"/>
            <w:hideMark/>
          </w:tcPr>
          <w:p w14:paraId="181B018E" w14:textId="77777777" w:rsidR="00000000" w:rsidRDefault="00C01C43">
            <w:pPr>
              <w:rPr>
                <w:rFonts w:eastAsia="Times New Roman"/>
                <w:sz w:val="20"/>
                <w:szCs w:val="20"/>
              </w:rPr>
            </w:pPr>
          </w:p>
        </w:tc>
        <w:tc>
          <w:tcPr>
            <w:tcW w:w="5" w:type="pct"/>
            <w:vAlign w:val="center"/>
            <w:hideMark/>
          </w:tcPr>
          <w:p w14:paraId="5F176F37" w14:textId="77777777" w:rsidR="00000000" w:rsidRDefault="00C01C43">
            <w:pPr>
              <w:rPr>
                <w:rFonts w:eastAsia="Times New Roman"/>
                <w:sz w:val="20"/>
                <w:szCs w:val="20"/>
              </w:rPr>
            </w:pPr>
          </w:p>
        </w:tc>
        <w:tc>
          <w:tcPr>
            <w:tcW w:w="26" w:type="pct"/>
            <w:vAlign w:val="center"/>
            <w:hideMark/>
          </w:tcPr>
          <w:p w14:paraId="21126786" w14:textId="77777777" w:rsidR="00000000" w:rsidRDefault="00C01C43">
            <w:pPr>
              <w:rPr>
                <w:rFonts w:eastAsia="Times New Roman"/>
                <w:sz w:val="20"/>
                <w:szCs w:val="20"/>
              </w:rPr>
            </w:pPr>
          </w:p>
        </w:tc>
        <w:tc>
          <w:tcPr>
            <w:tcW w:w="5" w:type="pct"/>
            <w:vAlign w:val="center"/>
            <w:hideMark/>
          </w:tcPr>
          <w:p w14:paraId="5A1A51A6" w14:textId="77777777" w:rsidR="00000000" w:rsidRDefault="00C01C43">
            <w:pPr>
              <w:rPr>
                <w:rFonts w:eastAsia="Times New Roman"/>
                <w:sz w:val="20"/>
                <w:szCs w:val="20"/>
              </w:rPr>
            </w:pPr>
          </w:p>
        </w:tc>
        <w:tc>
          <w:tcPr>
            <w:tcW w:w="50" w:type="pct"/>
            <w:vAlign w:val="center"/>
            <w:hideMark/>
          </w:tcPr>
          <w:p w14:paraId="3EBB4291" w14:textId="77777777" w:rsidR="00000000" w:rsidRDefault="00C01C43">
            <w:pPr>
              <w:rPr>
                <w:rFonts w:eastAsia="Times New Roman"/>
                <w:sz w:val="20"/>
                <w:szCs w:val="20"/>
              </w:rPr>
            </w:pPr>
          </w:p>
        </w:tc>
        <w:tc>
          <w:tcPr>
            <w:tcW w:w="480" w:type="pct"/>
            <w:vAlign w:val="center"/>
            <w:hideMark/>
          </w:tcPr>
          <w:p w14:paraId="30F598C8" w14:textId="77777777" w:rsidR="00000000" w:rsidRDefault="00C01C43">
            <w:pPr>
              <w:rPr>
                <w:rFonts w:eastAsia="Times New Roman"/>
                <w:sz w:val="20"/>
                <w:szCs w:val="20"/>
              </w:rPr>
            </w:pPr>
          </w:p>
        </w:tc>
        <w:tc>
          <w:tcPr>
            <w:tcW w:w="5" w:type="pct"/>
            <w:vAlign w:val="center"/>
            <w:hideMark/>
          </w:tcPr>
          <w:p w14:paraId="58F2FDE8" w14:textId="77777777" w:rsidR="00000000" w:rsidRDefault="00C01C43">
            <w:pPr>
              <w:rPr>
                <w:rFonts w:eastAsia="Times New Roman"/>
                <w:sz w:val="20"/>
                <w:szCs w:val="20"/>
              </w:rPr>
            </w:pPr>
          </w:p>
        </w:tc>
        <w:tc>
          <w:tcPr>
            <w:tcW w:w="5" w:type="pct"/>
            <w:vAlign w:val="center"/>
            <w:hideMark/>
          </w:tcPr>
          <w:p w14:paraId="7D039188" w14:textId="77777777" w:rsidR="00000000" w:rsidRDefault="00C01C43">
            <w:pPr>
              <w:rPr>
                <w:rFonts w:eastAsia="Times New Roman"/>
                <w:sz w:val="20"/>
                <w:szCs w:val="20"/>
              </w:rPr>
            </w:pPr>
          </w:p>
        </w:tc>
        <w:tc>
          <w:tcPr>
            <w:tcW w:w="26" w:type="pct"/>
            <w:vAlign w:val="center"/>
            <w:hideMark/>
          </w:tcPr>
          <w:p w14:paraId="0CF30FF6" w14:textId="77777777" w:rsidR="00000000" w:rsidRDefault="00C01C43">
            <w:pPr>
              <w:rPr>
                <w:rFonts w:eastAsia="Times New Roman"/>
                <w:sz w:val="20"/>
                <w:szCs w:val="20"/>
              </w:rPr>
            </w:pPr>
          </w:p>
        </w:tc>
        <w:tc>
          <w:tcPr>
            <w:tcW w:w="5" w:type="pct"/>
            <w:vAlign w:val="center"/>
            <w:hideMark/>
          </w:tcPr>
          <w:p w14:paraId="63B80617" w14:textId="77777777" w:rsidR="00000000" w:rsidRDefault="00C01C43">
            <w:pPr>
              <w:rPr>
                <w:rFonts w:eastAsia="Times New Roman"/>
                <w:sz w:val="20"/>
                <w:szCs w:val="20"/>
              </w:rPr>
            </w:pPr>
          </w:p>
        </w:tc>
        <w:tc>
          <w:tcPr>
            <w:tcW w:w="50" w:type="pct"/>
            <w:vAlign w:val="center"/>
            <w:hideMark/>
          </w:tcPr>
          <w:p w14:paraId="25CE8343" w14:textId="77777777" w:rsidR="00000000" w:rsidRDefault="00C01C43">
            <w:pPr>
              <w:rPr>
                <w:rFonts w:eastAsia="Times New Roman"/>
                <w:sz w:val="20"/>
                <w:szCs w:val="20"/>
              </w:rPr>
            </w:pPr>
          </w:p>
        </w:tc>
        <w:tc>
          <w:tcPr>
            <w:tcW w:w="473" w:type="pct"/>
            <w:vAlign w:val="center"/>
            <w:hideMark/>
          </w:tcPr>
          <w:p w14:paraId="7E8E722F" w14:textId="77777777" w:rsidR="00000000" w:rsidRDefault="00C01C43">
            <w:pPr>
              <w:rPr>
                <w:rFonts w:eastAsia="Times New Roman"/>
                <w:sz w:val="20"/>
                <w:szCs w:val="20"/>
              </w:rPr>
            </w:pPr>
          </w:p>
        </w:tc>
        <w:tc>
          <w:tcPr>
            <w:tcW w:w="5" w:type="pct"/>
            <w:vAlign w:val="center"/>
            <w:hideMark/>
          </w:tcPr>
          <w:p w14:paraId="39BF74E7" w14:textId="77777777" w:rsidR="00000000" w:rsidRDefault="00C01C43">
            <w:pPr>
              <w:rPr>
                <w:rFonts w:eastAsia="Times New Roman"/>
                <w:sz w:val="20"/>
                <w:szCs w:val="20"/>
              </w:rPr>
            </w:pPr>
          </w:p>
        </w:tc>
        <w:tc>
          <w:tcPr>
            <w:tcW w:w="5" w:type="pct"/>
            <w:vAlign w:val="center"/>
            <w:hideMark/>
          </w:tcPr>
          <w:p w14:paraId="00F49744" w14:textId="77777777" w:rsidR="00000000" w:rsidRDefault="00C01C43">
            <w:pPr>
              <w:rPr>
                <w:rFonts w:eastAsia="Times New Roman"/>
                <w:sz w:val="20"/>
                <w:szCs w:val="20"/>
              </w:rPr>
            </w:pPr>
          </w:p>
        </w:tc>
        <w:tc>
          <w:tcPr>
            <w:tcW w:w="26" w:type="pct"/>
            <w:vAlign w:val="center"/>
            <w:hideMark/>
          </w:tcPr>
          <w:p w14:paraId="425BBAE8" w14:textId="77777777" w:rsidR="00000000" w:rsidRDefault="00C01C43">
            <w:pPr>
              <w:rPr>
                <w:rFonts w:eastAsia="Times New Roman"/>
                <w:sz w:val="20"/>
                <w:szCs w:val="20"/>
              </w:rPr>
            </w:pPr>
          </w:p>
        </w:tc>
        <w:tc>
          <w:tcPr>
            <w:tcW w:w="5" w:type="pct"/>
            <w:vAlign w:val="center"/>
            <w:hideMark/>
          </w:tcPr>
          <w:p w14:paraId="541E40C1" w14:textId="77777777" w:rsidR="00000000" w:rsidRDefault="00C01C43">
            <w:pPr>
              <w:rPr>
                <w:rFonts w:eastAsia="Times New Roman"/>
                <w:sz w:val="20"/>
                <w:szCs w:val="20"/>
              </w:rPr>
            </w:pPr>
          </w:p>
        </w:tc>
        <w:tc>
          <w:tcPr>
            <w:tcW w:w="50" w:type="pct"/>
            <w:vAlign w:val="center"/>
            <w:hideMark/>
          </w:tcPr>
          <w:p w14:paraId="27A715B0" w14:textId="77777777" w:rsidR="00000000" w:rsidRDefault="00C01C43">
            <w:pPr>
              <w:rPr>
                <w:rFonts w:eastAsia="Times New Roman"/>
                <w:sz w:val="20"/>
                <w:szCs w:val="20"/>
              </w:rPr>
            </w:pPr>
          </w:p>
        </w:tc>
        <w:tc>
          <w:tcPr>
            <w:tcW w:w="627" w:type="pct"/>
            <w:vAlign w:val="center"/>
            <w:hideMark/>
          </w:tcPr>
          <w:p w14:paraId="4FF7D827" w14:textId="77777777" w:rsidR="00000000" w:rsidRDefault="00C01C43">
            <w:pPr>
              <w:rPr>
                <w:rFonts w:eastAsia="Times New Roman"/>
                <w:sz w:val="20"/>
                <w:szCs w:val="20"/>
              </w:rPr>
            </w:pPr>
          </w:p>
        </w:tc>
        <w:tc>
          <w:tcPr>
            <w:tcW w:w="5" w:type="pct"/>
            <w:vAlign w:val="center"/>
            <w:hideMark/>
          </w:tcPr>
          <w:p w14:paraId="722C3A7D" w14:textId="77777777" w:rsidR="00000000" w:rsidRDefault="00C01C43">
            <w:pPr>
              <w:rPr>
                <w:rFonts w:eastAsia="Times New Roman"/>
                <w:sz w:val="20"/>
                <w:szCs w:val="20"/>
              </w:rPr>
            </w:pPr>
          </w:p>
        </w:tc>
      </w:tr>
      <w:tr w:rsidR="00000000" w14:paraId="3DCB5E77" w14:textId="77777777">
        <w:trPr>
          <w:divId w:val="1286808824"/>
        </w:trPr>
        <w:tc>
          <w:tcPr>
            <w:tcW w:w="0" w:type="auto"/>
            <w:gridSpan w:val="3"/>
            <w:tcMar>
              <w:top w:w="0" w:type="dxa"/>
              <w:left w:w="20" w:type="dxa"/>
              <w:bottom w:w="0" w:type="dxa"/>
              <w:right w:w="20" w:type="dxa"/>
            </w:tcMar>
            <w:vAlign w:val="center"/>
            <w:hideMark/>
          </w:tcPr>
          <w:p w14:paraId="3B86028A"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1F1C49FE" w14:textId="77777777" w:rsidR="00000000" w:rsidRDefault="00C01C43">
            <w:pPr>
              <w:rPr>
                <w:rFonts w:eastAsia="Times New Roman"/>
                <w:sz w:val="20"/>
                <w:szCs w:val="20"/>
              </w:rPr>
            </w:pPr>
          </w:p>
        </w:tc>
        <w:tc>
          <w:tcPr>
            <w:tcW w:w="0" w:type="auto"/>
            <w:gridSpan w:val="9"/>
            <w:tcMar>
              <w:top w:w="30" w:type="dxa"/>
              <w:left w:w="20" w:type="dxa"/>
              <w:bottom w:w="30" w:type="dxa"/>
              <w:right w:w="20" w:type="dxa"/>
            </w:tcMar>
            <w:vAlign w:val="bottom"/>
            <w:hideMark/>
          </w:tcPr>
          <w:p w14:paraId="1B4F514B" w14:textId="77777777" w:rsidR="00000000" w:rsidRDefault="00C01C43">
            <w:pPr>
              <w:jc w:val="center"/>
              <w:rPr>
                <w:rFonts w:eastAsia="Times New Roman"/>
              </w:rPr>
            </w:pPr>
            <w:r>
              <w:rPr>
                <w:rFonts w:ascii="Arial" w:eastAsia="Times New Roman" w:hAnsi="Arial" w:cs="Arial"/>
                <w:b/>
                <w:bCs/>
                <w:color w:val="000000"/>
                <w:sz w:val="16"/>
                <w:szCs w:val="16"/>
              </w:rPr>
              <w:t>As of December 31,</w:t>
            </w:r>
          </w:p>
        </w:tc>
        <w:tc>
          <w:tcPr>
            <w:tcW w:w="0" w:type="auto"/>
            <w:gridSpan w:val="3"/>
            <w:tcMar>
              <w:top w:w="0" w:type="dxa"/>
              <w:left w:w="20" w:type="dxa"/>
              <w:bottom w:w="0" w:type="dxa"/>
              <w:right w:w="20" w:type="dxa"/>
            </w:tcMar>
            <w:vAlign w:val="center"/>
            <w:hideMark/>
          </w:tcPr>
          <w:p w14:paraId="4CEE70AE"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72659328" w14:textId="77777777" w:rsidR="00000000" w:rsidRDefault="00C01C43">
            <w:pPr>
              <w:jc w:val="center"/>
              <w:rPr>
                <w:rFonts w:eastAsia="Times New Roman"/>
              </w:rPr>
            </w:pPr>
            <w:r>
              <w:rPr>
                <w:rFonts w:ascii="Arial" w:eastAsia="Times New Roman" w:hAnsi="Arial" w:cs="Arial"/>
                <w:b/>
                <w:bCs/>
                <w:color w:val="000000"/>
                <w:sz w:val="16"/>
                <w:szCs w:val="16"/>
              </w:rPr>
              <w:t>Estimated</w:t>
            </w:r>
          </w:p>
        </w:tc>
      </w:tr>
      <w:tr w:rsidR="00000000" w14:paraId="661A66DB" w14:textId="77777777">
        <w:trPr>
          <w:divId w:val="1286808824"/>
        </w:trPr>
        <w:tc>
          <w:tcPr>
            <w:tcW w:w="0" w:type="auto"/>
            <w:gridSpan w:val="3"/>
            <w:tcMar>
              <w:top w:w="0" w:type="dxa"/>
              <w:left w:w="20" w:type="dxa"/>
              <w:bottom w:w="0" w:type="dxa"/>
              <w:right w:w="20" w:type="dxa"/>
            </w:tcMar>
            <w:vAlign w:val="center"/>
            <w:hideMark/>
          </w:tcPr>
          <w:p w14:paraId="3DF3DBAA"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4F3ED9D4" w14:textId="77777777" w:rsidR="00000000" w:rsidRDefault="00C01C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9378863"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27806CC"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A988DD"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0FF46E70"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2F3D84BF" w14:textId="77777777" w:rsidR="00000000" w:rsidRDefault="00C01C43">
            <w:pPr>
              <w:jc w:val="center"/>
              <w:rPr>
                <w:rFonts w:eastAsia="Times New Roman"/>
              </w:rPr>
            </w:pPr>
            <w:r>
              <w:rPr>
                <w:rFonts w:ascii="Arial" w:eastAsia="Times New Roman" w:hAnsi="Arial" w:cs="Arial"/>
                <w:b/>
                <w:bCs/>
                <w:color w:val="000000"/>
                <w:sz w:val="16"/>
                <w:szCs w:val="16"/>
              </w:rPr>
              <w:t>Useful Lives</w:t>
            </w:r>
          </w:p>
        </w:tc>
      </w:tr>
      <w:tr w:rsidR="00000000" w14:paraId="2B44DB91" w14:textId="77777777">
        <w:trPr>
          <w:divId w:val="128680882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DE8C6BD" w14:textId="77777777" w:rsidR="00000000" w:rsidRDefault="00C01C43">
            <w:pPr>
              <w:rPr>
                <w:rFonts w:eastAsia="Times New Roman"/>
              </w:rPr>
            </w:pPr>
            <w:r>
              <w:rPr>
                <w:rFonts w:ascii="Arial" w:eastAsia="Times New Roman" w:hAnsi="Arial" w:cs="Arial"/>
                <w:color w:val="000000"/>
                <w:sz w:val="20"/>
                <w:szCs w:val="20"/>
              </w:rPr>
              <w:t>Land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1CF8B6" w14:textId="77777777" w:rsidR="00000000" w:rsidRDefault="00C01C4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7E0C8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B24EB0" w14:textId="77777777" w:rsidR="00000000" w:rsidRDefault="00C01C43">
            <w:pPr>
              <w:jc w:val="right"/>
              <w:rPr>
                <w:rFonts w:eastAsia="Times New Roman"/>
              </w:rPr>
            </w:pPr>
            <w:r>
              <w:rPr>
                <w:rFonts w:ascii="Arial" w:eastAsia="Times New Roman" w:hAnsi="Arial" w:cs="Arial"/>
                <w:color w:val="000000"/>
                <w:sz w:val="20"/>
                <w:szCs w:val="20"/>
              </w:rPr>
              <w:t>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8174A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6505C8"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9B9EB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241916" w14:textId="77777777" w:rsidR="00000000" w:rsidRDefault="00C01C43">
            <w:pPr>
              <w:jc w:val="right"/>
              <w:rPr>
                <w:rFonts w:eastAsia="Times New Roman"/>
              </w:rPr>
            </w:pPr>
            <w:r>
              <w:rPr>
                <w:rFonts w:ascii="Arial" w:eastAsia="Times New Roman" w:hAnsi="Arial" w:cs="Arial"/>
                <w:color w:val="000000"/>
                <w:sz w:val="20"/>
                <w:szCs w:val="20"/>
              </w:rPr>
              <w:t>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E3359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8B981B"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570AC4" w14:textId="77777777" w:rsidR="00000000" w:rsidRDefault="00C01C43">
            <w:pPr>
              <w:jc w:val="right"/>
              <w:rPr>
                <w:rFonts w:eastAsia="Times New Roman"/>
              </w:rPr>
            </w:pPr>
            <w:r>
              <w:rPr>
                <w:rFonts w:ascii="Arial" w:eastAsia="Times New Roman" w:hAnsi="Arial" w:cs="Arial"/>
                <w:color w:val="000000"/>
                <w:sz w:val="20"/>
                <w:szCs w:val="20"/>
              </w:rPr>
              <w:t>Indefinite</w:t>
            </w:r>
          </w:p>
        </w:tc>
      </w:tr>
      <w:tr w:rsidR="00000000" w14:paraId="75C1C221" w14:textId="77777777">
        <w:trPr>
          <w:divId w:val="1286808824"/>
        </w:trPr>
        <w:tc>
          <w:tcPr>
            <w:tcW w:w="0" w:type="auto"/>
            <w:gridSpan w:val="3"/>
            <w:shd w:val="clear" w:color="auto" w:fill="FFFFFF"/>
            <w:tcMar>
              <w:top w:w="30" w:type="dxa"/>
              <w:left w:w="20" w:type="dxa"/>
              <w:bottom w:w="30" w:type="dxa"/>
              <w:right w:w="20" w:type="dxa"/>
            </w:tcMar>
            <w:vAlign w:val="bottom"/>
            <w:hideMark/>
          </w:tcPr>
          <w:p w14:paraId="0BA825C4" w14:textId="77777777" w:rsidR="00000000" w:rsidRDefault="00C01C43">
            <w:pPr>
              <w:rPr>
                <w:rFonts w:eastAsia="Times New Roman"/>
              </w:rPr>
            </w:pPr>
            <w:r>
              <w:rPr>
                <w:rFonts w:ascii="Arial" w:eastAsia="Times New Roman" w:hAnsi="Arial" w:cs="Arial"/>
                <w:color w:val="000000"/>
                <w:sz w:val="20"/>
                <w:szCs w:val="20"/>
              </w:rPr>
              <w:t>Buildings and leasehold improvements</w:t>
            </w:r>
          </w:p>
        </w:tc>
        <w:tc>
          <w:tcPr>
            <w:tcW w:w="0" w:type="auto"/>
            <w:gridSpan w:val="3"/>
            <w:shd w:val="clear" w:color="auto" w:fill="FFFFFF"/>
            <w:tcMar>
              <w:top w:w="0" w:type="dxa"/>
              <w:left w:w="20" w:type="dxa"/>
              <w:bottom w:w="0" w:type="dxa"/>
              <w:right w:w="20" w:type="dxa"/>
            </w:tcMar>
            <w:vAlign w:val="center"/>
            <w:hideMark/>
          </w:tcPr>
          <w:p w14:paraId="4CBD8CBF"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CD4C3D" w14:textId="77777777" w:rsidR="00000000" w:rsidRDefault="00C01C43">
            <w:pPr>
              <w:jc w:val="right"/>
              <w:rPr>
                <w:rFonts w:eastAsia="Times New Roman"/>
              </w:rPr>
            </w:pPr>
            <w:r>
              <w:rPr>
                <w:rFonts w:ascii="Arial" w:eastAsia="Times New Roman" w:hAnsi="Arial" w:cs="Arial"/>
                <w:color w:val="000000"/>
                <w:sz w:val="20"/>
                <w:szCs w:val="20"/>
              </w:rPr>
              <w:t>74.5 </w:t>
            </w:r>
          </w:p>
        </w:tc>
        <w:tc>
          <w:tcPr>
            <w:tcW w:w="0" w:type="auto"/>
            <w:shd w:val="clear" w:color="auto" w:fill="FFFFFF"/>
            <w:tcMar>
              <w:top w:w="30" w:type="dxa"/>
              <w:left w:w="0" w:type="dxa"/>
              <w:bottom w:w="30" w:type="dxa"/>
              <w:right w:w="20" w:type="dxa"/>
            </w:tcMar>
            <w:vAlign w:val="bottom"/>
            <w:hideMark/>
          </w:tcPr>
          <w:p w14:paraId="44F2734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CA68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CD9D67" w14:textId="77777777" w:rsidR="00000000" w:rsidRDefault="00C01C43">
            <w:pPr>
              <w:jc w:val="right"/>
              <w:rPr>
                <w:rFonts w:eastAsia="Times New Roman"/>
              </w:rPr>
            </w:pPr>
            <w:r>
              <w:rPr>
                <w:rFonts w:ascii="Arial" w:eastAsia="Times New Roman" w:hAnsi="Arial" w:cs="Arial"/>
                <w:color w:val="000000"/>
                <w:sz w:val="20"/>
                <w:szCs w:val="20"/>
              </w:rPr>
              <w:t>84.8 </w:t>
            </w:r>
          </w:p>
        </w:tc>
        <w:tc>
          <w:tcPr>
            <w:tcW w:w="0" w:type="auto"/>
            <w:shd w:val="clear" w:color="auto" w:fill="FFFFFF"/>
            <w:tcMar>
              <w:top w:w="30" w:type="dxa"/>
              <w:left w:w="0" w:type="dxa"/>
              <w:bottom w:w="30" w:type="dxa"/>
              <w:right w:w="20" w:type="dxa"/>
            </w:tcMar>
            <w:vAlign w:val="bottom"/>
            <w:hideMark/>
          </w:tcPr>
          <w:p w14:paraId="7C1C44C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716ED" w14:textId="77777777" w:rsidR="00000000" w:rsidRDefault="00C01C43">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0876886" w14:textId="77777777" w:rsidR="00000000" w:rsidRDefault="00C01C43">
            <w:pPr>
              <w:jc w:val="right"/>
              <w:rPr>
                <w:rFonts w:eastAsia="Times New Roman"/>
              </w:rPr>
            </w:pPr>
            <w:r>
              <w:rPr>
                <w:rFonts w:ascii="Arial" w:eastAsia="Times New Roman" w:hAnsi="Arial" w:cs="Arial"/>
                <w:color w:val="000000"/>
                <w:sz w:val="20"/>
                <w:szCs w:val="20"/>
              </w:rPr>
              <w:t>3 - 40 years</w:t>
            </w:r>
          </w:p>
        </w:tc>
      </w:tr>
      <w:tr w:rsidR="00000000" w14:paraId="4FC33023" w14:textId="77777777">
        <w:trPr>
          <w:divId w:val="1286808824"/>
        </w:trPr>
        <w:tc>
          <w:tcPr>
            <w:tcW w:w="0" w:type="auto"/>
            <w:gridSpan w:val="3"/>
            <w:shd w:val="clear" w:color="auto" w:fill="CCEEFF"/>
            <w:tcMar>
              <w:top w:w="30" w:type="dxa"/>
              <w:left w:w="20" w:type="dxa"/>
              <w:bottom w:w="30" w:type="dxa"/>
              <w:right w:w="20" w:type="dxa"/>
            </w:tcMar>
            <w:vAlign w:val="bottom"/>
            <w:hideMark/>
          </w:tcPr>
          <w:p w14:paraId="254169F2" w14:textId="77777777" w:rsidR="00000000" w:rsidRDefault="00C01C43">
            <w:pPr>
              <w:rPr>
                <w:rFonts w:eastAsia="Times New Roman"/>
              </w:rPr>
            </w:pPr>
            <w:r>
              <w:rPr>
                <w:rFonts w:ascii="Arial" w:eastAsia="Times New Roman" w:hAnsi="Arial" w:cs="Arial"/>
                <w:color w:val="000000"/>
                <w:sz w:val="20"/>
                <w:szCs w:val="20"/>
              </w:rPr>
              <w:t>Office equipment, furniture and fixtures</w:t>
            </w:r>
          </w:p>
        </w:tc>
        <w:tc>
          <w:tcPr>
            <w:tcW w:w="0" w:type="auto"/>
            <w:gridSpan w:val="3"/>
            <w:shd w:val="clear" w:color="auto" w:fill="CCEEFF"/>
            <w:tcMar>
              <w:top w:w="0" w:type="dxa"/>
              <w:left w:w="20" w:type="dxa"/>
              <w:bottom w:w="0" w:type="dxa"/>
              <w:right w:w="20" w:type="dxa"/>
            </w:tcMar>
            <w:vAlign w:val="center"/>
            <w:hideMark/>
          </w:tcPr>
          <w:p w14:paraId="598A296D"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642380" w14:textId="77777777" w:rsidR="00000000" w:rsidRDefault="00C01C43">
            <w:pPr>
              <w:jc w:val="right"/>
              <w:rPr>
                <w:rFonts w:eastAsia="Times New Roman"/>
              </w:rPr>
            </w:pPr>
            <w:r>
              <w:rPr>
                <w:rFonts w:ascii="Arial" w:eastAsia="Times New Roman" w:hAnsi="Arial" w:cs="Arial"/>
                <w:color w:val="000000"/>
                <w:sz w:val="20"/>
                <w:szCs w:val="20"/>
              </w:rPr>
              <w:t>15.3 </w:t>
            </w:r>
          </w:p>
        </w:tc>
        <w:tc>
          <w:tcPr>
            <w:tcW w:w="0" w:type="auto"/>
            <w:shd w:val="clear" w:color="auto" w:fill="CCEEFF"/>
            <w:tcMar>
              <w:top w:w="30" w:type="dxa"/>
              <w:left w:w="0" w:type="dxa"/>
              <w:bottom w:w="30" w:type="dxa"/>
              <w:right w:w="20" w:type="dxa"/>
            </w:tcMar>
            <w:vAlign w:val="bottom"/>
            <w:hideMark/>
          </w:tcPr>
          <w:p w14:paraId="30B2A45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86CD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541A8B" w14:textId="77777777" w:rsidR="00000000" w:rsidRDefault="00C01C43">
            <w:pPr>
              <w:jc w:val="right"/>
              <w:rPr>
                <w:rFonts w:eastAsia="Times New Roman"/>
              </w:rPr>
            </w:pPr>
            <w:r>
              <w:rPr>
                <w:rFonts w:ascii="Arial" w:eastAsia="Times New Roman" w:hAnsi="Arial" w:cs="Arial"/>
                <w:color w:val="000000"/>
                <w:sz w:val="20"/>
                <w:szCs w:val="20"/>
              </w:rPr>
              <w:t>16.9 </w:t>
            </w:r>
          </w:p>
        </w:tc>
        <w:tc>
          <w:tcPr>
            <w:tcW w:w="0" w:type="auto"/>
            <w:shd w:val="clear" w:color="auto" w:fill="CCEEFF"/>
            <w:tcMar>
              <w:top w:w="30" w:type="dxa"/>
              <w:left w:w="0" w:type="dxa"/>
              <w:bottom w:w="30" w:type="dxa"/>
              <w:right w:w="20" w:type="dxa"/>
            </w:tcMar>
            <w:vAlign w:val="bottom"/>
            <w:hideMark/>
          </w:tcPr>
          <w:p w14:paraId="148B274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6FA8E3" w14:textId="77777777" w:rsidR="00000000" w:rsidRDefault="00C01C4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BAEE63C" w14:textId="77777777" w:rsidR="00000000" w:rsidRDefault="00C01C43">
            <w:pPr>
              <w:jc w:val="right"/>
              <w:rPr>
                <w:rFonts w:eastAsia="Times New Roman"/>
              </w:rPr>
            </w:pPr>
            <w:r>
              <w:rPr>
                <w:rFonts w:ascii="Arial" w:eastAsia="Times New Roman" w:hAnsi="Arial" w:cs="Arial"/>
                <w:color w:val="000000"/>
                <w:sz w:val="20"/>
                <w:szCs w:val="20"/>
              </w:rPr>
              <w:t>3 -  7  years</w:t>
            </w:r>
          </w:p>
        </w:tc>
      </w:tr>
      <w:tr w:rsidR="00000000" w14:paraId="15D3754F" w14:textId="77777777">
        <w:trPr>
          <w:divId w:val="1286808824"/>
        </w:trPr>
        <w:tc>
          <w:tcPr>
            <w:tcW w:w="0" w:type="auto"/>
            <w:gridSpan w:val="3"/>
            <w:shd w:val="clear" w:color="auto" w:fill="FFFFFF"/>
            <w:tcMar>
              <w:top w:w="30" w:type="dxa"/>
              <w:left w:w="20" w:type="dxa"/>
              <w:bottom w:w="30" w:type="dxa"/>
              <w:right w:w="20" w:type="dxa"/>
            </w:tcMar>
            <w:vAlign w:val="bottom"/>
            <w:hideMark/>
          </w:tcPr>
          <w:p w14:paraId="0E1A8C3B" w14:textId="77777777" w:rsidR="00000000" w:rsidRDefault="00C01C43">
            <w:pPr>
              <w:rPr>
                <w:rFonts w:eastAsia="Times New Roman"/>
              </w:rPr>
            </w:pPr>
            <w:r>
              <w:rPr>
                <w:rFonts w:ascii="Arial" w:eastAsia="Times New Roman" w:hAnsi="Arial" w:cs="Arial"/>
                <w:color w:val="000000"/>
                <w:sz w:val="20"/>
                <w:szCs w:val="20"/>
              </w:rPr>
              <w:t>Computer equipment and software costs</w:t>
            </w:r>
          </w:p>
        </w:tc>
        <w:tc>
          <w:tcPr>
            <w:tcW w:w="0" w:type="auto"/>
            <w:gridSpan w:val="3"/>
            <w:shd w:val="clear" w:color="auto" w:fill="FFFFFF"/>
            <w:tcMar>
              <w:top w:w="0" w:type="dxa"/>
              <w:left w:w="20" w:type="dxa"/>
              <w:bottom w:w="0" w:type="dxa"/>
              <w:right w:w="20" w:type="dxa"/>
            </w:tcMar>
            <w:vAlign w:val="center"/>
            <w:hideMark/>
          </w:tcPr>
          <w:p w14:paraId="2B825AEC"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E6DF02" w14:textId="77777777" w:rsidR="00000000" w:rsidRDefault="00C01C43">
            <w:pPr>
              <w:jc w:val="right"/>
              <w:rPr>
                <w:rFonts w:eastAsia="Times New Roman"/>
              </w:rPr>
            </w:pPr>
            <w:r>
              <w:rPr>
                <w:rFonts w:ascii="Arial" w:eastAsia="Times New Roman" w:hAnsi="Arial" w:cs="Arial"/>
                <w:color w:val="000000"/>
                <w:sz w:val="20"/>
                <w:szCs w:val="20"/>
              </w:rPr>
              <w:t>275.8 </w:t>
            </w:r>
          </w:p>
        </w:tc>
        <w:tc>
          <w:tcPr>
            <w:tcW w:w="0" w:type="auto"/>
            <w:shd w:val="clear" w:color="auto" w:fill="FFFFFF"/>
            <w:tcMar>
              <w:top w:w="30" w:type="dxa"/>
              <w:left w:w="0" w:type="dxa"/>
              <w:bottom w:w="30" w:type="dxa"/>
              <w:right w:w="20" w:type="dxa"/>
            </w:tcMar>
            <w:vAlign w:val="bottom"/>
            <w:hideMark/>
          </w:tcPr>
          <w:p w14:paraId="2E06305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825B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4B76E2" w14:textId="77777777" w:rsidR="00000000" w:rsidRDefault="00C01C43">
            <w:pPr>
              <w:jc w:val="right"/>
              <w:rPr>
                <w:rFonts w:eastAsia="Times New Roman"/>
              </w:rPr>
            </w:pPr>
            <w:r>
              <w:rPr>
                <w:rFonts w:ascii="Arial" w:eastAsia="Times New Roman" w:hAnsi="Arial" w:cs="Arial"/>
                <w:color w:val="000000"/>
                <w:sz w:val="20"/>
                <w:szCs w:val="20"/>
              </w:rPr>
              <w:t>261.4 </w:t>
            </w:r>
          </w:p>
        </w:tc>
        <w:tc>
          <w:tcPr>
            <w:tcW w:w="0" w:type="auto"/>
            <w:shd w:val="clear" w:color="auto" w:fill="FFFFFF"/>
            <w:tcMar>
              <w:top w:w="30" w:type="dxa"/>
              <w:left w:w="0" w:type="dxa"/>
              <w:bottom w:w="30" w:type="dxa"/>
              <w:right w:w="20" w:type="dxa"/>
            </w:tcMar>
            <w:vAlign w:val="bottom"/>
            <w:hideMark/>
          </w:tcPr>
          <w:p w14:paraId="441C85A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414C4A" w14:textId="77777777" w:rsidR="00000000" w:rsidRDefault="00C01C43">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51871D4" w14:textId="77777777" w:rsidR="00000000" w:rsidRDefault="00C01C43">
            <w:pPr>
              <w:jc w:val="right"/>
              <w:rPr>
                <w:rFonts w:eastAsia="Times New Roman"/>
              </w:rPr>
            </w:pPr>
            <w:r>
              <w:rPr>
                <w:rFonts w:ascii="Arial" w:eastAsia="Times New Roman" w:hAnsi="Arial" w:cs="Arial"/>
                <w:color w:val="000000"/>
                <w:sz w:val="20"/>
                <w:szCs w:val="20"/>
              </w:rPr>
              <w:t>3 -  9  years</w:t>
            </w:r>
          </w:p>
        </w:tc>
      </w:tr>
      <w:tr w:rsidR="00000000" w14:paraId="2B40D985" w14:textId="77777777">
        <w:trPr>
          <w:divId w:val="1286808824"/>
        </w:trPr>
        <w:tc>
          <w:tcPr>
            <w:tcW w:w="0" w:type="auto"/>
            <w:gridSpan w:val="3"/>
            <w:shd w:val="clear" w:color="auto" w:fill="CCEEFF"/>
            <w:tcMar>
              <w:top w:w="30" w:type="dxa"/>
              <w:left w:w="20" w:type="dxa"/>
              <w:bottom w:w="30" w:type="dxa"/>
              <w:right w:w="20" w:type="dxa"/>
            </w:tcMar>
            <w:vAlign w:val="bottom"/>
            <w:hideMark/>
          </w:tcPr>
          <w:p w14:paraId="6C482061" w14:textId="77777777" w:rsidR="00000000" w:rsidRDefault="00C01C43">
            <w:pPr>
              <w:rPr>
                <w:rFonts w:eastAsia="Times New Roman"/>
              </w:rPr>
            </w:pPr>
            <w:r>
              <w:rPr>
                <w:rFonts w:ascii="Arial" w:eastAsia="Times New Roman" w:hAnsi="Arial" w:cs="Arial"/>
                <w:color w:val="000000"/>
                <w:sz w:val="20"/>
                <w:szCs w:val="20"/>
              </w:rPr>
              <w:t>Machinery, equipment and vehicles</w:t>
            </w:r>
          </w:p>
        </w:tc>
        <w:tc>
          <w:tcPr>
            <w:tcW w:w="0" w:type="auto"/>
            <w:gridSpan w:val="3"/>
            <w:shd w:val="clear" w:color="auto" w:fill="CCEEFF"/>
            <w:tcMar>
              <w:top w:w="0" w:type="dxa"/>
              <w:left w:w="20" w:type="dxa"/>
              <w:bottom w:w="0" w:type="dxa"/>
              <w:right w:w="20" w:type="dxa"/>
            </w:tcMar>
            <w:vAlign w:val="center"/>
            <w:hideMark/>
          </w:tcPr>
          <w:p w14:paraId="260F0A6C"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0F9B57" w14:textId="77777777" w:rsidR="00000000" w:rsidRDefault="00C01C43">
            <w:pPr>
              <w:jc w:val="right"/>
              <w:rPr>
                <w:rFonts w:eastAsia="Times New Roman"/>
              </w:rPr>
            </w:pPr>
            <w:r>
              <w:rPr>
                <w:rFonts w:ascii="Arial" w:eastAsia="Times New Roman" w:hAnsi="Arial" w:cs="Arial"/>
                <w:color w:val="000000"/>
                <w:sz w:val="20"/>
                <w:szCs w:val="20"/>
              </w:rPr>
              <w:t>267.7 </w:t>
            </w:r>
          </w:p>
        </w:tc>
        <w:tc>
          <w:tcPr>
            <w:tcW w:w="0" w:type="auto"/>
            <w:shd w:val="clear" w:color="auto" w:fill="CCEEFF"/>
            <w:tcMar>
              <w:top w:w="30" w:type="dxa"/>
              <w:left w:w="0" w:type="dxa"/>
              <w:bottom w:w="30" w:type="dxa"/>
              <w:right w:w="20" w:type="dxa"/>
            </w:tcMar>
            <w:vAlign w:val="bottom"/>
            <w:hideMark/>
          </w:tcPr>
          <w:p w14:paraId="33C724B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D908C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31A065" w14:textId="77777777" w:rsidR="00000000" w:rsidRDefault="00C01C43">
            <w:pPr>
              <w:jc w:val="right"/>
              <w:rPr>
                <w:rFonts w:eastAsia="Times New Roman"/>
              </w:rPr>
            </w:pPr>
            <w:r>
              <w:rPr>
                <w:rFonts w:ascii="Arial" w:eastAsia="Times New Roman" w:hAnsi="Arial" w:cs="Arial"/>
                <w:color w:val="000000"/>
                <w:sz w:val="20"/>
                <w:szCs w:val="20"/>
              </w:rPr>
              <w:t>269.3 </w:t>
            </w:r>
          </w:p>
        </w:tc>
        <w:tc>
          <w:tcPr>
            <w:tcW w:w="0" w:type="auto"/>
            <w:shd w:val="clear" w:color="auto" w:fill="CCEEFF"/>
            <w:tcMar>
              <w:top w:w="30" w:type="dxa"/>
              <w:left w:w="0" w:type="dxa"/>
              <w:bottom w:w="30" w:type="dxa"/>
              <w:right w:w="20" w:type="dxa"/>
            </w:tcMar>
            <w:vAlign w:val="bottom"/>
            <w:hideMark/>
          </w:tcPr>
          <w:p w14:paraId="08E2F2E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8C26FD" w14:textId="77777777" w:rsidR="00000000" w:rsidRDefault="00C01C4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CC06072" w14:textId="77777777" w:rsidR="00000000" w:rsidRDefault="00C01C43">
            <w:pPr>
              <w:jc w:val="right"/>
              <w:rPr>
                <w:rFonts w:eastAsia="Times New Roman"/>
              </w:rPr>
            </w:pPr>
            <w:r>
              <w:rPr>
                <w:rFonts w:ascii="Arial" w:eastAsia="Times New Roman" w:hAnsi="Arial" w:cs="Arial"/>
                <w:color w:val="000000"/>
                <w:sz w:val="20"/>
                <w:szCs w:val="20"/>
              </w:rPr>
              <w:t>3 - 40 years</w:t>
            </w:r>
          </w:p>
        </w:tc>
      </w:tr>
      <w:tr w:rsidR="00000000" w14:paraId="3AD08B4B" w14:textId="77777777">
        <w:trPr>
          <w:divId w:val="1286808824"/>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E59091"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E7EEEF"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C5FBCC" w14:textId="77777777" w:rsidR="00000000" w:rsidRDefault="00C01C43">
            <w:pPr>
              <w:jc w:val="right"/>
              <w:rPr>
                <w:rFonts w:eastAsia="Times New Roman"/>
              </w:rPr>
            </w:pPr>
            <w:r>
              <w:rPr>
                <w:rFonts w:ascii="Arial" w:eastAsia="Times New Roman" w:hAnsi="Arial" w:cs="Arial"/>
                <w:color w:val="000000"/>
                <w:sz w:val="20"/>
                <w:szCs w:val="20"/>
              </w:rPr>
              <w:t>652.3 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59AB0F"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04324A"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0A4AE6" w14:textId="77777777" w:rsidR="00000000" w:rsidRDefault="00C01C43">
            <w:pPr>
              <w:jc w:val="right"/>
              <w:rPr>
                <w:rFonts w:eastAsia="Times New Roman"/>
              </w:rPr>
            </w:pPr>
            <w:r>
              <w:rPr>
                <w:rFonts w:ascii="Arial" w:eastAsia="Times New Roman" w:hAnsi="Arial" w:cs="Arial"/>
                <w:color w:val="000000"/>
                <w:sz w:val="20"/>
                <w:szCs w:val="20"/>
              </w:rPr>
              <w:t>654.8 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E849E0" w14:textId="77777777" w:rsidR="00000000" w:rsidRDefault="00C01C4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E66D4A4" w14:textId="77777777" w:rsidR="00000000" w:rsidRDefault="00C01C43">
            <w:pPr>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9F86F3F" w14:textId="77777777" w:rsidR="00000000" w:rsidRDefault="00C01C43">
            <w:pPr>
              <w:rPr>
                <w:rFonts w:eastAsia="Times New Roman"/>
                <w:sz w:val="20"/>
                <w:szCs w:val="20"/>
              </w:rPr>
            </w:pPr>
          </w:p>
        </w:tc>
      </w:tr>
      <w:tr w:rsidR="00000000" w14:paraId="3E13AF8A" w14:textId="77777777">
        <w:trPr>
          <w:divId w:val="1286808824"/>
        </w:trPr>
        <w:tc>
          <w:tcPr>
            <w:tcW w:w="0" w:type="auto"/>
            <w:gridSpan w:val="3"/>
            <w:shd w:val="clear" w:color="auto" w:fill="CCEEFF"/>
            <w:tcMar>
              <w:top w:w="30" w:type="dxa"/>
              <w:left w:w="20" w:type="dxa"/>
              <w:bottom w:w="30" w:type="dxa"/>
              <w:right w:w="20" w:type="dxa"/>
            </w:tcMar>
            <w:vAlign w:val="bottom"/>
            <w:hideMark/>
          </w:tcPr>
          <w:p w14:paraId="6D7C9A0E" w14:textId="77777777" w:rsidR="00000000" w:rsidRDefault="00C01C43">
            <w:pPr>
              <w:rPr>
                <w:rFonts w:eastAsia="Times New Roman"/>
              </w:rPr>
            </w:pPr>
            <w:r>
              <w:rPr>
                <w:rFonts w:ascii="Arial" w:eastAsia="Times New Roman" w:hAnsi="Arial" w:cs="Arial"/>
                <w:color w:val="000000"/>
                <w:sz w:val="20"/>
                <w:szCs w:val="20"/>
              </w:rPr>
              <w:t>Less: Accumulated depreciation and amortization</w:t>
            </w:r>
          </w:p>
        </w:tc>
        <w:tc>
          <w:tcPr>
            <w:tcW w:w="0" w:type="auto"/>
            <w:gridSpan w:val="3"/>
            <w:shd w:val="clear" w:color="auto" w:fill="CCEEFF"/>
            <w:tcMar>
              <w:top w:w="0" w:type="dxa"/>
              <w:left w:w="20" w:type="dxa"/>
              <w:bottom w:w="0" w:type="dxa"/>
              <w:right w:w="20" w:type="dxa"/>
            </w:tcMar>
            <w:vAlign w:val="center"/>
            <w:hideMark/>
          </w:tcPr>
          <w:p w14:paraId="602EF4CF"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728E6E" w14:textId="77777777" w:rsidR="00000000" w:rsidRDefault="00C01C43">
            <w:pPr>
              <w:jc w:val="right"/>
              <w:rPr>
                <w:rFonts w:eastAsia="Times New Roman"/>
              </w:rPr>
            </w:pPr>
            <w:r>
              <w:rPr>
                <w:rFonts w:ascii="Arial" w:eastAsia="Times New Roman" w:hAnsi="Arial" w:cs="Arial"/>
                <w:color w:val="000000"/>
                <w:sz w:val="20"/>
                <w:szCs w:val="20"/>
              </w:rPr>
              <w:t>309.7 </w:t>
            </w:r>
          </w:p>
        </w:tc>
        <w:tc>
          <w:tcPr>
            <w:tcW w:w="0" w:type="auto"/>
            <w:shd w:val="clear" w:color="auto" w:fill="CCEEFF"/>
            <w:tcMar>
              <w:top w:w="30" w:type="dxa"/>
              <w:left w:w="0" w:type="dxa"/>
              <w:bottom w:w="30" w:type="dxa"/>
              <w:right w:w="20" w:type="dxa"/>
            </w:tcMar>
            <w:vAlign w:val="bottom"/>
            <w:hideMark/>
          </w:tcPr>
          <w:p w14:paraId="39CED4A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C0B11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57399D" w14:textId="77777777" w:rsidR="00000000" w:rsidRDefault="00C01C43">
            <w:pPr>
              <w:jc w:val="right"/>
              <w:rPr>
                <w:rFonts w:eastAsia="Times New Roman"/>
              </w:rPr>
            </w:pPr>
            <w:r>
              <w:rPr>
                <w:rFonts w:ascii="Arial" w:eastAsia="Times New Roman" w:hAnsi="Arial" w:cs="Arial"/>
                <w:color w:val="000000"/>
                <w:sz w:val="20"/>
                <w:szCs w:val="20"/>
              </w:rPr>
              <w:t>293.9 </w:t>
            </w:r>
          </w:p>
        </w:tc>
        <w:tc>
          <w:tcPr>
            <w:tcW w:w="0" w:type="auto"/>
            <w:shd w:val="clear" w:color="auto" w:fill="CCEEFF"/>
            <w:tcMar>
              <w:top w:w="30" w:type="dxa"/>
              <w:left w:w="0" w:type="dxa"/>
              <w:bottom w:w="30" w:type="dxa"/>
              <w:right w:w="20" w:type="dxa"/>
            </w:tcMar>
            <w:vAlign w:val="bottom"/>
            <w:hideMark/>
          </w:tcPr>
          <w:p w14:paraId="1A4A2FF4"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2B1E570B" w14:textId="77777777" w:rsidR="00000000" w:rsidRDefault="00C01C43">
            <w:pPr>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45FE0BB3" w14:textId="77777777" w:rsidR="00000000" w:rsidRDefault="00C01C43">
            <w:pPr>
              <w:rPr>
                <w:rFonts w:eastAsia="Times New Roman"/>
                <w:sz w:val="20"/>
                <w:szCs w:val="20"/>
              </w:rPr>
            </w:pPr>
          </w:p>
        </w:tc>
      </w:tr>
      <w:tr w:rsidR="00000000" w14:paraId="26A1A8F2" w14:textId="77777777">
        <w:trPr>
          <w:divId w:val="1286808824"/>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4420EFC" w14:textId="77777777" w:rsidR="00000000" w:rsidRDefault="00C01C43">
            <w:pPr>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545A8D2" w14:textId="77777777" w:rsidR="00000000" w:rsidRDefault="00C01C4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6A60E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132A06" w14:textId="77777777" w:rsidR="00000000" w:rsidRDefault="00C01C43">
            <w:pPr>
              <w:jc w:val="right"/>
              <w:rPr>
                <w:rFonts w:eastAsia="Times New Roman"/>
              </w:rPr>
            </w:pPr>
            <w:r>
              <w:rPr>
                <w:rFonts w:ascii="Arial" w:eastAsia="Times New Roman" w:hAnsi="Arial" w:cs="Arial"/>
                <w:color w:val="000000"/>
                <w:sz w:val="20"/>
                <w:szCs w:val="20"/>
              </w:rPr>
              <w:t>342.6 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3FE7F1"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8B1F87E"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96E1D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632735" w14:textId="77777777" w:rsidR="00000000" w:rsidRDefault="00C01C43">
            <w:pPr>
              <w:jc w:val="right"/>
              <w:rPr>
                <w:rFonts w:eastAsia="Times New Roman"/>
              </w:rPr>
            </w:pPr>
            <w:r>
              <w:rPr>
                <w:rFonts w:ascii="Arial" w:eastAsia="Times New Roman" w:hAnsi="Arial" w:cs="Arial"/>
                <w:color w:val="000000"/>
                <w:sz w:val="20"/>
                <w:szCs w:val="20"/>
              </w:rPr>
              <w:t>360.9 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E4133E"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2BC2F616" w14:textId="77777777" w:rsidR="00000000" w:rsidRDefault="00C01C43">
            <w:pPr>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7167652F" w14:textId="77777777" w:rsidR="00000000" w:rsidRDefault="00C01C43">
            <w:pPr>
              <w:rPr>
                <w:rFonts w:eastAsia="Times New Roman"/>
                <w:sz w:val="20"/>
                <w:szCs w:val="20"/>
              </w:rPr>
            </w:pPr>
          </w:p>
        </w:tc>
      </w:tr>
    </w:tbl>
    <w:p w14:paraId="22DB22E8" w14:textId="77777777" w:rsidR="00000000" w:rsidRDefault="00C01C43">
      <w:pPr>
        <w:jc w:val="both"/>
        <w:divId w:val="1446346441"/>
        <w:rPr>
          <w:rFonts w:eastAsia="Times New Roman"/>
        </w:rPr>
      </w:pPr>
      <w:r>
        <w:rPr>
          <w:rFonts w:ascii="Arial" w:eastAsia="Times New Roman" w:hAnsi="Arial" w:cs="Arial"/>
          <w:color w:val="000000"/>
          <w:sz w:val="20"/>
          <w:szCs w:val="20"/>
        </w:rPr>
        <w:t>For 2020, 2</w:t>
      </w:r>
      <w:r>
        <w:rPr>
          <w:rFonts w:ascii="Arial" w:eastAsia="Times New Roman" w:hAnsi="Arial" w:cs="Arial"/>
          <w:color w:val="000000"/>
          <w:sz w:val="20"/>
          <w:szCs w:val="20"/>
        </w:rPr>
        <w:t>019 and 2018, we recorded depreciation expense of $52.7 million, $54.5 million and $45.6 million, respectively.</w:t>
      </w:r>
    </w:p>
    <w:p w14:paraId="4BD6F3B3" w14:textId="77777777" w:rsidR="00000000" w:rsidRDefault="00C01C43">
      <w:pPr>
        <w:jc w:val="both"/>
        <w:rPr>
          <w:rFonts w:eastAsia="Times New Roman"/>
        </w:rPr>
      </w:pPr>
      <w:r>
        <w:rPr>
          <w:rFonts w:ascii="Arial" w:eastAsia="Times New Roman" w:hAnsi="Arial" w:cs="Arial"/>
          <w:color w:val="000000"/>
          <w:sz w:val="20"/>
          <w:szCs w:val="20"/>
        </w:rPr>
        <w:t>The amount of computer software costs, including capitalized internally developed software costs and certain hosting arrangement costs are as fo</w:t>
      </w:r>
      <w:r>
        <w:rPr>
          <w:rFonts w:ascii="Arial" w:eastAsia="Times New Roman" w:hAnsi="Arial" w:cs="Arial"/>
          <w:color w:val="000000"/>
          <w:sz w:val="20"/>
          <w:szCs w:val="20"/>
        </w:rPr>
        <w:t>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6357"/>
        <w:gridCol w:w="37"/>
        <w:gridCol w:w="132"/>
        <w:gridCol w:w="747"/>
        <w:gridCol w:w="36"/>
        <w:gridCol w:w="36"/>
        <w:gridCol w:w="36"/>
        <w:gridCol w:w="36"/>
        <w:gridCol w:w="132"/>
        <w:gridCol w:w="658"/>
        <w:gridCol w:w="36"/>
      </w:tblGrid>
      <w:tr w:rsidR="00000000" w14:paraId="5D3AC8B5" w14:textId="77777777">
        <w:trPr>
          <w:divId w:val="2105566186"/>
        </w:trPr>
        <w:tc>
          <w:tcPr>
            <w:tcW w:w="50" w:type="pct"/>
            <w:vAlign w:val="center"/>
            <w:hideMark/>
          </w:tcPr>
          <w:p w14:paraId="104FF691" w14:textId="77777777" w:rsidR="00000000" w:rsidRDefault="00C01C43">
            <w:pPr>
              <w:jc w:val="both"/>
              <w:rPr>
                <w:rFonts w:eastAsia="Times New Roman"/>
              </w:rPr>
            </w:pPr>
          </w:p>
        </w:tc>
        <w:tc>
          <w:tcPr>
            <w:tcW w:w="3867" w:type="pct"/>
            <w:vAlign w:val="center"/>
            <w:hideMark/>
          </w:tcPr>
          <w:p w14:paraId="66B2D8AA" w14:textId="77777777" w:rsidR="00000000" w:rsidRDefault="00C01C43">
            <w:pPr>
              <w:rPr>
                <w:rFonts w:eastAsia="Times New Roman"/>
                <w:sz w:val="20"/>
                <w:szCs w:val="20"/>
              </w:rPr>
            </w:pPr>
          </w:p>
        </w:tc>
        <w:tc>
          <w:tcPr>
            <w:tcW w:w="5" w:type="pct"/>
            <w:vAlign w:val="center"/>
            <w:hideMark/>
          </w:tcPr>
          <w:p w14:paraId="762ED03D" w14:textId="77777777" w:rsidR="00000000" w:rsidRDefault="00C01C43">
            <w:pPr>
              <w:rPr>
                <w:rFonts w:eastAsia="Times New Roman"/>
                <w:sz w:val="20"/>
                <w:szCs w:val="20"/>
              </w:rPr>
            </w:pPr>
          </w:p>
        </w:tc>
        <w:tc>
          <w:tcPr>
            <w:tcW w:w="50" w:type="pct"/>
            <w:vAlign w:val="center"/>
            <w:hideMark/>
          </w:tcPr>
          <w:p w14:paraId="7CF7B63B" w14:textId="77777777" w:rsidR="00000000" w:rsidRDefault="00C01C43">
            <w:pPr>
              <w:rPr>
                <w:rFonts w:eastAsia="Times New Roman"/>
                <w:sz w:val="20"/>
                <w:szCs w:val="20"/>
              </w:rPr>
            </w:pPr>
          </w:p>
        </w:tc>
        <w:tc>
          <w:tcPr>
            <w:tcW w:w="480" w:type="pct"/>
            <w:vAlign w:val="center"/>
            <w:hideMark/>
          </w:tcPr>
          <w:p w14:paraId="46170239" w14:textId="77777777" w:rsidR="00000000" w:rsidRDefault="00C01C43">
            <w:pPr>
              <w:rPr>
                <w:rFonts w:eastAsia="Times New Roman"/>
                <w:sz w:val="20"/>
                <w:szCs w:val="20"/>
              </w:rPr>
            </w:pPr>
          </w:p>
        </w:tc>
        <w:tc>
          <w:tcPr>
            <w:tcW w:w="5" w:type="pct"/>
            <w:vAlign w:val="center"/>
            <w:hideMark/>
          </w:tcPr>
          <w:p w14:paraId="7BBD2A3B" w14:textId="77777777" w:rsidR="00000000" w:rsidRDefault="00C01C43">
            <w:pPr>
              <w:rPr>
                <w:rFonts w:eastAsia="Times New Roman"/>
                <w:sz w:val="20"/>
                <w:szCs w:val="20"/>
              </w:rPr>
            </w:pPr>
          </w:p>
        </w:tc>
        <w:tc>
          <w:tcPr>
            <w:tcW w:w="5" w:type="pct"/>
            <w:vAlign w:val="center"/>
            <w:hideMark/>
          </w:tcPr>
          <w:p w14:paraId="230A1E5C" w14:textId="77777777" w:rsidR="00000000" w:rsidRDefault="00C01C43">
            <w:pPr>
              <w:rPr>
                <w:rFonts w:eastAsia="Times New Roman"/>
                <w:sz w:val="20"/>
                <w:szCs w:val="20"/>
              </w:rPr>
            </w:pPr>
          </w:p>
        </w:tc>
        <w:tc>
          <w:tcPr>
            <w:tcW w:w="26" w:type="pct"/>
            <w:vAlign w:val="center"/>
            <w:hideMark/>
          </w:tcPr>
          <w:p w14:paraId="563B6BE3" w14:textId="77777777" w:rsidR="00000000" w:rsidRDefault="00C01C43">
            <w:pPr>
              <w:rPr>
                <w:rFonts w:eastAsia="Times New Roman"/>
                <w:sz w:val="20"/>
                <w:szCs w:val="20"/>
              </w:rPr>
            </w:pPr>
          </w:p>
        </w:tc>
        <w:tc>
          <w:tcPr>
            <w:tcW w:w="5" w:type="pct"/>
            <w:vAlign w:val="center"/>
            <w:hideMark/>
          </w:tcPr>
          <w:p w14:paraId="40A6D3B5" w14:textId="77777777" w:rsidR="00000000" w:rsidRDefault="00C01C43">
            <w:pPr>
              <w:rPr>
                <w:rFonts w:eastAsia="Times New Roman"/>
                <w:sz w:val="20"/>
                <w:szCs w:val="20"/>
              </w:rPr>
            </w:pPr>
          </w:p>
        </w:tc>
        <w:tc>
          <w:tcPr>
            <w:tcW w:w="50" w:type="pct"/>
            <w:vAlign w:val="center"/>
            <w:hideMark/>
          </w:tcPr>
          <w:p w14:paraId="5B14A457" w14:textId="77777777" w:rsidR="00000000" w:rsidRDefault="00C01C43">
            <w:pPr>
              <w:rPr>
                <w:rFonts w:eastAsia="Times New Roman"/>
                <w:sz w:val="20"/>
                <w:szCs w:val="20"/>
              </w:rPr>
            </w:pPr>
          </w:p>
        </w:tc>
        <w:tc>
          <w:tcPr>
            <w:tcW w:w="450" w:type="pct"/>
            <w:vAlign w:val="center"/>
            <w:hideMark/>
          </w:tcPr>
          <w:p w14:paraId="41F1726D" w14:textId="77777777" w:rsidR="00000000" w:rsidRDefault="00C01C43">
            <w:pPr>
              <w:rPr>
                <w:rFonts w:eastAsia="Times New Roman"/>
                <w:sz w:val="20"/>
                <w:szCs w:val="20"/>
              </w:rPr>
            </w:pPr>
          </w:p>
        </w:tc>
        <w:tc>
          <w:tcPr>
            <w:tcW w:w="5" w:type="pct"/>
            <w:vAlign w:val="center"/>
            <w:hideMark/>
          </w:tcPr>
          <w:p w14:paraId="66BF8AC0" w14:textId="77777777" w:rsidR="00000000" w:rsidRDefault="00C01C43">
            <w:pPr>
              <w:rPr>
                <w:rFonts w:eastAsia="Times New Roman"/>
                <w:sz w:val="20"/>
                <w:szCs w:val="20"/>
              </w:rPr>
            </w:pPr>
          </w:p>
        </w:tc>
      </w:tr>
      <w:tr w:rsidR="00000000" w14:paraId="6C57BECF" w14:textId="77777777">
        <w:trPr>
          <w:divId w:val="2105566186"/>
        </w:trPr>
        <w:tc>
          <w:tcPr>
            <w:tcW w:w="0" w:type="auto"/>
            <w:gridSpan w:val="3"/>
            <w:tcMar>
              <w:top w:w="0" w:type="dxa"/>
              <w:left w:w="20" w:type="dxa"/>
              <w:bottom w:w="0" w:type="dxa"/>
              <w:right w:w="20" w:type="dxa"/>
            </w:tcMar>
            <w:vAlign w:val="center"/>
            <w:hideMark/>
          </w:tcPr>
          <w:p w14:paraId="3332A33E" w14:textId="77777777" w:rsidR="00000000" w:rsidRDefault="00C01C43">
            <w:pPr>
              <w:rPr>
                <w:rFonts w:eastAsia="Times New Roman"/>
                <w:sz w:val="20"/>
                <w:szCs w:val="20"/>
              </w:rPr>
            </w:pPr>
          </w:p>
        </w:tc>
        <w:tc>
          <w:tcPr>
            <w:tcW w:w="0" w:type="auto"/>
            <w:gridSpan w:val="9"/>
            <w:tcMar>
              <w:top w:w="30" w:type="dxa"/>
              <w:left w:w="20" w:type="dxa"/>
              <w:bottom w:w="30" w:type="dxa"/>
              <w:right w:w="20" w:type="dxa"/>
            </w:tcMar>
            <w:vAlign w:val="bottom"/>
            <w:hideMark/>
          </w:tcPr>
          <w:p w14:paraId="38AD530C" w14:textId="77777777" w:rsidR="00000000" w:rsidRDefault="00C01C43">
            <w:pPr>
              <w:jc w:val="center"/>
              <w:rPr>
                <w:rFonts w:eastAsia="Times New Roman"/>
              </w:rPr>
            </w:pPr>
            <w:r>
              <w:rPr>
                <w:rFonts w:ascii="Arial" w:eastAsia="Times New Roman" w:hAnsi="Arial" w:cs="Arial"/>
                <w:b/>
                <w:bCs/>
                <w:color w:val="000000"/>
                <w:sz w:val="16"/>
                <w:szCs w:val="16"/>
              </w:rPr>
              <w:t>As of December 31,</w:t>
            </w:r>
          </w:p>
        </w:tc>
      </w:tr>
      <w:tr w:rsidR="00000000" w14:paraId="392D3D7B" w14:textId="77777777">
        <w:trPr>
          <w:divId w:val="2105566186"/>
        </w:trPr>
        <w:tc>
          <w:tcPr>
            <w:tcW w:w="0" w:type="auto"/>
            <w:gridSpan w:val="3"/>
            <w:tcMar>
              <w:top w:w="0" w:type="dxa"/>
              <w:left w:w="20" w:type="dxa"/>
              <w:bottom w:w="0" w:type="dxa"/>
              <w:right w:w="20" w:type="dxa"/>
            </w:tcMar>
            <w:vAlign w:val="center"/>
            <w:hideMark/>
          </w:tcPr>
          <w:p w14:paraId="7D400807"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80E610"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806AE7C"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608723" w14:textId="77777777" w:rsidR="00000000" w:rsidRDefault="00C01C43">
            <w:pPr>
              <w:jc w:val="center"/>
              <w:rPr>
                <w:rFonts w:eastAsia="Times New Roman"/>
              </w:rPr>
            </w:pPr>
            <w:r>
              <w:rPr>
                <w:rFonts w:ascii="Arial" w:eastAsia="Times New Roman" w:hAnsi="Arial" w:cs="Arial"/>
                <w:b/>
                <w:bCs/>
                <w:color w:val="000000"/>
                <w:sz w:val="16"/>
                <w:szCs w:val="16"/>
              </w:rPr>
              <w:t>2019</w:t>
            </w:r>
          </w:p>
        </w:tc>
      </w:tr>
      <w:tr w:rsidR="00000000" w14:paraId="2CF15D95" w14:textId="77777777">
        <w:trPr>
          <w:divId w:val="210556618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79C6384" w14:textId="77777777" w:rsidR="00000000" w:rsidRDefault="00C01C43">
            <w:pPr>
              <w:rPr>
                <w:rFonts w:eastAsia="Times New Roman"/>
              </w:rPr>
            </w:pPr>
            <w:r>
              <w:rPr>
                <w:rFonts w:ascii="Arial" w:eastAsia="Times New Roman" w:hAnsi="Arial" w:cs="Arial"/>
                <w:color w:val="000000"/>
                <w:sz w:val="20"/>
                <w:szCs w:val="20"/>
              </w:rPr>
              <w:t>Computer software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A26B8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044388" w14:textId="77777777" w:rsidR="00000000" w:rsidRDefault="00C01C43">
            <w:pPr>
              <w:jc w:val="right"/>
              <w:rPr>
                <w:rFonts w:eastAsia="Times New Roman"/>
              </w:rPr>
            </w:pPr>
            <w:r>
              <w:rPr>
                <w:rFonts w:ascii="Arial" w:eastAsia="Times New Roman" w:hAnsi="Arial" w:cs="Arial"/>
                <w:color w:val="000000"/>
                <w:sz w:val="20"/>
                <w:szCs w:val="20"/>
              </w:rPr>
              <w:t>191.7 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9F8D4C"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FC9519"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F0968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CCA172" w14:textId="77777777" w:rsidR="00000000" w:rsidRDefault="00C01C43">
            <w:pPr>
              <w:jc w:val="right"/>
              <w:rPr>
                <w:rFonts w:eastAsia="Times New Roman"/>
              </w:rPr>
            </w:pPr>
            <w:r>
              <w:rPr>
                <w:rFonts w:ascii="Arial" w:eastAsia="Times New Roman" w:hAnsi="Arial" w:cs="Arial"/>
                <w:color w:val="000000"/>
                <w:sz w:val="20"/>
                <w:szCs w:val="20"/>
              </w:rPr>
              <w:t>169.9 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5A86C6" w14:textId="77777777" w:rsidR="00000000" w:rsidRDefault="00C01C43">
            <w:pPr>
              <w:jc w:val="right"/>
              <w:rPr>
                <w:rFonts w:eastAsia="Times New Roman"/>
              </w:rPr>
            </w:pPr>
          </w:p>
        </w:tc>
      </w:tr>
      <w:tr w:rsidR="00000000" w14:paraId="7F72E2CF" w14:textId="77777777">
        <w:trPr>
          <w:divId w:val="2105566186"/>
        </w:trPr>
        <w:tc>
          <w:tcPr>
            <w:tcW w:w="0" w:type="auto"/>
            <w:gridSpan w:val="3"/>
            <w:shd w:val="clear" w:color="auto" w:fill="FFFFFF"/>
            <w:tcMar>
              <w:top w:w="30" w:type="dxa"/>
              <w:left w:w="20" w:type="dxa"/>
              <w:bottom w:w="30" w:type="dxa"/>
              <w:right w:w="20" w:type="dxa"/>
            </w:tcMar>
            <w:vAlign w:val="bottom"/>
            <w:hideMark/>
          </w:tcPr>
          <w:p w14:paraId="429FD626" w14:textId="77777777" w:rsidR="00000000" w:rsidRDefault="00C01C43">
            <w:pPr>
              <w:rPr>
                <w:rFonts w:eastAsia="Times New Roman"/>
              </w:rPr>
            </w:pPr>
            <w:r>
              <w:rPr>
                <w:rFonts w:ascii="Arial" w:eastAsia="Times New Roman" w:hAnsi="Arial" w:cs="Arial"/>
                <w:color w:val="000000"/>
                <w:sz w:val="20"/>
                <w:szCs w:val="20"/>
              </w:rPr>
              <w:t>Less: Accumulated amortization</w:t>
            </w:r>
          </w:p>
        </w:tc>
        <w:tc>
          <w:tcPr>
            <w:tcW w:w="0" w:type="auto"/>
            <w:gridSpan w:val="2"/>
            <w:shd w:val="clear" w:color="auto" w:fill="FFFFFF"/>
            <w:tcMar>
              <w:top w:w="30" w:type="dxa"/>
              <w:left w:w="20" w:type="dxa"/>
              <w:bottom w:w="30" w:type="dxa"/>
              <w:right w:w="0" w:type="dxa"/>
            </w:tcMar>
            <w:vAlign w:val="bottom"/>
            <w:hideMark/>
          </w:tcPr>
          <w:p w14:paraId="08E7526A" w14:textId="77777777" w:rsidR="00000000" w:rsidRDefault="00C01C43">
            <w:pPr>
              <w:jc w:val="right"/>
              <w:rPr>
                <w:rFonts w:eastAsia="Times New Roman"/>
              </w:rPr>
            </w:pPr>
            <w:r>
              <w:rPr>
                <w:rFonts w:ascii="Arial" w:eastAsia="Times New Roman" w:hAnsi="Arial" w:cs="Arial"/>
                <w:color w:val="000000"/>
                <w:sz w:val="20"/>
                <w:szCs w:val="20"/>
              </w:rPr>
              <w:t>116.1 </w:t>
            </w:r>
          </w:p>
        </w:tc>
        <w:tc>
          <w:tcPr>
            <w:tcW w:w="0" w:type="auto"/>
            <w:shd w:val="clear" w:color="auto" w:fill="FFFFFF"/>
            <w:tcMar>
              <w:top w:w="30" w:type="dxa"/>
              <w:left w:w="0" w:type="dxa"/>
              <w:bottom w:w="30" w:type="dxa"/>
              <w:right w:w="20" w:type="dxa"/>
            </w:tcMar>
            <w:vAlign w:val="bottom"/>
            <w:hideMark/>
          </w:tcPr>
          <w:p w14:paraId="2D51617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1595A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1A3B8C" w14:textId="77777777" w:rsidR="00000000" w:rsidRDefault="00C01C43">
            <w:pPr>
              <w:jc w:val="right"/>
              <w:rPr>
                <w:rFonts w:eastAsia="Times New Roman"/>
              </w:rPr>
            </w:pPr>
            <w:r>
              <w:rPr>
                <w:rFonts w:ascii="Arial" w:eastAsia="Times New Roman" w:hAnsi="Arial" w:cs="Arial"/>
                <w:color w:val="000000"/>
                <w:sz w:val="20"/>
                <w:szCs w:val="20"/>
              </w:rPr>
              <w:t>110.0 </w:t>
            </w:r>
          </w:p>
        </w:tc>
        <w:tc>
          <w:tcPr>
            <w:tcW w:w="0" w:type="auto"/>
            <w:shd w:val="clear" w:color="auto" w:fill="FFFFFF"/>
            <w:tcMar>
              <w:top w:w="30" w:type="dxa"/>
              <w:left w:w="0" w:type="dxa"/>
              <w:bottom w:w="30" w:type="dxa"/>
              <w:right w:w="20" w:type="dxa"/>
            </w:tcMar>
            <w:vAlign w:val="bottom"/>
            <w:hideMark/>
          </w:tcPr>
          <w:p w14:paraId="7A6B3F93" w14:textId="77777777" w:rsidR="00000000" w:rsidRDefault="00C01C43">
            <w:pPr>
              <w:jc w:val="right"/>
              <w:rPr>
                <w:rFonts w:eastAsia="Times New Roman"/>
              </w:rPr>
            </w:pPr>
          </w:p>
        </w:tc>
      </w:tr>
      <w:tr w:rsidR="00000000" w14:paraId="70887225" w14:textId="77777777">
        <w:trPr>
          <w:divId w:val="2105566186"/>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75741B81" w14:textId="77777777" w:rsidR="00000000" w:rsidRDefault="00C01C43">
            <w:pPr>
              <w:rPr>
                <w:rFonts w:eastAsia="Times New Roman"/>
              </w:rPr>
            </w:pPr>
            <w:r>
              <w:rPr>
                <w:rFonts w:ascii="Arial" w:eastAsia="Times New Roman" w:hAnsi="Arial" w:cs="Arial"/>
                <w:color w:val="000000"/>
                <w:sz w:val="20"/>
                <w:szCs w:val="20"/>
              </w:rPr>
              <w:t>Computer software costs,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500AE5"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BE9D60" w14:textId="77777777" w:rsidR="00000000" w:rsidRDefault="00C01C43">
            <w:pPr>
              <w:jc w:val="right"/>
              <w:rPr>
                <w:rFonts w:eastAsia="Times New Roman"/>
              </w:rPr>
            </w:pPr>
            <w:r>
              <w:rPr>
                <w:rFonts w:ascii="Arial" w:eastAsia="Times New Roman" w:hAnsi="Arial" w:cs="Arial"/>
                <w:color w:val="000000"/>
                <w:sz w:val="20"/>
                <w:szCs w:val="20"/>
              </w:rPr>
              <w:t>75.6 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A84FD5"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E0B74B3"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88B41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F71D7FB" w14:textId="77777777" w:rsidR="00000000" w:rsidRDefault="00C01C43">
            <w:pPr>
              <w:jc w:val="right"/>
              <w:rPr>
                <w:rFonts w:eastAsia="Times New Roman"/>
              </w:rPr>
            </w:pPr>
            <w:r>
              <w:rPr>
                <w:rFonts w:ascii="Arial" w:eastAsia="Times New Roman" w:hAnsi="Arial" w:cs="Arial"/>
                <w:color w:val="000000"/>
                <w:sz w:val="20"/>
                <w:szCs w:val="20"/>
              </w:rPr>
              <w:t>59.9 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779B29" w14:textId="77777777" w:rsidR="00000000" w:rsidRDefault="00C01C43">
            <w:pPr>
              <w:jc w:val="right"/>
              <w:rPr>
                <w:rFonts w:eastAsia="Times New Roman"/>
              </w:rPr>
            </w:pPr>
          </w:p>
        </w:tc>
      </w:tr>
    </w:tbl>
    <w:p w14:paraId="3D8FF831" w14:textId="77777777" w:rsidR="00000000" w:rsidRDefault="00C01C43">
      <w:pPr>
        <w:jc w:val="both"/>
        <w:rPr>
          <w:rFonts w:eastAsia="Times New Roman"/>
        </w:rPr>
      </w:pPr>
    </w:p>
    <w:p w14:paraId="5731484A" w14:textId="77777777" w:rsidR="00000000" w:rsidRDefault="00C01C43">
      <w:pPr>
        <w:jc w:val="both"/>
        <w:divId w:val="808716571"/>
        <w:rPr>
          <w:rFonts w:eastAsia="Times New Roman"/>
        </w:rPr>
      </w:pPr>
      <w:r>
        <w:rPr>
          <w:rFonts w:ascii="Arial" w:eastAsia="Times New Roman" w:hAnsi="Arial" w:cs="Arial"/>
          <w:color w:val="000000"/>
          <w:sz w:val="20"/>
          <w:szCs w:val="20"/>
        </w:rPr>
        <w:t>Included in capitalized computer software costs are costs incurred in connection with software development in progress of $13.7 million and $22.5 million as of December 31, 2020 and 2019, respectively. For 2020, 2019 and 2018, we recorded amortization expe</w:t>
      </w:r>
      <w:r>
        <w:rPr>
          <w:rFonts w:ascii="Arial" w:eastAsia="Times New Roman" w:hAnsi="Arial" w:cs="Arial"/>
          <w:color w:val="000000"/>
          <w:sz w:val="20"/>
          <w:szCs w:val="20"/>
        </w:rPr>
        <w:t>nse related to computer software costs of $18.5 million, $17.8 million and $10.9 million, respectively.</w:t>
      </w:r>
    </w:p>
    <w:p w14:paraId="18AF2C95" w14:textId="77777777" w:rsidR="00000000" w:rsidRDefault="00C01C43">
      <w:pPr>
        <w:jc w:val="both"/>
        <w:divId w:val="1543591978"/>
        <w:rPr>
          <w:rFonts w:eastAsia="Times New Roman"/>
        </w:rPr>
      </w:pPr>
    </w:p>
    <w:p w14:paraId="134E009C" w14:textId="77777777" w:rsidR="00000000" w:rsidRDefault="00C01C43">
      <w:pPr>
        <w:jc w:val="both"/>
        <w:divId w:val="1906867789"/>
        <w:rPr>
          <w:rFonts w:eastAsia="Times New Roman"/>
        </w:rPr>
      </w:pPr>
      <w:r>
        <w:rPr>
          <w:rFonts w:ascii="Arial" w:eastAsia="Times New Roman" w:hAnsi="Arial" w:cs="Arial"/>
          <w:b/>
          <w:bCs/>
          <w:color w:val="000000"/>
          <w:sz w:val="20"/>
          <w:szCs w:val="20"/>
        </w:rPr>
        <w:t>7.</w:t>
      </w:r>
      <w:r>
        <w:rPr>
          <w:rFonts w:ascii="Arial" w:eastAsia="Times New Roman" w:hAnsi="Arial" w:cs="Arial"/>
          <w:color w:val="000000"/>
          <w:sz w:val="20"/>
          <w:szCs w:val="20"/>
        </w:rPr>
        <w:t xml:space="preserve"> </w:t>
      </w:r>
      <w:r>
        <w:rPr>
          <w:rFonts w:ascii="Arial" w:eastAsia="Times New Roman" w:hAnsi="Arial" w:cs="Arial"/>
          <w:b/>
          <w:bCs/>
          <w:color w:val="000000"/>
          <w:sz w:val="20"/>
          <w:szCs w:val="20"/>
        </w:rPr>
        <w:t>Goodwill and Identifiable Intangible Assets</w:t>
      </w:r>
    </w:p>
    <w:p w14:paraId="327A2828" w14:textId="77777777" w:rsidR="00000000" w:rsidRDefault="00C01C43">
      <w:pPr>
        <w:jc w:val="both"/>
        <w:divId w:val="68693455"/>
        <w:rPr>
          <w:rFonts w:eastAsia="Times New Roman"/>
        </w:rPr>
      </w:pPr>
      <w:r>
        <w:rPr>
          <w:rFonts w:ascii="Arial" w:eastAsia="Times New Roman" w:hAnsi="Arial" w:cs="Arial"/>
          <w:color w:val="000000"/>
          <w:sz w:val="20"/>
          <w:szCs w:val="20"/>
        </w:rPr>
        <w:t>In 2020, we used a combination of qualitative and quantitative factors to assess goodwill and identifiable intangible assets for impairment for all of our reporting units.  As a result of performing these assessments, we determined that no impairment exist</w:t>
      </w:r>
      <w:r>
        <w:rPr>
          <w:rFonts w:ascii="Arial" w:eastAsia="Times New Roman" w:hAnsi="Arial" w:cs="Arial"/>
          <w:color w:val="000000"/>
          <w:sz w:val="20"/>
          <w:szCs w:val="20"/>
        </w:rPr>
        <w:t>ed as of December 31, 2020 and, therefore, recorded no write-downs to any of our goodwill or identifiable intangible assets not subject to amortization.</w:t>
      </w:r>
    </w:p>
    <w:p w14:paraId="136344F3" w14:textId="77777777" w:rsidR="00000000" w:rsidRDefault="00C01C43">
      <w:pPr>
        <w:jc w:val="center"/>
        <w:divId w:val="1650359112"/>
        <w:rPr>
          <w:rFonts w:eastAsia="Times New Roman"/>
        </w:rPr>
      </w:pPr>
      <w:r>
        <w:rPr>
          <w:rFonts w:ascii="Arial" w:eastAsia="Times New Roman" w:hAnsi="Arial" w:cs="Arial"/>
          <w:color w:val="000000"/>
          <w:sz w:val="16"/>
          <w:szCs w:val="16"/>
        </w:rPr>
        <w:t>68</w:t>
      </w:r>
    </w:p>
    <w:p w14:paraId="6258DD84" w14:textId="77777777" w:rsidR="00000000" w:rsidRDefault="00C01C43">
      <w:pPr>
        <w:rPr>
          <w:rFonts w:eastAsia="Times New Roman"/>
        </w:rPr>
      </w:pPr>
      <w:r>
        <w:rPr>
          <w:rFonts w:eastAsia="Times New Roman"/>
        </w:rPr>
        <w:pict w14:anchorId="5D8FC810">
          <v:rect id="_x0000_i1097" style="width:0;height:1.5pt" o:hralign="center" o:hrstd="t" o:hr="t" fillcolor="#a0a0a0" stroked="f"/>
        </w:pict>
      </w:r>
    </w:p>
    <w:p w14:paraId="0636F67C" w14:textId="77777777" w:rsidR="00000000" w:rsidRDefault="00C01C43">
      <w:pPr>
        <w:divId w:val="1345978466"/>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059AAB3F" w14:textId="77777777" w:rsidR="00000000" w:rsidRDefault="00C01C43">
      <w:pPr>
        <w:jc w:val="both"/>
        <w:divId w:val="270404450"/>
        <w:rPr>
          <w:rFonts w:eastAsia="Times New Roman"/>
        </w:rPr>
      </w:pPr>
      <w:r>
        <w:rPr>
          <w:rFonts w:ascii="Arial" w:eastAsia="Times New Roman" w:hAnsi="Arial" w:cs="Arial"/>
          <w:b/>
          <w:bCs/>
          <w:color w:val="000000"/>
          <w:sz w:val="20"/>
          <w:szCs w:val="20"/>
        </w:rPr>
        <w:t>Goodwill</w:t>
      </w:r>
    </w:p>
    <w:p w14:paraId="19A84C35" w14:textId="77777777" w:rsidR="00000000" w:rsidRDefault="00C01C43">
      <w:pPr>
        <w:jc w:val="both"/>
        <w:divId w:val="1012997381"/>
        <w:rPr>
          <w:rFonts w:eastAsia="Times New Roman"/>
        </w:rPr>
      </w:pPr>
      <w:r>
        <w:rPr>
          <w:rFonts w:ascii="Arial" w:eastAsia="Times New Roman" w:hAnsi="Arial" w:cs="Arial"/>
          <w:color w:val="000000"/>
          <w:sz w:val="20"/>
          <w:szCs w:val="20"/>
        </w:rPr>
        <w:t>The following table provides information regarding changes in goodwill (in millions):</w:t>
      </w:r>
    </w:p>
    <w:tbl>
      <w:tblPr>
        <w:tblW w:w="4948" w:type="pct"/>
        <w:tblCellMar>
          <w:top w:w="15" w:type="dxa"/>
          <w:left w:w="15" w:type="dxa"/>
          <w:bottom w:w="15" w:type="dxa"/>
          <w:right w:w="15" w:type="dxa"/>
        </w:tblCellMar>
        <w:tblLook w:val="04A0" w:firstRow="1" w:lastRow="0" w:firstColumn="1" w:lastColumn="0" w:noHBand="0" w:noVBand="1"/>
      </w:tblPr>
      <w:tblGrid>
        <w:gridCol w:w="38"/>
        <w:gridCol w:w="5361"/>
        <w:gridCol w:w="37"/>
        <w:gridCol w:w="132"/>
        <w:gridCol w:w="739"/>
        <w:gridCol w:w="36"/>
        <w:gridCol w:w="36"/>
        <w:gridCol w:w="36"/>
        <w:gridCol w:w="36"/>
        <w:gridCol w:w="132"/>
        <w:gridCol w:w="716"/>
        <w:gridCol w:w="36"/>
        <w:gridCol w:w="36"/>
        <w:gridCol w:w="36"/>
        <w:gridCol w:w="36"/>
        <w:gridCol w:w="36"/>
        <w:gridCol w:w="132"/>
        <w:gridCol w:w="573"/>
        <w:gridCol w:w="36"/>
      </w:tblGrid>
      <w:tr w:rsidR="00000000" w14:paraId="127F1A72" w14:textId="77777777">
        <w:trPr>
          <w:divId w:val="1750226236"/>
        </w:trPr>
        <w:tc>
          <w:tcPr>
            <w:tcW w:w="50" w:type="pct"/>
            <w:vAlign w:val="center"/>
            <w:hideMark/>
          </w:tcPr>
          <w:p w14:paraId="68804932" w14:textId="77777777" w:rsidR="00000000" w:rsidRDefault="00C01C43">
            <w:pPr>
              <w:jc w:val="both"/>
              <w:rPr>
                <w:rFonts w:eastAsia="Times New Roman"/>
              </w:rPr>
            </w:pPr>
          </w:p>
        </w:tc>
        <w:tc>
          <w:tcPr>
            <w:tcW w:w="3312" w:type="pct"/>
            <w:vAlign w:val="center"/>
            <w:hideMark/>
          </w:tcPr>
          <w:p w14:paraId="1C84E8FE" w14:textId="77777777" w:rsidR="00000000" w:rsidRDefault="00C01C43">
            <w:pPr>
              <w:rPr>
                <w:rFonts w:eastAsia="Times New Roman"/>
                <w:sz w:val="20"/>
                <w:szCs w:val="20"/>
              </w:rPr>
            </w:pPr>
          </w:p>
        </w:tc>
        <w:tc>
          <w:tcPr>
            <w:tcW w:w="5" w:type="pct"/>
            <w:vAlign w:val="center"/>
            <w:hideMark/>
          </w:tcPr>
          <w:p w14:paraId="31EB2C58" w14:textId="77777777" w:rsidR="00000000" w:rsidRDefault="00C01C43">
            <w:pPr>
              <w:rPr>
                <w:rFonts w:eastAsia="Times New Roman"/>
                <w:sz w:val="20"/>
                <w:szCs w:val="20"/>
              </w:rPr>
            </w:pPr>
          </w:p>
        </w:tc>
        <w:tc>
          <w:tcPr>
            <w:tcW w:w="50" w:type="pct"/>
            <w:vAlign w:val="center"/>
            <w:hideMark/>
          </w:tcPr>
          <w:p w14:paraId="2610FE2B" w14:textId="77777777" w:rsidR="00000000" w:rsidRDefault="00C01C43">
            <w:pPr>
              <w:rPr>
                <w:rFonts w:eastAsia="Times New Roman"/>
                <w:sz w:val="20"/>
                <w:szCs w:val="20"/>
              </w:rPr>
            </w:pPr>
          </w:p>
        </w:tc>
        <w:tc>
          <w:tcPr>
            <w:tcW w:w="484" w:type="pct"/>
            <w:vAlign w:val="center"/>
            <w:hideMark/>
          </w:tcPr>
          <w:p w14:paraId="74F3750F" w14:textId="77777777" w:rsidR="00000000" w:rsidRDefault="00C01C43">
            <w:pPr>
              <w:rPr>
                <w:rFonts w:eastAsia="Times New Roman"/>
                <w:sz w:val="20"/>
                <w:szCs w:val="20"/>
              </w:rPr>
            </w:pPr>
          </w:p>
        </w:tc>
        <w:tc>
          <w:tcPr>
            <w:tcW w:w="5" w:type="pct"/>
            <w:vAlign w:val="center"/>
            <w:hideMark/>
          </w:tcPr>
          <w:p w14:paraId="3ADEBE8E" w14:textId="77777777" w:rsidR="00000000" w:rsidRDefault="00C01C43">
            <w:pPr>
              <w:rPr>
                <w:rFonts w:eastAsia="Times New Roman"/>
                <w:sz w:val="20"/>
                <w:szCs w:val="20"/>
              </w:rPr>
            </w:pPr>
          </w:p>
        </w:tc>
        <w:tc>
          <w:tcPr>
            <w:tcW w:w="5" w:type="pct"/>
            <w:vAlign w:val="center"/>
            <w:hideMark/>
          </w:tcPr>
          <w:p w14:paraId="0E411C0A" w14:textId="77777777" w:rsidR="00000000" w:rsidRDefault="00C01C43">
            <w:pPr>
              <w:rPr>
                <w:rFonts w:eastAsia="Times New Roman"/>
                <w:sz w:val="20"/>
                <w:szCs w:val="20"/>
              </w:rPr>
            </w:pPr>
          </w:p>
        </w:tc>
        <w:tc>
          <w:tcPr>
            <w:tcW w:w="26" w:type="pct"/>
            <w:vAlign w:val="center"/>
            <w:hideMark/>
          </w:tcPr>
          <w:p w14:paraId="72DD65ED" w14:textId="77777777" w:rsidR="00000000" w:rsidRDefault="00C01C43">
            <w:pPr>
              <w:rPr>
                <w:rFonts w:eastAsia="Times New Roman"/>
                <w:sz w:val="20"/>
                <w:szCs w:val="20"/>
              </w:rPr>
            </w:pPr>
          </w:p>
        </w:tc>
        <w:tc>
          <w:tcPr>
            <w:tcW w:w="5" w:type="pct"/>
            <w:vAlign w:val="center"/>
            <w:hideMark/>
          </w:tcPr>
          <w:p w14:paraId="329C1B14" w14:textId="77777777" w:rsidR="00000000" w:rsidRDefault="00C01C43">
            <w:pPr>
              <w:rPr>
                <w:rFonts w:eastAsia="Times New Roman"/>
                <w:sz w:val="20"/>
                <w:szCs w:val="20"/>
              </w:rPr>
            </w:pPr>
          </w:p>
        </w:tc>
        <w:tc>
          <w:tcPr>
            <w:tcW w:w="50" w:type="pct"/>
            <w:vAlign w:val="center"/>
            <w:hideMark/>
          </w:tcPr>
          <w:p w14:paraId="29C789FC" w14:textId="77777777" w:rsidR="00000000" w:rsidRDefault="00C01C43">
            <w:pPr>
              <w:rPr>
                <w:rFonts w:eastAsia="Times New Roman"/>
                <w:sz w:val="20"/>
                <w:szCs w:val="20"/>
              </w:rPr>
            </w:pPr>
          </w:p>
        </w:tc>
        <w:tc>
          <w:tcPr>
            <w:tcW w:w="498" w:type="pct"/>
            <w:vAlign w:val="center"/>
            <w:hideMark/>
          </w:tcPr>
          <w:p w14:paraId="67055978" w14:textId="77777777" w:rsidR="00000000" w:rsidRDefault="00C01C43">
            <w:pPr>
              <w:rPr>
                <w:rFonts w:eastAsia="Times New Roman"/>
                <w:sz w:val="20"/>
                <w:szCs w:val="20"/>
              </w:rPr>
            </w:pPr>
          </w:p>
        </w:tc>
        <w:tc>
          <w:tcPr>
            <w:tcW w:w="5" w:type="pct"/>
            <w:vAlign w:val="center"/>
            <w:hideMark/>
          </w:tcPr>
          <w:p w14:paraId="53463107" w14:textId="77777777" w:rsidR="00000000" w:rsidRDefault="00C01C43">
            <w:pPr>
              <w:rPr>
                <w:rFonts w:eastAsia="Times New Roman"/>
                <w:sz w:val="20"/>
                <w:szCs w:val="20"/>
              </w:rPr>
            </w:pPr>
          </w:p>
        </w:tc>
        <w:tc>
          <w:tcPr>
            <w:tcW w:w="5" w:type="pct"/>
            <w:vAlign w:val="center"/>
            <w:hideMark/>
          </w:tcPr>
          <w:p w14:paraId="46D3AA9E" w14:textId="77777777" w:rsidR="00000000" w:rsidRDefault="00C01C43">
            <w:pPr>
              <w:rPr>
                <w:rFonts w:eastAsia="Times New Roman"/>
                <w:sz w:val="20"/>
                <w:szCs w:val="20"/>
              </w:rPr>
            </w:pPr>
          </w:p>
        </w:tc>
        <w:tc>
          <w:tcPr>
            <w:tcW w:w="26" w:type="pct"/>
            <w:vAlign w:val="center"/>
            <w:hideMark/>
          </w:tcPr>
          <w:p w14:paraId="41453768" w14:textId="77777777" w:rsidR="00000000" w:rsidRDefault="00C01C43">
            <w:pPr>
              <w:rPr>
                <w:rFonts w:eastAsia="Times New Roman"/>
                <w:sz w:val="20"/>
                <w:szCs w:val="20"/>
              </w:rPr>
            </w:pPr>
          </w:p>
        </w:tc>
        <w:tc>
          <w:tcPr>
            <w:tcW w:w="5" w:type="pct"/>
            <w:vAlign w:val="center"/>
            <w:hideMark/>
          </w:tcPr>
          <w:p w14:paraId="176B599D" w14:textId="77777777" w:rsidR="00000000" w:rsidRDefault="00C01C43">
            <w:pPr>
              <w:rPr>
                <w:rFonts w:eastAsia="Times New Roman"/>
                <w:sz w:val="20"/>
                <w:szCs w:val="20"/>
              </w:rPr>
            </w:pPr>
          </w:p>
        </w:tc>
        <w:tc>
          <w:tcPr>
            <w:tcW w:w="0" w:type="auto"/>
            <w:vAlign w:val="center"/>
            <w:hideMark/>
          </w:tcPr>
          <w:p w14:paraId="0C59A4CB" w14:textId="77777777" w:rsidR="00000000" w:rsidRDefault="00C01C43">
            <w:pPr>
              <w:rPr>
                <w:rFonts w:eastAsia="Times New Roman"/>
                <w:sz w:val="20"/>
                <w:szCs w:val="20"/>
              </w:rPr>
            </w:pPr>
          </w:p>
        </w:tc>
        <w:tc>
          <w:tcPr>
            <w:tcW w:w="50" w:type="pct"/>
            <w:vAlign w:val="center"/>
            <w:hideMark/>
          </w:tcPr>
          <w:p w14:paraId="6613C188" w14:textId="77777777" w:rsidR="00000000" w:rsidRDefault="00C01C43">
            <w:pPr>
              <w:rPr>
                <w:rFonts w:eastAsia="Times New Roman"/>
                <w:sz w:val="20"/>
                <w:szCs w:val="20"/>
              </w:rPr>
            </w:pPr>
          </w:p>
        </w:tc>
        <w:tc>
          <w:tcPr>
            <w:tcW w:w="410" w:type="pct"/>
            <w:vAlign w:val="center"/>
            <w:hideMark/>
          </w:tcPr>
          <w:p w14:paraId="1EF46AAE" w14:textId="77777777" w:rsidR="00000000" w:rsidRDefault="00C01C43">
            <w:pPr>
              <w:rPr>
                <w:rFonts w:eastAsia="Times New Roman"/>
                <w:sz w:val="20"/>
                <w:szCs w:val="20"/>
              </w:rPr>
            </w:pPr>
          </w:p>
        </w:tc>
        <w:tc>
          <w:tcPr>
            <w:tcW w:w="5" w:type="pct"/>
            <w:vAlign w:val="center"/>
            <w:hideMark/>
          </w:tcPr>
          <w:p w14:paraId="21AD5ABF" w14:textId="77777777" w:rsidR="00000000" w:rsidRDefault="00C01C43">
            <w:pPr>
              <w:rPr>
                <w:rFonts w:eastAsia="Times New Roman"/>
                <w:sz w:val="20"/>
                <w:szCs w:val="20"/>
              </w:rPr>
            </w:pPr>
          </w:p>
        </w:tc>
      </w:tr>
      <w:tr w:rsidR="00000000" w14:paraId="49075C55" w14:textId="77777777">
        <w:trPr>
          <w:divId w:val="1750226236"/>
        </w:trPr>
        <w:tc>
          <w:tcPr>
            <w:tcW w:w="0" w:type="auto"/>
            <w:gridSpan w:val="3"/>
            <w:tcMar>
              <w:top w:w="0" w:type="dxa"/>
              <w:left w:w="20" w:type="dxa"/>
              <w:bottom w:w="0" w:type="dxa"/>
              <w:right w:w="20" w:type="dxa"/>
            </w:tcMar>
            <w:vAlign w:val="center"/>
            <w:hideMark/>
          </w:tcPr>
          <w:p w14:paraId="31263EB6"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2340A7E8" w14:textId="77777777" w:rsidR="00000000" w:rsidRDefault="00C01C43">
            <w:pPr>
              <w:jc w:val="center"/>
              <w:rPr>
                <w:rFonts w:eastAsia="Times New Roman"/>
              </w:rPr>
            </w:pPr>
            <w:r>
              <w:rPr>
                <w:rFonts w:ascii="Arial" w:eastAsia="Times New Roman" w:hAnsi="Arial" w:cs="Arial"/>
                <w:b/>
                <w:bCs/>
                <w:color w:val="000000"/>
                <w:sz w:val="16"/>
                <w:szCs w:val="16"/>
              </w:rPr>
              <w:t>Aviation</w:t>
            </w:r>
            <w:r>
              <w:rPr>
                <w:rFonts w:ascii="Arial" w:eastAsia="Times New Roman" w:hAnsi="Arial" w:cs="Arial"/>
                <w:b/>
                <w:bCs/>
                <w:color w:val="000000"/>
                <w:sz w:val="16"/>
                <w:szCs w:val="16"/>
              </w:rPr>
              <w:br/>
              <w:t>Segment</w:t>
            </w:r>
          </w:p>
        </w:tc>
        <w:tc>
          <w:tcPr>
            <w:tcW w:w="0" w:type="auto"/>
            <w:gridSpan w:val="3"/>
            <w:tcMar>
              <w:top w:w="0" w:type="dxa"/>
              <w:left w:w="20" w:type="dxa"/>
              <w:bottom w:w="0" w:type="dxa"/>
              <w:right w:w="20" w:type="dxa"/>
            </w:tcMar>
            <w:vAlign w:val="center"/>
            <w:hideMark/>
          </w:tcPr>
          <w:p w14:paraId="02763651"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0C0E7C66" w14:textId="77777777" w:rsidR="00000000" w:rsidRDefault="00C01C43">
            <w:pPr>
              <w:jc w:val="center"/>
              <w:rPr>
                <w:rFonts w:eastAsia="Times New Roman"/>
              </w:rPr>
            </w:pPr>
            <w:r>
              <w:rPr>
                <w:rFonts w:ascii="Arial" w:eastAsia="Times New Roman" w:hAnsi="Arial" w:cs="Arial"/>
                <w:b/>
                <w:bCs/>
                <w:color w:val="000000"/>
                <w:sz w:val="16"/>
                <w:szCs w:val="16"/>
              </w:rPr>
              <w:t>Land</w:t>
            </w:r>
            <w:r>
              <w:rPr>
                <w:rFonts w:ascii="Arial" w:eastAsia="Times New Roman" w:hAnsi="Arial" w:cs="Arial"/>
                <w:b/>
                <w:bCs/>
                <w:color w:val="000000"/>
                <w:sz w:val="16"/>
                <w:szCs w:val="16"/>
              </w:rPr>
              <w:br/>
              <w:t>Segment</w:t>
            </w:r>
          </w:p>
        </w:tc>
        <w:tc>
          <w:tcPr>
            <w:tcW w:w="0" w:type="auto"/>
            <w:gridSpan w:val="3"/>
            <w:tcMar>
              <w:top w:w="0" w:type="dxa"/>
              <w:left w:w="20" w:type="dxa"/>
              <w:bottom w:w="0" w:type="dxa"/>
              <w:right w:w="20" w:type="dxa"/>
            </w:tcMar>
            <w:vAlign w:val="center"/>
            <w:hideMark/>
          </w:tcPr>
          <w:p w14:paraId="22C706A9" w14:textId="77777777" w:rsidR="00000000" w:rsidRDefault="00C01C43">
            <w:pPr>
              <w:jc w:val="center"/>
              <w:rPr>
                <w:rFonts w:eastAsia="Times New Roman"/>
              </w:rPr>
            </w:pPr>
          </w:p>
        </w:tc>
        <w:tc>
          <w:tcPr>
            <w:tcW w:w="0" w:type="auto"/>
            <w:vAlign w:val="center"/>
            <w:hideMark/>
          </w:tcPr>
          <w:p w14:paraId="4857554E"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59706CB6" w14:textId="77777777" w:rsidR="00000000" w:rsidRDefault="00C01C43">
            <w:pPr>
              <w:jc w:val="center"/>
              <w:rPr>
                <w:rFonts w:eastAsia="Times New Roman"/>
              </w:rPr>
            </w:pPr>
            <w:r>
              <w:rPr>
                <w:rFonts w:ascii="Arial" w:eastAsia="Times New Roman" w:hAnsi="Arial" w:cs="Arial"/>
                <w:b/>
                <w:bCs/>
                <w:color w:val="000000"/>
                <w:sz w:val="16"/>
                <w:szCs w:val="16"/>
              </w:rPr>
              <w:t>Total</w:t>
            </w:r>
          </w:p>
        </w:tc>
      </w:tr>
      <w:tr w:rsidR="00000000" w14:paraId="68D26121" w14:textId="77777777">
        <w:trPr>
          <w:divId w:val="175022623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6DF708" w14:textId="77777777" w:rsidR="00000000" w:rsidRDefault="00C01C43">
            <w:pPr>
              <w:rPr>
                <w:rFonts w:eastAsia="Times New Roman"/>
              </w:rPr>
            </w:pPr>
            <w:r>
              <w:rPr>
                <w:rFonts w:ascii="Arial" w:eastAsia="Times New Roman" w:hAnsi="Arial" w:cs="Arial"/>
                <w:color w:val="000000"/>
                <w:sz w:val="20"/>
                <w:szCs w:val="20"/>
              </w:rPr>
              <w:t>As of December 31, 2018</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AAB2B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960066" w14:textId="77777777" w:rsidR="00000000" w:rsidRDefault="00C01C43">
            <w:pPr>
              <w:jc w:val="right"/>
              <w:rPr>
                <w:rFonts w:eastAsia="Times New Roman"/>
              </w:rPr>
            </w:pPr>
            <w:r>
              <w:rPr>
                <w:rFonts w:ascii="Arial" w:eastAsia="Times New Roman" w:hAnsi="Arial" w:cs="Arial"/>
                <w:color w:val="000000"/>
                <w:sz w:val="20"/>
                <w:szCs w:val="20"/>
              </w:rPr>
              <w:t>322.9 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9A2990"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39515C"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F2D3F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B9B41F" w14:textId="77777777" w:rsidR="00000000" w:rsidRDefault="00C01C43">
            <w:pPr>
              <w:jc w:val="right"/>
              <w:rPr>
                <w:rFonts w:eastAsia="Times New Roman"/>
              </w:rPr>
            </w:pPr>
            <w:r>
              <w:rPr>
                <w:rFonts w:ascii="Arial" w:eastAsia="Times New Roman" w:hAnsi="Arial" w:cs="Arial"/>
                <w:color w:val="000000"/>
                <w:sz w:val="20"/>
                <w:szCs w:val="20"/>
              </w:rPr>
              <w:t>529.7 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3FDCE2"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0998D9" w14:textId="77777777" w:rsidR="00000000" w:rsidRDefault="00C01C43">
            <w:pPr>
              <w:jc w:val="right"/>
              <w:rPr>
                <w:rFonts w:eastAsia="Times New Roman"/>
                <w:sz w:val="20"/>
                <w:szCs w:val="20"/>
              </w:rPr>
            </w:pPr>
          </w:p>
        </w:tc>
        <w:tc>
          <w:tcPr>
            <w:tcW w:w="0" w:type="auto"/>
            <w:vAlign w:val="center"/>
            <w:hideMark/>
          </w:tcPr>
          <w:p w14:paraId="0239B95E" w14:textId="77777777" w:rsidR="00000000" w:rsidRDefault="00C01C43">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88FA4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F6594D" w14:textId="77777777" w:rsidR="00000000" w:rsidRDefault="00C01C43">
            <w:pPr>
              <w:jc w:val="right"/>
              <w:rPr>
                <w:rFonts w:eastAsia="Times New Roman"/>
              </w:rPr>
            </w:pPr>
            <w:r>
              <w:rPr>
                <w:rFonts w:ascii="Arial" w:eastAsia="Times New Roman" w:hAnsi="Arial" w:cs="Arial"/>
                <w:color w:val="000000"/>
                <w:sz w:val="20"/>
                <w:szCs w:val="20"/>
              </w:rPr>
              <w:t>852.7 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CCB1EC" w14:textId="77777777" w:rsidR="00000000" w:rsidRDefault="00C01C43">
            <w:pPr>
              <w:jc w:val="right"/>
              <w:rPr>
                <w:rFonts w:eastAsia="Times New Roman"/>
              </w:rPr>
            </w:pPr>
          </w:p>
        </w:tc>
      </w:tr>
      <w:tr w:rsidR="00000000" w14:paraId="3E73B6D7" w14:textId="77777777">
        <w:trPr>
          <w:divId w:val="1750226236"/>
        </w:trPr>
        <w:tc>
          <w:tcPr>
            <w:tcW w:w="0" w:type="auto"/>
            <w:gridSpan w:val="3"/>
            <w:shd w:val="clear" w:color="auto" w:fill="FFFFFF"/>
            <w:tcMar>
              <w:top w:w="30" w:type="dxa"/>
              <w:left w:w="20" w:type="dxa"/>
              <w:bottom w:w="30" w:type="dxa"/>
              <w:right w:w="20" w:type="dxa"/>
            </w:tcMar>
            <w:vAlign w:val="bottom"/>
            <w:hideMark/>
          </w:tcPr>
          <w:p w14:paraId="69E52A3E" w14:textId="77777777" w:rsidR="00000000" w:rsidRDefault="00C01C43">
            <w:pPr>
              <w:rPr>
                <w:rFonts w:eastAsia="Times New Roman"/>
              </w:rPr>
            </w:pPr>
            <w:r>
              <w:rPr>
                <w:rFonts w:ascii="Arial" w:eastAsia="Times New Roman" w:hAnsi="Arial" w:cs="Arial"/>
                <w:color w:val="000000"/>
                <w:sz w:val="20"/>
                <w:szCs w:val="20"/>
              </w:rPr>
              <w:t>Adjustment for sale of business</w:t>
            </w:r>
          </w:p>
        </w:tc>
        <w:tc>
          <w:tcPr>
            <w:tcW w:w="0" w:type="auto"/>
            <w:gridSpan w:val="2"/>
            <w:shd w:val="clear" w:color="auto" w:fill="FFFFFF"/>
            <w:tcMar>
              <w:top w:w="30" w:type="dxa"/>
              <w:left w:w="20" w:type="dxa"/>
              <w:bottom w:w="30" w:type="dxa"/>
              <w:right w:w="0" w:type="dxa"/>
            </w:tcMar>
            <w:vAlign w:val="bottom"/>
            <w:hideMark/>
          </w:tcPr>
          <w:p w14:paraId="17928503"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6B057A8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3BC22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950680" w14:textId="77777777" w:rsidR="00000000" w:rsidRDefault="00C01C43">
            <w:pPr>
              <w:jc w:val="right"/>
              <w:rPr>
                <w:rFonts w:eastAsia="Times New Roman"/>
              </w:rPr>
            </w:pPr>
            <w:r>
              <w:rPr>
                <w:rFonts w:ascii="Arial" w:eastAsia="Times New Roman" w:hAnsi="Arial" w:cs="Arial"/>
                <w:color w:val="000000"/>
                <w:sz w:val="20"/>
                <w:szCs w:val="20"/>
              </w:rPr>
              <w:t>(13.3)</w:t>
            </w:r>
          </w:p>
        </w:tc>
        <w:tc>
          <w:tcPr>
            <w:tcW w:w="0" w:type="auto"/>
            <w:shd w:val="clear" w:color="auto" w:fill="FFFFFF"/>
            <w:tcMar>
              <w:top w:w="30" w:type="dxa"/>
              <w:left w:w="0" w:type="dxa"/>
              <w:bottom w:w="30" w:type="dxa"/>
              <w:right w:w="20" w:type="dxa"/>
            </w:tcMar>
            <w:vAlign w:val="bottom"/>
            <w:hideMark/>
          </w:tcPr>
          <w:p w14:paraId="0F27214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4BD9E" w14:textId="77777777" w:rsidR="00000000" w:rsidRDefault="00C01C43">
            <w:pPr>
              <w:jc w:val="right"/>
              <w:rPr>
                <w:rFonts w:eastAsia="Times New Roman"/>
                <w:sz w:val="20"/>
                <w:szCs w:val="20"/>
              </w:rPr>
            </w:pPr>
          </w:p>
        </w:tc>
        <w:tc>
          <w:tcPr>
            <w:tcW w:w="0" w:type="auto"/>
            <w:vAlign w:val="center"/>
            <w:hideMark/>
          </w:tcPr>
          <w:p w14:paraId="615B36E8" w14:textId="77777777" w:rsidR="00000000" w:rsidRDefault="00C01C4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563A53" w14:textId="77777777" w:rsidR="00000000" w:rsidRDefault="00C01C43">
            <w:pPr>
              <w:jc w:val="right"/>
              <w:rPr>
                <w:rFonts w:eastAsia="Times New Roman"/>
              </w:rPr>
            </w:pPr>
            <w:r>
              <w:rPr>
                <w:rFonts w:ascii="Arial" w:eastAsia="Times New Roman" w:hAnsi="Arial" w:cs="Arial"/>
                <w:color w:val="000000"/>
                <w:sz w:val="20"/>
                <w:szCs w:val="20"/>
              </w:rPr>
              <w:t>(13.3)</w:t>
            </w:r>
          </w:p>
        </w:tc>
        <w:tc>
          <w:tcPr>
            <w:tcW w:w="0" w:type="auto"/>
            <w:shd w:val="clear" w:color="auto" w:fill="FFFFFF"/>
            <w:tcMar>
              <w:top w:w="30" w:type="dxa"/>
              <w:left w:w="0" w:type="dxa"/>
              <w:bottom w:w="30" w:type="dxa"/>
              <w:right w:w="20" w:type="dxa"/>
            </w:tcMar>
            <w:vAlign w:val="bottom"/>
            <w:hideMark/>
          </w:tcPr>
          <w:p w14:paraId="1E08460A" w14:textId="77777777" w:rsidR="00000000" w:rsidRDefault="00C01C43">
            <w:pPr>
              <w:jc w:val="right"/>
              <w:rPr>
                <w:rFonts w:eastAsia="Times New Roman"/>
              </w:rPr>
            </w:pPr>
          </w:p>
        </w:tc>
      </w:tr>
      <w:tr w:rsidR="00000000" w14:paraId="2253F6EE" w14:textId="77777777">
        <w:trPr>
          <w:divId w:val="1750226236"/>
        </w:trPr>
        <w:tc>
          <w:tcPr>
            <w:tcW w:w="0" w:type="auto"/>
            <w:gridSpan w:val="3"/>
            <w:shd w:val="clear" w:color="auto" w:fill="CCEEFF"/>
            <w:tcMar>
              <w:top w:w="30" w:type="dxa"/>
              <w:left w:w="20" w:type="dxa"/>
              <w:bottom w:w="30" w:type="dxa"/>
              <w:right w:w="20" w:type="dxa"/>
            </w:tcMar>
            <w:vAlign w:val="bottom"/>
            <w:hideMark/>
          </w:tcPr>
          <w:p w14:paraId="783A1B56" w14:textId="77777777" w:rsidR="00000000" w:rsidRDefault="00C01C43">
            <w:pPr>
              <w:rPr>
                <w:rFonts w:eastAsia="Times New Roman"/>
              </w:rPr>
            </w:pPr>
            <w:r>
              <w:rPr>
                <w:rFonts w:ascii="Arial" w:eastAsia="Times New Roman" w:hAnsi="Arial" w:cs="Arial"/>
                <w:color w:val="000000"/>
                <w:sz w:val="20"/>
                <w:szCs w:val="20"/>
              </w:rPr>
              <w:t>Foreign currency translation of non-USD functional currency subsidiary goodwill</w:t>
            </w:r>
          </w:p>
        </w:tc>
        <w:tc>
          <w:tcPr>
            <w:tcW w:w="0" w:type="auto"/>
            <w:gridSpan w:val="2"/>
            <w:shd w:val="clear" w:color="auto" w:fill="CCEEFF"/>
            <w:tcMar>
              <w:top w:w="30" w:type="dxa"/>
              <w:left w:w="20" w:type="dxa"/>
              <w:bottom w:w="30" w:type="dxa"/>
              <w:right w:w="0" w:type="dxa"/>
            </w:tcMar>
            <w:vAlign w:val="bottom"/>
            <w:hideMark/>
          </w:tcPr>
          <w:p w14:paraId="6837AC26" w14:textId="77777777" w:rsidR="00000000" w:rsidRDefault="00C01C43">
            <w:pPr>
              <w:jc w:val="right"/>
              <w:rPr>
                <w:rFonts w:eastAsia="Times New Roman"/>
              </w:rPr>
            </w:pPr>
            <w:r>
              <w:rPr>
                <w:rFonts w:ascii="Arial" w:eastAsia="Times New Roman" w:hAnsi="Arial" w:cs="Arial"/>
                <w:color w:val="000000"/>
                <w:sz w:val="20"/>
                <w:szCs w:val="20"/>
              </w:rPr>
              <w:t>0.7 </w:t>
            </w:r>
          </w:p>
        </w:tc>
        <w:tc>
          <w:tcPr>
            <w:tcW w:w="0" w:type="auto"/>
            <w:shd w:val="clear" w:color="auto" w:fill="CCEEFF"/>
            <w:tcMar>
              <w:top w:w="30" w:type="dxa"/>
              <w:left w:w="0" w:type="dxa"/>
              <w:bottom w:w="30" w:type="dxa"/>
              <w:right w:w="20" w:type="dxa"/>
            </w:tcMar>
            <w:vAlign w:val="bottom"/>
            <w:hideMark/>
          </w:tcPr>
          <w:p w14:paraId="3AD41C0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3F36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DEE0B0" w14:textId="77777777" w:rsidR="00000000" w:rsidRDefault="00C01C43">
            <w:pPr>
              <w:jc w:val="right"/>
              <w:rPr>
                <w:rFonts w:eastAsia="Times New Roman"/>
              </w:rPr>
            </w:pPr>
            <w:r>
              <w:rPr>
                <w:rFonts w:ascii="Arial" w:eastAsia="Times New Roman" w:hAnsi="Arial" w:cs="Arial"/>
                <w:color w:val="000000"/>
                <w:sz w:val="20"/>
                <w:szCs w:val="20"/>
              </w:rPr>
              <w:t>3.6 </w:t>
            </w:r>
          </w:p>
        </w:tc>
        <w:tc>
          <w:tcPr>
            <w:tcW w:w="0" w:type="auto"/>
            <w:shd w:val="clear" w:color="auto" w:fill="CCEEFF"/>
            <w:tcMar>
              <w:top w:w="30" w:type="dxa"/>
              <w:left w:w="0" w:type="dxa"/>
              <w:bottom w:w="30" w:type="dxa"/>
              <w:right w:w="20" w:type="dxa"/>
            </w:tcMar>
            <w:vAlign w:val="bottom"/>
            <w:hideMark/>
          </w:tcPr>
          <w:p w14:paraId="2C5E810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9A3A5" w14:textId="77777777" w:rsidR="00000000" w:rsidRDefault="00C01C43">
            <w:pPr>
              <w:jc w:val="right"/>
              <w:rPr>
                <w:rFonts w:eastAsia="Times New Roman"/>
                <w:sz w:val="20"/>
                <w:szCs w:val="20"/>
              </w:rPr>
            </w:pPr>
          </w:p>
        </w:tc>
        <w:tc>
          <w:tcPr>
            <w:tcW w:w="0" w:type="auto"/>
            <w:vAlign w:val="center"/>
            <w:hideMark/>
          </w:tcPr>
          <w:p w14:paraId="7B57B533" w14:textId="77777777" w:rsidR="00000000" w:rsidRDefault="00C01C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CF5192" w14:textId="77777777" w:rsidR="00000000" w:rsidRDefault="00C01C43">
            <w:pPr>
              <w:jc w:val="right"/>
              <w:rPr>
                <w:rFonts w:eastAsia="Times New Roman"/>
              </w:rPr>
            </w:pPr>
            <w:r>
              <w:rPr>
                <w:rFonts w:ascii="Arial" w:eastAsia="Times New Roman" w:hAnsi="Arial" w:cs="Arial"/>
                <w:color w:val="000000"/>
                <w:sz w:val="20"/>
                <w:szCs w:val="20"/>
              </w:rPr>
              <w:t>4.3 </w:t>
            </w:r>
          </w:p>
        </w:tc>
        <w:tc>
          <w:tcPr>
            <w:tcW w:w="0" w:type="auto"/>
            <w:shd w:val="clear" w:color="auto" w:fill="CCEEFF"/>
            <w:tcMar>
              <w:top w:w="30" w:type="dxa"/>
              <w:left w:w="0" w:type="dxa"/>
              <w:bottom w:w="30" w:type="dxa"/>
              <w:right w:w="20" w:type="dxa"/>
            </w:tcMar>
            <w:vAlign w:val="bottom"/>
            <w:hideMark/>
          </w:tcPr>
          <w:p w14:paraId="22794B8C" w14:textId="77777777" w:rsidR="00000000" w:rsidRDefault="00C01C43">
            <w:pPr>
              <w:jc w:val="right"/>
              <w:rPr>
                <w:rFonts w:eastAsia="Times New Roman"/>
              </w:rPr>
            </w:pPr>
          </w:p>
        </w:tc>
      </w:tr>
      <w:tr w:rsidR="00000000" w14:paraId="29FE8B22" w14:textId="77777777">
        <w:trPr>
          <w:divId w:val="1750226236"/>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A34BD5D" w14:textId="77777777" w:rsidR="00000000" w:rsidRDefault="00C01C43">
            <w:pPr>
              <w:rPr>
                <w:rFonts w:eastAsia="Times New Roman"/>
              </w:rPr>
            </w:pPr>
            <w:r>
              <w:rPr>
                <w:rFonts w:ascii="Arial" w:eastAsia="Times New Roman" w:hAnsi="Arial" w:cs="Arial"/>
                <w:color w:val="000000"/>
                <w:sz w:val="20"/>
                <w:szCs w:val="20"/>
              </w:rPr>
              <w:t>As of December 31,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515567" w14:textId="77777777" w:rsidR="00000000" w:rsidRDefault="00C01C43">
            <w:pPr>
              <w:jc w:val="right"/>
              <w:rPr>
                <w:rFonts w:eastAsia="Times New Roman"/>
              </w:rPr>
            </w:pPr>
            <w:r>
              <w:rPr>
                <w:rFonts w:ascii="Arial" w:eastAsia="Times New Roman" w:hAnsi="Arial" w:cs="Arial"/>
                <w:color w:val="000000"/>
                <w:sz w:val="20"/>
                <w:szCs w:val="20"/>
              </w:rPr>
              <w:t>323.6 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46283B"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825B24"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EF49A6" w14:textId="77777777" w:rsidR="00000000" w:rsidRDefault="00C01C43">
            <w:pPr>
              <w:jc w:val="right"/>
              <w:rPr>
                <w:rFonts w:eastAsia="Times New Roman"/>
              </w:rPr>
            </w:pPr>
            <w:r>
              <w:rPr>
                <w:rFonts w:ascii="Arial" w:eastAsia="Times New Roman" w:hAnsi="Arial" w:cs="Arial"/>
                <w:color w:val="000000"/>
                <w:sz w:val="20"/>
                <w:szCs w:val="20"/>
              </w:rPr>
              <w:t>520.1 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E9296B"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E6A59F" w14:textId="77777777" w:rsidR="00000000" w:rsidRDefault="00C01C43">
            <w:pPr>
              <w:jc w:val="right"/>
              <w:rPr>
                <w:rFonts w:eastAsia="Times New Roman"/>
                <w:sz w:val="20"/>
                <w:szCs w:val="20"/>
              </w:rPr>
            </w:pPr>
          </w:p>
        </w:tc>
        <w:tc>
          <w:tcPr>
            <w:tcW w:w="0" w:type="auto"/>
            <w:vAlign w:val="center"/>
            <w:hideMark/>
          </w:tcPr>
          <w:p w14:paraId="706C7DA1" w14:textId="77777777" w:rsidR="00000000" w:rsidRDefault="00C01C4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1C8486" w14:textId="77777777" w:rsidR="00000000" w:rsidRDefault="00C01C43">
            <w:pPr>
              <w:jc w:val="right"/>
              <w:rPr>
                <w:rFonts w:eastAsia="Times New Roman"/>
              </w:rPr>
            </w:pPr>
            <w:r>
              <w:rPr>
                <w:rFonts w:ascii="Arial" w:eastAsia="Times New Roman" w:hAnsi="Arial" w:cs="Arial"/>
                <w:color w:val="000000"/>
                <w:sz w:val="20"/>
                <w:szCs w:val="20"/>
              </w:rPr>
              <w:t>843.7 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14C60C" w14:textId="77777777" w:rsidR="00000000" w:rsidRDefault="00C01C43">
            <w:pPr>
              <w:jc w:val="right"/>
              <w:rPr>
                <w:rFonts w:eastAsia="Times New Roman"/>
              </w:rPr>
            </w:pPr>
          </w:p>
        </w:tc>
      </w:tr>
      <w:tr w:rsidR="00000000" w14:paraId="05BF2856" w14:textId="77777777">
        <w:trPr>
          <w:divId w:val="1750226236"/>
        </w:trPr>
        <w:tc>
          <w:tcPr>
            <w:tcW w:w="0" w:type="auto"/>
            <w:gridSpan w:val="3"/>
            <w:shd w:val="clear" w:color="auto" w:fill="CCEEFF"/>
            <w:tcMar>
              <w:top w:w="30" w:type="dxa"/>
              <w:left w:w="20" w:type="dxa"/>
              <w:bottom w:w="30" w:type="dxa"/>
              <w:right w:w="20" w:type="dxa"/>
            </w:tcMar>
            <w:vAlign w:val="bottom"/>
            <w:hideMark/>
          </w:tcPr>
          <w:p w14:paraId="252C69D9" w14:textId="77777777" w:rsidR="00000000" w:rsidRDefault="00C01C43">
            <w:pPr>
              <w:rPr>
                <w:rFonts w:eastAsia="Times New Roman"/>
              </w:rPr>
            </w:pPr>
            <w:r>
              <w:rPr>
                <w:rFonts w:ascii="Arial" w:eastAsia="Times New Roman" w:hAnsi="Arial" w:cs="Arial"/>
                <w:color w:val="000000"/>
                <w:sz w:val="20"/>
                <w:szCs w:val="20"/>
              </w:rPr>
              <w:t>2020 acquisitions</w:t>
            </w:r>
          </w:p>
        </w:tc>
        <w:tc>
          <w:tcPr>
            <w:tcW w:w="0" w:type="auto"/>
            <w:gridSpan w:val="2"/>
            <w:shd w:val="clear" w:color="auto" w:fill="CCEEFF"/>
            <w:tcMar>
              <w:top w:w="30" w:type="dxa"/>
              <w:left w:w="20" w:type="dxa"/>
              <w:bottom w:w="30" w:type="dxa"/>
              <w:right w:w="0" w:type="dxa"/>
            </w:tcMar>
            <w:vAlign w:val="bottom"/>
            <w:hideMark/>
          </w:tcPr>
          <w:p w14:paraId="33E58326" w14:textId="77777777" w:rsidR="00000000" w:rsidRDefault="00C01C43">
            <w:pPr>
              <w:jc w:val="right"/>
              <w:rPr>
                <w:rFonts w:eastAsia="Times New Roman"/>
              </w:rPr>
            </w:pPr>
            <w:r>
              <w:rPr>
                <w:rFonts w:ascii="Arial" w:eastAsia="Times New Roman" w:hAnsi="Arial" w:cs="Arial"/>
                <w:color w:val="000000"/>
                <w:sz w:val="20"/>
                <w:szCs w:val="20"/>
              </w:rPr>
              <w:t>79.1 </w:t>
            </w:r>
          </w:p>
        </w:tc>
        <w:tc>
          <w:tcPr>
            <w:tcW w:w="0" w:type="auto"/>
            <w:shd w:val="clear" w:color="auto" w:fill="CCEEFF"/>
            <w:tcMar>
              <w:top w:w="30" w:type="dxa"/>
              <w:left w:w="0" w:type="dxa"/>
              <w:bottom w:w="30" w:type="dxa"/>
              <w:right w:w="20" w:type="dxa"/>
            </w:tcMar>
            <w:vAlign w:val="bottom"/>
            <w:hideMark/>
          </w:tcPr>
          <w:p w14:paraId="06E5101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A605B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34FC8B"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3C91E8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A556E5" w14:textId="77777777" w:rsidR="00000000" w:rsidRDefault="00C01C43">
            <w:pPr>
              <w:jc w:val="right"/>
              <w:rPr>
                <w:rFonts w:eastAsia="Times New Roman"/>
                <w:sz w:val="20"/>
                <w:szCs w:val="20"/>
              </w:rPr>
            </w:pPr>
          </w:p>
        </w:tc>
        <w:tc>
          <w:tcPr>
            <w:tcW w:w="0" w:type="auto"/>
            <w:vAlign w:val="center"/>
            <w:hideMark/>
          </w:tcPr>
          <w:p w14:paraId="530362F6" w14:textId="77777777" w:rsidR="00000000" w:rsidRDefault="00C01C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F8540E" w14:textId="77777777" w:rsidR="00000000" w:rsidRDefault="00C01C43">
            <w:pPr>
              <w:jc w:val="right"/>
              <w:rPr>
                <w:rFonts w:eastAsia="Times New Roman"/>
              </w:rPr>
            </w:pPr>
            <w:r>
              <w:rPr>
                <w:rFonts w:ascii="Arial" w:eastAsia="Times New Roman" w:hAnsi="Arial" w:cs="Arial"/>
                <w:color w:val="000000"/>
                <w:sz w:val="20"/>
                <w:szCs w:val="20"/>
              </w:rPr>
              <w:t>79.1 </w:t>
            </w:r>
          </w:p>
        </w:tc>
        <w:tc>
          <w:tcPr>
            <w:tcW w:w="0" w:type="auto"/>
            <w:shd w:val="clear" w:color="auto" w:fill="CCEEFF"/>
            <w:tcMar>
              <w:top w:w="30" w:type="dxa"/>
              <w:left w:w="0" w:type="dxa"/>
              <w:bottom w:w="30" w:type="dxa"/>
              <w:right w:w="20" w:type="dxa"/>
            </w:tcMar>
            <w:vAlign w:val="bottom"/>
            <w:hideMark/>
          </w:tcPr>
          <w:p w14:paraId="28BD6B03" w14:textId="77777777" w:rsidR="00000000" w:rsidRDefault="00C01C43">
            <w:pPr>
              <w:jc w:val="right"/>
              <w:rPr>
                <w:rFonts w:eastAsia="Times New Roman"/>
              </w:rPr>
            </w:pPr>
          </w:p>
        </w:tc>
      </w:tr>
      <w:tr w:rsidR="00000000" w14:paraId="0790B786" w14:textId="77777777">
        <w:trPr>
          <w:divId w:val="1750226236"/>
        </w:trPr>
        <w:tc>
          <w:tcPr>
            <w:tcW w:w="0" w:type="auto"/>
            <w:gridSpan w:val="3"/>
            <w:shd w:val="clear" w:color="auto" w:fill="FFFFFF"/>
            <w:tcMar>
              <w:top w:w="30" w:type="dxa"/>
              <w:left w:w="20" w:type="dxa"/>
              <w:bottom w:w="30" w:type="dxa"/>
              <w:right w:w="20" w:type="dxa"/>
            </w:tcMar>
            <w:vAlign w:val="bottom"/>
            <w:hideMark/>
          </w:tcPr>
          <w:p w14:paraId="117B2158" w14:textId="77777777" w:rsidR="00000000" w:rsidRDefault="00C01C43">
            <w:pPr>
              <w:rPr>
                <w:rFonts w:eastAsia="Times New Roman"/>
              </w:rPr>
            </w:pPr>
            <w:r>
              <w:rPr>
                <w:rFonts w:ascii="Arial" w:eastAsia="Times New Roman" w:hAnsi="Arial" w:cs="Arial"/>
                <w:color w:val="000000"/>
                <w:sz w:val="20"/>
                <w:szCs w:val="20"/>
              </w:rPr>
              <w:t>Adjustment for sale of business (Note 3)</w:t>
            </w:r>
          </w:p>
        </w:tc>
        <w:tc>
          <w:tcPr>
            <w:tcW w:w="0" w:type="auto"/>
            <w:gridSpan w:val="2"/>
            <w:shd w:val="clear" w:color="auto" w:fill="FFFFFF"/>
            <w:tcMar>
              <w:top w:w="30" w:type="dxa"/>
              <w:left w:w="20" w:type="dxa"/>
              <w:bottom w:w="30" w:type="dxa"/>
              <w:right w:w="0" w:type="dxa"/>
            </w:tcMar>
            <w:vAlign w:val="bottom"/>
            <w:hideMark/>
          </w:tcPr>
          <w:p w14:paraId="3BBAE5FD" w14:textId="77777777" w:rsidR="00000000" w:rsidRDefault="00C01C43">
            <w:pPr>
              <w:jc w:val="right"/>
              <w:rPr>
                <w:rFonts w:eastAsia="Times New Roman"/>
              </w:rPr>
            </w:pPr>
            <w:r>
              <w:rPr>
                <w:rFonts w:ascii="Arial" w:eastAsia="Times New Roman" w:hAnsi="Arial" w:cs="Arial"/>
                <w:color w:val="000000"/>
                <w:sz w:val="20"/>
                <w:szCs w:val="20"/>
              </w:rPr>
              <w:t>(7.0)</w:t>
            </w:r>
          </w:p>
        </w:tc>
        <w:tc>
          <w:tcPr>
            <w:tcW w:w="0" w:type="auto"/>
            <w:shd w:val="clear" w:color="auto" w:fill="FFFFFF"/>
            <w:tcMar>
              <w:top w:w="30" w:type="dxa"/>
              <w:left w:w="0" w:type="dxa"/>
              <w:bottom w:w="30" w:type="dxa"/>
              <w:right w:w="20" w:type="dxa"/>
            </w:tcMar>
            <w:vAlign w:val="bottom"/>
            <w:hideMark/>
          </w:tcPr>
          <w:p w14:paraId="0C15FD8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AB8C4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31DCD5" w14:textId="77777777" w:rsidR="00000000" w:rsidRDefault="00C01C43">
            <w:pPr>
              <w:jc w:val="right"/>
              <w:rPr>
                <w:rFonts w:eastAsia="Times New Roman"/>
              </w:rPr>
            </w:pPr>
            <w:r>
              <w:rPr>
                <w:rFonts w:ascii="Arial" w:eastAsia="Times New Roman" w:hAnsi="Arial" w:cs="Arial"/>
                <w:color w:val="000000"/>
                <w:sz w:val="20"/>
                <w:szCs w:val="20"/>
              </w:rPr>
              <w:t>(64.6)</w:t>
            </w:r>
          </w:p>
        </w:tc>
        <w:tc>
          <w:tcPr>
            <w:tcW w:w="0" w:type="auto"/>
            <w:shd w:val="clear" w:color="auto" w:fill="FFFFFF"/>
            <w:tcMar>
              <w:top w:w="30" w:type="dxa"/>
              <w:left w:w="0" w:type="dxa"/>
              <w:bottom w:w="30" w:type="dxa"/>
              <w:right w:w="20" w:type="dxa"/>
            </w:tcMar>
            <w:vAlign w:val="bottom"/>
            <w:hideMark/>
          </w:tcPr>
          <w:p w14:paraId="75F1AB1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3CCD9F" w14:textId="77777777" w:rsidR="00000000" w:rsidRDefault="00C01C43">
            <w:pPr>
              <w:jc w:val="right"/>
              <w:rPr>
                <w:rFonts w:eastAsia="Times New Roman"/>
                <w:sz w:val="20"/>
                <w:szCs w:val="20"/>
              </w:rPr>
            </w:pPr>
          </w:p>
        </w:tc>
        <w:tc>
          <w:tcPr>
            <w:tcW w:w="0" w:type="auto"/>
            <w:vAlign w:val="center"/>
            <w:hideMark/>
          </w:tcPr>
          <w:p w14:paraId="5EA91ECF" w14:textId="77777777" w:rsidR="00000000" w:rsidRDefault="00C01C4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FC112" w14:textId="77777777" w:rsidR="00000000" w:rsidRDefault="00C01C43">
            <w:pPr>
              <w:jc w:val="right"/>
              <w:rPr>
                <w:rFonts w:eastAsia="Times New Roman"/>
              </w:rPr>
            </w:pPr>
            <w:r>
              <w:rPr>
                <w:rFonts w:ascii="Arial" w:eastAsia="Times New Roman" w:hAnsi="Arial" w:cs="Arial"/>
                <w:color w:val="000000"/>
                <w:sz w:val="20"/>
                <w:szCs w:val="20"/>
              </w:rPr>
              <w:t>(71.6)</w:t>
            </w:r>
          </w:p>
        </w:tc>
        <w:tc>
          <w:tcPr>
            <w:tcW w:w="0" w:type="auto"/>
            <w:shd w:val="clear" w:color="auto" w:fill="FFFFFF"/>
            <w:tcMar>
              <w:top w:w="30" w:type="dxa"/>
              <w:left w:w="0" w:type="dxa"/>
              <w:bottom w:w="30" w:type="dxa"/>
              <w:right w:w="20" w:type="dxa"/>
            </w:tcMar>
            <w:vAlign w:val="bottom"/>
            <w:hideMark/>
          </w:tcPr>
          <w:p w14:paraId="0C6E892A" w14:textId="77777777" w:rsidR="00000000" w:rsidRDefault="00C01C43">
            <w:pPr>
              <w:jc w:val="right"/>
              <w:rPr>
                <w:rFonts w:eastAsia="Times New Roman"/>
              </w:rPr>
            </w:pPr>
          </w:p>
        </w:tc>
      </w:tr>
      <w:tr w:rsidR="00000000" w14:paraId="2956CACF" w14:textId="77777777">
        <w:trPr>
          <w:divId w:val="1750226236"/>
        </w:trPr>
        <w:tc>
          <w:tcPr>
            <w:tcW w:w="0" w:type="auto"/>
            <w:gridSpan w:val="3"/>
            <w:shd w:val="clear" w:color="auto" w:fill="CCEEFF"/>
            <w:tcMar>
              <w:top w:w="30" w:type="dxa"/>
              <w:left w:w="20" w:type="dxa"/>
              <w:bottom w:w="30" w:type="dxa"/>
              <w:right w:w="20" w:type="dxa"/>
            </w:tcMar>
            <w:vAlign w:val="bottom"/>
            <w:hideMark/>
          </w:tcPr>
          <w:p w14:paraId="55DD4A0C" w14:textId="77777777" w:rsidR="00000000" w:rsidRDefault="00C01C43">
            <w:pPr>
              <w:rPr>
                <w:rFonts w:eastAsia="Times New Roman"/>
              </w:rPr>
            </w:pPr>
            <w:r>
              <w:rPr>
                <w:rFonts w:ascii="Arial" w:eastAsia="Times New Roman" w:hAnsi="Arial" w:cs="Arial"/>
                <w:color w:val="000000"/>
                <w:sz w:val="20"/>
                <w:szCs w:val="20"/>
              </w:rPr>
              <w:t>Foreign currency translation of non-USD functional currency subsidiary goodwill</w:t>
            </w:r>
          </w:p>
        </w:tc>
        <w:tc>
          <w:tcPr>
            <w:tcW w:w="0" w:type="auto"/>
            <w:gridSpan w:val="2"/>
            <w:shd w:val="clear" w:color="auto" w:fill="CCEEFF"/>
            <w:tcMar>
              <w:top w:w="30" w:type="dxa"/>
              <w:left w:w="20" w:type="dxa"/>
              <w:bottom w:w="30" w:type="dxa"/>
              <w:right w:w="0" w:type="dxa"/>
            </w:tcMar>
            <w:vAlign w:val="bottom"/>
            <w:hideMark/>
          </w:tcPr>
          <w:p w14:paraId="256E9B4F" w14:textId="77777777" w:rsidR="00000000" w:rsidRDefault="00C01C43">
            <w:pPr>
              <w:jc w:val="right"/>
              <w:rPr>
                <w:rFonts w:eastAsia="Times New Roman"/>
              </w:rPr>
            </w:pPr>
            <w:r>
              <w:rPr>
                <w:rFonts w:ascii="Arial" w:eastAsia="Times New Roman" w:hAnsi="Arial" w:cs="Arial"/>
                <w:color w:val="000000"/>
                <w:sz w:val="20"/>
                <w:szCs w:val="20"/>
              </w:rPr>
              <w:t>3.2 </w:t>
            </w:r>
          </w:p>
        </w:tc>
        <w:tc>
          <w:tcPr>
            <w:tcW w:w="0" w:type="auto"/>
            <w:shd w:val="clear" w:color="auto" w:fill="CCEEFF"/>
            <w:tcMar>
              <w:top w:w="30" w:type="dxa"/>
              <w:left w:w="0" w:type="dxa"/>
              <w:bottom w:w="30" w:type="dxa"/>
              <w:right w:w="20" w:type="dxa"/>
            </w:tcMar>
            <w:vAlign w:val="bottom"/>
            <w:hideMark/>
          </w:tcPr>
          <w:p w14:paraId="1F48DD3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5B9E0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CAA04D" w14:textId="77777777" w:rsidR="00000000" w:rsidRDefault="00C01C43">
            <w:pPr>
              <w:jc w:val="right"/>
              <w:rPr>
                <w:rFonts w:eastAsia="Times New Roman"/>
              </w:rPr>
            </w:pPr>
            <w:r>
              <w:rPr>
                <w:rFonts w:ascii="Arial" w:eastAsia="Times New Roman" w:hAnsi="Arial" w:cs="Arial"/>
                <w:color w:val="000000"/>
                <w:sz w:val="20"/>
                <w:szCs w:val="20"/>
              </w:rPr>
              <w:t>4.3 </w:t>
            </w:r>
          </w:p>
        </w:tc>
        <w:tc>
          <w:tcPr>
            <w:tcW w:w="0" w:type="auto"/>
            <w:shd w:val="clear" w:color="auto" w:fill="CCEEFF"/>
            <w:tcMar>
              <w:top w:w="30" w:type="dxa"/>
              <w:left w:w="0" w:type="dxa"/>
              <w:bottom w:w="30" w:type="dxa"/>
              <w:right w:w="20" w:type="dxa"/>
            </w:tcMar>
            <w:vAlign w:val="bottom"/>
            <w:hideMark/>
          </w:tcPr>
          <w:p w14:paraId="2A748C6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C255C" w14:textId="77777777" w:rsidR="00000000" w:rsidRDefault="00C01C43">
            <w:pPr>
              <w:jc w:val="right"/>
              <w:rPr>
                <w:rFonts w:eastAsia="Times New Roman"/>
                <w:sz w:val="20"/>
                <w:szCs w:val="20"/>
              </w:rPr>
            </w:pPr>
          </w:p>
        </w:tc>
        <w:tc>
          <w:tcPr>
            <w:tcW w:w="0" w:type="auto"/>
            <w:vAlign w:val="center"/>
            <w:hideMark/>
          </w:tcPr>
          <w:p w14:paraId="22722C9D" w14:textId="77777777" w:rsidR="00000000" w:rsidRDefault="00C01C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2655FC" w14:textId="77777777" w:rsidR="00000000" w:rsidRDefault="00C01C43">
            <w:pPr>
              <w:jc w:val="right"/>
              <w:rPr>
                <w:rFonts w:eastAsia="Times New Roman"/>
              </w:rPr>
            </w:pPr>
            <w:r>
              <w:rPr>
                <w:rFonts w:ascii="Arial" w:eastAsia="Times New Roman" w:hAnsi="Arial" w:cs="Arial"/>
                <w:color w:val="000000"/>
                <w:sz w:val="20"/>
                <w:szCs w:val="20"/>
              </w:rPr>
              <w:t>7.4 </w:t>
            </w:r>
          </w:p>
        </w:tc>
        <w:tc>
          <w:tcPr>
            <w:tcW w:w="0" w:type="auto"/>
            <w:shd w:val="clear" w:color="auto" w:fill="CCEEFF"/>
            <w:tcMar>
              <w:top w:w="30" w:type="dxa"/>
              <w:left w:w="0" w:type="dxa"/>
              <w:bottom w:w="30" w:type="dxa"/>
              <w:right w:w="20" w:type="dxa"/>
            </w:tcMar>
            <w:vAlign w:val="bottom"/>
            <w:hideMark/>
          </w:tcPr>
          <w:p w14:paraId="06BD5AF3" w14:textId="77777777" w:rsidR="00000000" w:rsidRDefault="00C01C43">
            <w:pPr>
              <w:jc w:val="right"/>
              <w:rPr>
                <w:rFonts w:eastAsia="Times New Roman"/>
              </w:rPr>
            </w:pPr>
          </w:p>
        </w:tc>
      </w:tr>
      <w:tr w:rsidR="00000000" w14:paraId="2F8E1E8F" w14:textId="77777777">
        <w:trPr>
          <w:divId w:val="1750226236"/>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01AF3953" w14:textId="77777777" w:rsidR="00000000" w:rsidRDefault="00C01C43">
            <w:pPr>
              <w:rPr>
                <w:rFonts w:eastAsia="Times New Roman"/>
              </w:rPr>
            </w:pPr>
            <w:r>
              <w:rPr>
                <w:rFonts w:ascii="Arial" w:eastAsia="Times New Roman" w:hAnsi="Arial" w:cs="Arial"/>
                <w:color w:val="000000"/>
                <w:sz w:val="20"/>
                <w:szCs w:val="20"/>
              </w:rPr>
              <w:t>As of December 31,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36DBA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9464FD" w14:textId="77777777" w:rsidR="00000000" w:rsidRDefault="00C01C43">
            <w:pPr>
              <w:jc w:val="right"/>
              <w:rPr>
                <w:rFonts w:eastAsia="Times New Roman"/>
              </w:rPr>
            </w:pPr>
            <w:r>
              <w:rPr>
                <w:rFonts w:ascii="Arial" w:eastAsia="Times New Roman" w:hAnsi="Arial" w:cs="Arial"/>
                <w:color w:val="000000"/>
                <w:sz w:val="20"/>
                <w:szCs w:val="20"/>
              </w:rPr>
              <w:t>398.8 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F322EB"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28F3F26"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769454"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2560B6" w14:textId="77777777" w:rsidR="00000000" w:rsidRDefault="00C01C43">
            <w:pPr>
              <w:jc w:val="right"/>
              <w:rPr>
                <w:rFonts w:eastAsia="Times New Roman"/>
              </w:rPr>
            </w:pPr>
            <w:r>
              <w:rPr>
                <w:rFonts w:ascii="Arial" w:eastAsia="Times New Roman" w:hAnsi="Arial" w:cs="Arial"/>
                <w:color w:val="000000"/>
                <w:sz w:val="20"/>
                <w:szCs w:val="20"/>
              </w:rPr>
              <w:t>459.7 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FC0C3E"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06E968B" w14:textId="77777777" w:rsidR="00000000" w:rsidRDefault="00C01C43">
            <w:pPr>
              <w:jc w:val="right"/>
              <w:rPr>
                <w:rFonts w:eastAsia="Times New Roman"/>
                <w:sz w:val="20"/>
                <w:szCs w:val="20"/>
              </w:rPr>
            </w:pPr>
          </w:p>
        </w:tc>
        <w:tc>
          <w:tcPr>
            <w:tcW w:w="0" w:type="auto"/>
            <w:vAlign w:val="center"/>
            <w:hideMark/>
          </w:tcPr>
          <w:p w14:paraId="7D921B3F" w14:textId="77777777" w:rsidR="00000000" w:rsidRDefault="00C01C4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2C4E6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C88B79" w14:textId="77777777" w:rsidR="00000000" w:rsidRDefault="00C01C43">
            <w:pPr>
              <w:jc w:val="right"/>
              <w:rPr>
                <w:rFonts w:eastAsia="Times New Roman"/>
              </w:rPr>
            </w:pPr>
            <w:r>
              <w:rPr>
                <w:rFonts w:ascii="Arial" w:eastAsia="Times New Roman" w:hAnsi="Arial" w:cs="Arial"/>
                <w:color w:val="000000"/>
                <w:sz w:val="20"/>
                <w:szCs w:val="20"/>
              </w:rPr>
              <w:t>858.6 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9B9ACB" w14:textId="77777777" w:rsidR="00000000" w:rsidRDefault="00C01C43">
            <w:pPr>
              <w:jc w:val="right"/>
              <w:rPr>
                <w:rFonts w:eastAsia="Times New Roman"/>
              </w:rPr>
            </w:pPr>
          </w:p>
        </w:tc>
      </w:tr>
    </w:tbl>
    <w:p w14:paraId="7A37325B" w14:textId="77777777" w:rsidR="00000000" w:rsidRDefault="00C01C43">
      <w:pPr>
        <w:divId w:val="1860267458"/>
        <w:rPr>
          <w:rFonts w:eastAsia="Times New Roman"/>
        </w:rPr>
      </w:pPr>
    </w:p>
    <w:p w14:paraId="3293C82B" w14:textId="77777777" w:rsidR="00000000" w:rsidRDefault="00C01C43">
      <w:pPr>
        <w:jc w:val="both"/>
        <w:divId w:val="1211841226"/>
        <w:rPr>
          <w:rFonts w:eastAsia="Times New Roman"/>
        </w:rPr>
      </w:pPr>
      <w:r>
        <w:rPr>
          <w:rFonts w:ascii="Arial" w:eastAsia="Times New Roman" w:hAnsi="Arial" w:cs="Arial"/>
          <w:b/>
          <w:bCs/>
          <w:color w:val="000000"/>
          <w:sz w:val="20"/>
          <w:szCs w:val="20"/>
        </w:rPr>
        <w:t>Identifiable Intangible Assets</w:t>
      </w:r>
    </w:p>
    <w:p w14:paraId="6A72DDE1" w14:textId="77777777" w:rsidR="00000000" w:rsidRDefault="00C01C43">
      <w:pPr>
        <w:jc w:val="both"/>
        <w:divId w:val="1678969892"/>
        <w:rPr>
          <w:rFonts w:eastAsia="Times New Roman"/>
        </w:rPr>
      </w:pPr>
      <w:r>
        <w:rPr>
          <w:rFonts w:ascii="Arial" w:eastAsia="Times New Roman" w:hAnsi="Arial" w:cs="Arial"/>
          <w:color w:val="000000"/>
          <w:sz w:val="20"/>
          <w:szCs w:val="20"/>
        </w:rPr>
        <w:t>The following table provides information about our identifiable intangible assets (in millions):</w:t>
      </w:r>
    </w:p>
    <w:tbl>
      <w:tblPr>
        <w:tblW w:w="4978" w:type="pct"/>
        <w:tblCellMar>
          <w:top w:w="15" w:type="dxa"/>
          <w:left w:w="15" w:type="dxa"/>
          <w:bottom w:w="15" w:type="dxa"/>
          <w:right w:w="15" w:type="dxa"/>
        </w:tblCellMar>
        <w:tblLook w:val="04A0" w:firstRow="1" w:lastRow="0" w:firstColumn="1" w:lastColumn="0" w:noHBand="0" w:noVBand="1"/>
      </w:tblPr>
      <w:tblGrid>
        <w:gridCol w:w="48"/>
        <w:gridCol w:w="2402"/>
        <w:gridCol w:w="37"/>
        <w:gridCol w:w="132"/>
        <w:gridCol w:w="585"/>
        <w:gridCol w:w="36"/>
        <w:gridCol w:w="36"/>
        <w:gridCol w:w="36"/>
        <w:gridCol w:w="36"/>
        <w:gridCol w:w="133"/>
        <w:gridCol w:w="953"/>
        <w:gridCol w:w="36"/>
        <w:gridCol w:w="36"/>
        <w:gridCol w:w="36"/>
        <w:gridCol w:w="36"/>
        <w:gridCol w:w="132"/>
        <w:gridCol w:w="557"/>
        <w:gridCol w:w="36"/>
        <w:gridCol w:w="36"/>
        <w:gridCol w:w="36"/>
        <w:gridCol w:w="36"/>
        <w:gridCol w:w="132"/>
        <w:gridCol w:w="625"/>
        <w:gridCol w:w="36"/>
        <w:gridCol w:w="36"/>
        <w:gridCol w:w="36"/>
        <w:gridCol w:w="36"/>
        <w:gridCol w:w="133"/>
        <w:gridCol w:w="955"/>
        <w:gridCol w:w="36"/>
        <w:gridCol w:w="36"/>
        <w:gridCol w:w="36"/>
        <w:gridCol w:w="36"/>
        <w:gridCol w:w="132"/>
        <w:gridCol w:w="557"/>
        <w:gridCol w:w="36"/>
      </w:tblGrid>
      <w:tr w:rsidR="00000000" w14:paraId="50AF41A6" w14:textId="77777777">
        <w:trPr>
          <w:divId w:val="632563010"/>
        </w:trPr>
        <w:tc>
          <w:tcPr>
            <w:tcW w:w="50" w:type="pct"/>
            <w:vAlign w:val="center"/>
            <w:hideMark/>
          </w:tcPr>
          <w:p w14:paraId="53B6ECC9" w14:textId="77777777" w:rsidR="00000000" w:rsidRDefault="00C01C43">
            <w:pPr>
              <w:jc w:val="both"/>
              <w:rPr>
                <w:rFonts w:eastAsia="Times New Roman"/>
              </w:rPr>
            </w:pPr>
          </w:p>
        </w:tc>
        <w:tc>
          <w:tcPr>
            <w:tcW w:w="1530" w:type="pct"/>
            <w:vAlign w:val="center"/>
            <w:hideMark/>
          </w:tcPr>
          <w:p w14:paraId="2BA6B203" w14:textId="77777777" w:rsidR="00000000" w:rsidRDefault="00C01C43">
            <w:pPr>
              <w:rPr>
                <w:rFonts w:eastAsia="Times New Roman"/>
                <w:sz w:val="20"/>
                <w:szCs w:val="20"/>
              </w:rPr>
            </w:pPr>
          </w:p>
        </w:tc>
        <w:tc>
          <w:tcPr>
            <w:tcW w:w="5" w:type="pct"/>
            <w:vAlign w:val="center"/>
            <w:hideMark/>
          </w:tcPr>
          <w:p w14:paraId="3507F282" w14:textId="77777777" w:rsidR="00000000" w:rsidRDefault="00C01C43">
            <w:pPr>
              <w:rPr>
                <w:rFonts w:eastAsia="Times New Roman"/>
                <w:sz w:val="20"/>
                <w:szCs w:val="20"/>
              </w:rPr>
            </w:pPr>
          </w:p>
        </w:tc>
        <w:tc>
          <w:tcPr>
            <w:tcW w:w="50" w:type="pct"/>
            <w:vAlign w:val="center"/>
            <w:hideMark/>
          </w:tcPr>
          <w:p w14:paraId="0CEF41C4" w14:textId="77777777" w:rsidR="00000000" w:rsidRDefault="00C01C43">
            <w:pPr>
              <w:rPr>
                <w:rFonts w:eastAsia="Times New Roman"/>
                <w:sz w:val="20"/>
                <w:szCs w:val="20"/>
              </w:rPr>
            </w:pPr>
          </w:p>
        </w:tc>
        <w:tc>
          <w:tcPr>
            <w:tcW w:w="414" w:type="pct"/>
            <w:vAlign w:val="center"/>
            <w:hideMark/>
          </w:tcPr>
          <w:p w14:paraId="51BABC31" w14:textId="77777777" w:rsidR="00000000" w:rsidRDefault="00C01C43">
            <w:pPr>
              <w:rPr>
                <w:rFonts w:eastAsia="Times New Roman"/>
                <w:sz w:val="20"/>
                <w:szCs w:val="20"/>
              </w:rPr>
            </w:pPr>
          </w:p>
        </w:tc>
        <w:tc>
          <w:tcPr>
            <w:tcW w:w="5" w:type="pct"/>
            <w:vAlign w:val="center"/>
            <w:hideMark/>
          </w:tcPr>
          <w:p w14:paraId="03D2824A" w14:textId="77777777" w:rsidR="00000000" w:rsidRDefault="00C01C43">
            <w:pPr>
              <w:rPr>
                <w:rFonts w:eastAsia="Times New Roman"/>
                <w:sz w:val="20"/>
                <w:szCs w:val="20"/>
              </w:rPr>
            </w:pPr>
          </w:p>
        </w:tc>
        <w:tc>
          <w:tcPr>
            <w:tcW w:w="5" w:type="pct"/>
            <w:vAlign w:val="center"/>
            <w:hideMark/>
          </w:tcPr>
          <w:p w14:paraId="3DDD063B" w14:textId="77777777" w:rsidR="00000000" w:rsidRDefault="00C01C43">
            <w:pPr>
              <w:rPr>
                <w:rFonts w:eastAsia="Times New Roman"/>
                <w:sz w:val="20"/>
                <w:szCs w:val="20"/>
              </w:rPr>
            </w:pPr>
          </w:p>
        </w:tc>
        <w:tc>
          <w:tcPr>
            <w:tcW w:w="26" w:type="pct"/>
            <w:vAlign w:val="center"/>
            <w:hideMark/>
          </w:tcPr>
          <w:p w14:paraId="6344EBDC" w14:textId="77777777" w:rsidR="00000000" w:rsidRDefault="00C01C43">
            <w:pPr>
              <w:rPr>
                <w:rFonts w:eastAsia="Times New Roman"/>
                <w:sz w:val="20"/>
                <w:szCs w:val="20"/>
              </w:rPr>
            </w:pPr>
          </w:p>
        </w:tc>
        <w:tc>
          <w:tcPr>
            <w:tcW w:w="5" w:type="pct"/>
            <w:vAlign w:val="center"/>
            <w:hideMark/>
          </w:tcPr>
          <w:p w14:paraId="66193C5F" w14:textId="77777777" w:rsidR="00000000" w:rsidRDefault="00C01C43">
            <w:pPr>
              <w:rPr>
                <w:rFonts w:eastAsia="Times New Roman"/>
                <w:sz w:val="20"/>
                <w:szCs w:val="20"/>
              </w:rPr>
            </w:pPr>
          </w:p>
        </w:tc>
        <w:tc>
          <w:tcPr>
            <w:tcW w:w="50" w:type="pct"/>
            <w:vAlign w:val="center"/>
            <w:hideMark/>
          </w:tcPr>
          <w:p w14:paraId="712E0677" w14:textId="77777777" w:rsidR="00000000" w:rsidRDefault="00C01C43">
            <w:pPr>
              <w:rPr>
                <w:rFonts w:eastAsia="Times New Roman"/>
                <w:sz w:val="20"/>
                <w:szCs w:val="20"/>
              </w:rPr>
            </w:pPr>
          </w:p>
        </w:tc>
        <w:tc>
          <w:tcPr>
            <w:tcW w:w="569" w:type="pct"/>
            <w:vAlign w:val="center"/>
            <w:hideMark/>
          </w:tcPr>
          <w:p w14:paraId="0DBAEA09" w14:textId="77777777" w:rsidR="00000000" w:rsidRDefault="00C01C43">
            <w:pPr>
              <w:rPr>
                <w:rFonts w:eastAsia="Times New Roman"/>
                <w:sz w:val="20"/>
                <w:szCs w:val="20"/>
              </w:rPr>
            </w:pPr>
          </w:p>
        </w:tc>
        <w:tc>
          <w:tcPr>
            <w:tcW w:w="5" w:type="pct"/>
            <w:vAlign w:val="center"/>
            <w:hideMark/>
          </w:tcPr>
          <w:p w14:paraId="56B116D6" w14:textId="77777777" w:rsidR="00000000" w:rsidRDefault="00C01C43">
            <w:pPr>
              <w:rPr>
                <w:rFonts w:eastAsia="Times New Roman"/>
                <w:sz w:val="20"/>
                <w:szCs w:val="20"/>
              </w:rPr>
            </w:pPr>
          </w:p>
        </w:tc>
        <w:tc>
          <w:tcPr>
            <w:tcW w:w="5" w:type="pct"/>
            <w:vAlign w:val="center"/>
            <w:hideMark/>
          </w:tcPr>
          <w:p w14:paraId="62C5F917" w14:textId="77777777" w:rsidR="00000000" w:rsidRDefault="00C01C43">
            <w:pPr>
              <w:rPr>
                <w:rFonts w:eastAsia="Times New Roman"/>
                <w:sz w:val="20"/>
                <w:szCs w:val="20"/>
              </w:rPr>
            </w:pPr>
          </w:p>
        </w:tc>
        <w:tc>
          <w:tcPr>
            <w:tcW w:w="26" w:type="pct"/>
            <w:vAlign w:val="center"/>
            <w:hideMark/>
          </w:tcPr>
          <w:p w14:paraId="5FF1D007" w14:textId="77777777" w:rsidR="00000000" w:rsidRDefault="00C01C43">
            <w:pPr>
              <w:rPr>
                <w:rFonts w:eastAsia="Times New Roman"/>
                <w:sz w:val="20"/>
                <w:szCs w:val="20"/>
              </w:rPr>
            </w:pPr>
          </w:p>
        </w:tc>
        <w:tc>
          <w:tcPr>
            <w:tcW w:w="5" w:type="pct"/>
            <w:vAlign w:val="center"/>
            <w:hideMark/>
          </w:tcPr>
          <w:p w14:paraId="5AC6933A" w14:textId="77777777" w:rsidR="00000000" w:rsidRDefault="00C01C43">
            <w:pPr>
              <w:rPr>
                <w:rFonts w:eastAsia="Times New Roman"/>
                <w:sz w:val="20"/>
                <w:szCs w:val="20"/>
              </w:rPr>
            </w:pPr>
          </w:p>
        </w:tc>
        <w:tc>
          <w:tcPr>
            <w:tcW w:w="50" w:type="pct"/>
            <w:vAlign w:val="center"/>
            <w:hideMark/>
          </w:tcPr>
          <w:p w14:paraId="0F0B0D7C" w14:textId="77777777" w:rsidR="00000000" w:rsidRDefault="00C01C43">
            <w:pPr>
              <w:rPr>
                <w:rFonts w:eastAsia="Times New Roman"/>
                <w:sz w:val="20"/>
                <w:szCs w:val="20"/>
              </w:rPr>
            </w:pPr>
          </w:p>
        </w:tc>
        <w:tc>
          <w:tcPr>
            <w:tcW w:w="422" w:type="pct"/>
            <w:vAlign w:val="center"/>
            <w:hideMark/>
          </w:tcPr>
          <w:p w14:paraId="361119BA" w14:textId="77777777" w:rsidR="00000000" w:rsidRDefault="00C01C43">
            <w:pPr>
              <w:rPr>
                <w:rFonts w:eastAsia="Times New Roman"/>
                <w:sz w:val="20"/>
                <w:szCs w:val="20"/>
              </w:rPr>
            </w:pPr>
          </w:p>
        </w:tc>
        <w:tc>
          <w:tcPr>
            <w:tcW w:w="5" w:type="pct"/>
            <w:vAlign w:val="center"/>
            <w:hideMark/>
          </w:tcPr>
          <w:p w14:paraId="4914B994" w14:textId="77777777" w:rsidR="00000000" w:rsidRDefault="00C01C43">
            <w:pPr>
              <w:rPr>
                <w:rFonts w:eastAsia="Times New Roman"/>
                <w:sz w:val="20"/>
                <w:szCs w:val="20"/>
              </w:rPr>
            </w:pPr>
          </w:p>
        </w:tc>
        <w:tc>
          <w:tcPr>
            <w:tcW w:w="5" w:type="pct"/>
            <w:vAlign w:val="center"/>
            <w:hideMark/>
          </w:tcPr>
          <w:p w14:paraId="3B2047C5" w14:textId="77777777" w:rsidR="00000000" w:rsidRDefault="00C01C43">
            <w:pPr>
              <w:rPr>
                <w:rFonts w:eastAsia="Times New Roman"/>
                <w:sz w:val="20"/>
                <w:szCs w:val="20"/>
              </w:rPr>
            </w:pPr>
          </w:p>
        </w:tc>
        <w:tc>
          <w:tcPr>
            <w:tcW w:w="26" w:type="pct"/>
            <w:vAlign w:val="center"/>
            <w:hideMark/>
          </w:tcPr>
          <w:p w14:paraId="606E24B6" w14:textId="77777777" w:rsidR="00000000" w:rsidRDefault="00C01C43">
            <w:pPr>
              <w:rPr>
                <w:rFonts w:eastAsia="Times New Roman"/>
                <w:sz w:val="20"/>
                <w:szCs w:val="20"/>
              </w:rPr>
            </w:pPr>
          </w:p>
        </w:tc>
        <w:tc>
          <w:tcPr>
            <w:tcW w:w="5" w:type="pct"/>
            <w:vAlign w:val="center"/>
            <w:hideMark/>
          </w:tcPr>
          <w:p w14:paraId="7C833347" w14:textId="77777777" w:rsidR="00000000" w:rsidRDefault="00C01C43">
            <w:pPr>
              <w:rPr>
                <w:rFonts w:eastAsia="Times New Roman"/>
                <w:sz w:val="20"/>
                <w:szCs w:val="20"/>
              </w:rPr>
            </w:pPr>
          </w:p>
        </w:tc>
        <w:tc>
          <w:tcPr>
            <w:tcW w:w="50" w:type="pct"/>
            <w:vAlign w:val="center"/>
            <w:hideMark/>
          </w:tcPr>
          <w:p w14:paraId="505330D7" w14:textId="77777777" w:rsidR="00000000" w:rsidRDefault="00C01C43">
            <w:pPr>
              <w:rPr>
                <w:rFonts w:eastAsia="Times New Roman"/>
                <w:sz w:val="20"/>
                <w:szCs w:val="20"/>
              </w:rPr>
            </w:pPr>
          </w:p>
        </w:tc>
        <w:tc>
          <w:tcPr>
            <w:tcW w:w="495" w:type="pct"/>
            <w:vAlign w:val="center"/>
            <w:hideMark/>
          </w:tcPr>
          <w:p w14:paraId="2285804C" w14:textId="77777777" w:rsidR="00000000" w:rsidRDefault="00C01C43">
            <w:pPr>
              <w:rPr>
                <w:rFonts w:eastAsia="Times New Roman"/>
                <w:sz w:val="20"/>
                <w:szCs w:val="20"/>
              </w:rPr>
            </w:pPr>
          </w:p>
        </w:tc>
        <w:tc>
          <w:tcPr>
            <w:tcW w:w="5" w:type="pct"/>
            <w:vAlign w:val="center"/>
            <w:hideMark/>
          </w:tcPr>
          <w:p w14:paraId="7697B56E" w14:textId="77777777" w:rsidR="00000000" w:rsidRDefault="00C01C43">
            <w:pPr>
              <w:rPr>
                <w:rFonts w:eastAsia="Times New Roman"/>
                <w:sz w:val="20"/>
                <w:szCs w:val="20"/>
              </w:rPr>
            </w:pPr>
          </w:p>
        </w:tc>
        <w:tc>
          <w:tcPr>
            <w:tcW w:w="5" w:type="pct"/>
            <w:vAlign w:val="center"/>
            <w:hideMark/>
          </w:tcPr>
          <w:p w14:paraId="3518244A" w14:textId="77777777" w:rsidR="00000000" w:rsidRDefault="00C01C43">
            <w:pPr>
              <w:rPr>
                <w:rFonts w:eastAsia="Times New Roman"/>
                <w:sz w:val="20"/>
                <w:szCs w:val="20"/>
              </w:rPr>
            </w:pPr>
          </w:p>
        </w:tc>
        <w:tc>
          <w:tcPr>
            <w:tcW w:w="26" w:type="pct"/>
            <w:vAlign w:val="center"/>
            <w:hideMark/>
          </w:tcPr>
          <w:p w14:paraId="7A34F0F0" w14:textId="77777777" w:rsidR="00000000" w:rsidRDefault="00C01C43">
            <w:pPr>
              <w:rPr>
                <w:rFonts w:eastAsia="Times New Roman"/>
                <w:sz w:val="20"/>
                <w:szCs w:val="20"/>
              </w:rPr>
            </w:pPr>
          </w:p>
        </w:tc>
        <w:tc>
          <w:tcPr>
            <w:tcW w:w="5" w:type="pct"/>
            <w:vAlign w:val="center"/>
            <w:hideMark/>
          </w:tcPr>
          <w:p w14:paraId="5C0C2105" w14:textId="77777777" w:rsidR="00000000" w:rsidRDefault="00C01C43">
            <w:pPr>
              <w:rPr>
                <w:rFonts w:eastAsia="Times New Roman"/>
                <w:sz w:val="20"/>
                <w:szCs w:val="20"/>
              </w:rPr>
            </w:pPr>
          </w:p>
        </w:tc>
        <w:tc>
          <w:tcPr>
            <w:tcW w:w="50" w:type="pct"/>
            <w:vAlign w:val="center"/>
            <w:hideMark/>
          </w:tcPr>
          <w:p w14:paraId="585BA424" w14:textId="77777777" w:rsidR="00000000" w:rsidRDefault="00C01C43">
            <w:pPr>
              <w:rPr>
                <w:rFonts w:eastAsia="Times New Roman"/>
                <w:sz w:val="20"/>
                <w:szCs w:val="20"/>
              </w:rPr>
            </w:pPr>
          </w:p>
        </w:tc>
        <w:tc>
          <w:tcPr>
            <w:tcW w:w="583" w:type="pct"/>
            <w:vAlign w:val="center"/>
            <w:hideMark/>
          </w:tcPr>
          <w:p w14:paraId="4EB4E56D" w14:textId="77777777" w:rsidR="00000000" w:rsidRDefault="00C01C43">
            <w:pPr>
              <w:rPr>
                <w:rFonts w:eastAsia="Times New Roman"/>
                <w:sz w:val="20"/>
                <w:szCs w:val="20"/>
              </w:rPr>
            </w:pPr>
          </w:p>
        </w:tc>
        <w:tc>
          <w:tcPr>
            <w:tcW w:w="5" w:type="pct"/>
            <w:vAlign w:val="center"/>
            <w:hideMark/>
          </w:tcPr>
          <w:p w14:paraId="0CD2531A" w14:textId="77777777" w:rsidR="00000000" w:rsidRDefault="00C01C43">
            <w:pPr>
              <w:rPr>
                <w:rFonts w:eastAsia="Times New Roman"/>
                <w:sz w:val="20"/>
                <w:szCs w:val="20"/>
              </w:rPr>
            </w:pPr>
          </w:p>
        </w:tc>
        <w:tc>
          <w:tcPr>
            <w:tcW w:w="5" w:type="pct"/>
            <w:vAlign w:val="center"/>
            <w:hideMark/>
          </w:tcPr>
          <w:p w14:paraId="7BCAD160" w14:textId="77777777" w:rsidR="00000000" w:rsidRDefault="00C01C43">
            <w:pPr>
              <w:rPr>
                <w:rFonts w:eastAsia="Times New Roman"/>
                <w:sz w:val="20"/>
                <w:szCs w:val="20"/>
              </w:rPr>
            </w:pPr>
          </w:p>
        </w:tc>
        <w:tc>
          <w:tcPr>
            <w:tcW w:w="26" w:type="pct"/>
            <w:vAlign w:val="center"/>
            <w:hideMark/>
          </w:tcPr>
          <w:p w14:paraId="2ECF5446" w14:textId="77777777" w:rsidR="00000000" w:rsidRDefault="00C01C43">
            <w:pPr>
              <w:rPr>
                <w:rFonts w:eastAsia="Times New Roman"/>
                <w:sz w:val="20"/>
                <w:szCs w:val="20"/>
              </w:rPr>
            </w:pPr>
          </w:p>
        </w:tc>
        <w:tc>
          <w:tcPr>
            <w:tcW w:w="5" w:type="pct"/>
            <w:vAlign w:val="center"/>
            <w:hideMark/>
          </w:tcPr>
          <w:p w14:paraId="62E0D9C5" w14:textId="77777777" w:rsidR="00000000" w:rsidRDefault="00C01C43">
            <w:pPr>
              <w:rPr>
                <w:rFonts w:eastAsia="Times New Roman"/>
                <w:sz w:val="20"/>
                <w:szCs w:val="20"/>
              </w:rPr>
            </w:pPr>
          </w:p>
        </w:tc>
        <w:tc>
          <w:tcPr>
            <w:tcW w:w="50" w:type="pct"/>
            <w:vAlign w:val="center"/>
            <w:hideMark/>
          </w:tcPr>
          <w:p w14:paraId="670F3A53" w14:textId="77777777" w:rsidR="00000000" w:rsidRDefault="00C01C43">
            <w:pPr>
              <w:rPr>
                <w:rFonts w:eastAsia="Times New Roman"/>
                <w:sz w:val="20"/>
                <w:szCs w:val="20"/>
              </w:rPr>
            </w:pPr>
          </w:p>
        </w:tc>
        <w:tc>
          <w:tcPr>
            <w:tcW w:w="415" w:type="pct"/>
            <w:vAlign w:val="center"/>
            <w:hideMark/>
          </w:tcPr>
          <w:p w14:paraId="4E3D613C" w14:textId="77777777" w:rsidR="00000000" w:rsidRDefault="00C01C43">
            <w:pPr>
              <w:rPr>
                <w:rFonts w:eastAsia="Times New Roman"/>
                <w:sz w:val="20"/>
                <w:szCs w:val="20"/>
              </w:rPr>
            </w:pPr>
          </w:p>
        </w:tc>
        <w:tc>
          <w:tcPr>
            <w:tcW w:w="5" w:type="pct"/>
            <w:vAlign w:val="center"/>
            <w:hideMark/>
          </w:tcPr>
          <w:p w14:paraId="23C827E5" w14:textId="77777777" w:rsidR="00000000" w:rsidRDefault="00C01C43">
            <w:pPr>
              <w:rPr>
                <w:rFonts w:eastAsia="Times New Roman"/>
                <w:sz w:val="20"/>
                <w:szCs w:val="20"/>
              </w:rPr>
            </w:pPr>
          </w:p>
        </w:tc>
      </w:tr>
      <w:tr w:rsidR="00000000" w14:paraId="55EBCDC0" w14:textId="77777777">
        <w:trPr>
          <w:divId w:val="632563010"/>
        </w:trPr>
        <w:tc>
          <w:tcPr>
            <w:tcW w:w="0" w:type="auto"/>
            <w:gridSpan w:val="3"/>
            <w:tcMar>
              <w:top w:w="0" w:type="dxa"/>
              <w:left w:w="20" w:type="dxa"/>
              <w:bottom w:w="0" w:type="dxa"/>
              <w:right w:w="20" w:type="dxa"/>
            </w:tcMar>
            <w:vAlign w:val="center"/>
            <w:hideMark/>
          </w:tcPr>
          <w:p w14:paraId="6E7665C1" w14:textId="77777777" w:rsidR="00000000" w:rsidRDefault="00C01C43">
            <w:pPr>
              <w:rPr>
                <w:rFonts w:eastAsia="Times New Roman"/>
                <w:sz w:val="20"/>
                <w:szCs w:val="20"/>
              </w:rPr>
            </w:pPr>
          </w:p>
        </w:tc>
        <w:tc>
          <w:tcPr>
            <w:tcW w:w="0" w:type="auto"/>
            <w:gridSpan w:val="15"/>
            <w:tcMar>
              <w:top w:w="30" w:type="dxa"/>
              <w:left w:w="20" w:type="dxa"/>
              <w:bottom w:w="30" w:type="dxa"/>
              <w:right w:w="20" w:type="dxa"/>
            </w:tcMar>
            <w:vAlign w:val="bottom"/>
            <w:hideMark/>
          </w:tcPr>
          <w:p w14:paraId="4F2A7EE5" w14:textId="77777777" w:rsidR="00000000" w:rsidRDefault="00C01C43">
            <w:pPr>
              <w:jc w:val="center"/>
              <w:rPr>
                <w:rFonts w:eastAsia="Times New Roman"/>
              </w:rPr>
            </w:pPr>
            <w:r>
              <w:rPr>
                <w:rFonts w:ascii="Arial" w:eastAsia="Times New Roman" w:hAnsi="Arial" w:cs="Arial"/>
                <w:b/>
                <w:bCs/>
                <w:color w:val="000000"/>
                <w:sz w:val="16"/>
                <w:szCs w:val="16"/>
              </w:rPr>
              <w:t>As of December 31, 2020</w:t>
            </w:r>
          </w:p>
        </w:tc>
        <w:tc>
          <w:tcPr>
            <w:tcW w:w="0" w:type="auto"/>
            <w:gridSpan w:val="3"/>
            <w:tcMar>
              <w:top w:w="0" w:type="dxa"/>
              <w:left w:w="20" w:type="dxa"/>
              <w:bottom w:w="0" w:type="dxa"/>
              <w:right w:w="20" w:type="dxa"/>
            </w:tcMar>
            <w:vAlign w:val="center"/>
            <w:hideMark/>
          </w:tcPr>
          <w:p w14:paraId="2C52F2AE" w14:textId="77777777" w:rsidR="00000000" w:rsidRDefault="00C01C43">
            <w:pPr>
              <w:jc w:val="center"/>
              <w:rPr>
                <w:rFonts w:eastAsia="Times New Roman"/>
              </w:rPr>
            </w:pPr>
          </w:p>
        </w:tc>
        <w:tc>
          <w:tcPr>
            <w:tcW w:w="0" w:type="auto"/>
            <w:gridSpan w:val="15"/>
            <w:tcMar>
              <w:top w:w="30" w:type="dxa"/>
              <w:left w:w="20" w:type="dxa"/>
              <w:bottom w:w="30" w:type="dxa"/>
              <w:right w:w="20" w:type="dxa"/>
            </w:tcMar>
            <w:vAlign w:val="bottom"/>
            <w:hideMark/>
          </w:tcPr>
          <w:p w14:paraId="0534CEBD" w14:textId="77777777" w:rsidR="00000000" w:rsidRDefault="00C01C43">
            <w:pPr>
              <w:jc w:val="center"/>
              <w:rPr>
                <w:rFonts w:eastAsia="Times New Roman"/>
              </w:rPr>
            </w:pPr>
            <w:r>
              <w:rPr>
                <w:rFonts w:ascii="Arial" w:eastAsia="Times New Roman" w:hAnsi="Arial" w:cs="Arial"/>
                <w:b/>
                <w:bCs/>
                <w:color w:val="000000"/>
                <w:sz w:val="16"/>
                <w:szCs w:val="16"/>
              </w:rPr>
              <w:t>As of December 31, 2019</w:t>
            </w:r>
          </w:p>
        </w:tc>
      </w:tr>
      <w:tr w:rsidR="00000000" w14:paraId="1B33DDBC" w14:textId="77777777">
        <w:trPr>
          <w:divId w:val="632563010"/>
        </w:trPr>
        <w:tc>
          <w:tcPr>
            <w:tcW w:w="0" w:type="auto"/>
            <w:gridSpan w:val="3"/>
            <w:tcBorders>
              <w:top w:val="single" w:sz="8" w:space="0" w:color="000000"/>
            </w:tcBorders>
            <w:tcMar>
              <w:top w:w="0" w:type="dxa"/>
              <w:left w:w="20" w:type="dxa"/>
              <w:bottom w:w="0" w:type="dxa"/>
              <w:right w:w="20" w:type="dxa"/>
            </w:tcMar>
            <w:vAlign w:val="center"/>
            <w:hideMark/>
          </w:tcPr>
          <w:p w14:paraId="52411537"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D7D059" w14:textId="77777777" w:rsidR="00000000" w:rsidRDefault="00C01C43">
            <w:pPr>
              <w:jc w:val="center"/>
              <w:rPr>
                <w:rFonts w:eastAsia="Times New Roman"/>
              </w:rPr>
            </w:pPr>
            <w:r>
              <w:rPr>
                <w:rFonts w:ascii="Arial" w:eastAsia="Times New Roman" w:hAnsi="Arial" w:cs="Arial"/>
                <w:b/>
                <w:bCs/>
                <w:color w:val="000000"/>
                <w:sz w:val="16"/>
                <w:szCs w:val="16"/>
              </w:rPr>
              <w:t>Gross</w:t>
            </w:r>
            <w:r>
              <w:rPr>
                <w:rFonts w:ascii="Arial" w:eastAsia="Times New Roman" w:hAnsi="Arial" w:cs="Arial"/>
                <w:b/>
                <w:bCs/>
                <w:color w:val="000000"/>
                <w:sz w:val="16"/>
                <w:szCs w:val="16"/>
              </w:rPr>
              <w:br/>
              <w:t>Carrying</w:t>
            </w:r>
            <w:r>
              <w:rPr>
                <w:rFonts w:ascii="Arial" w:eastAsia="Times New Roman" w:hAnsi="Arial" w:cs="Arial"/>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6360B95A"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B3956E" w14:textId="77777777" w:rsidR="00000000" w:rsidRDefault="00C01C43">
            <w:pPr>
              <w:jc w:val="center"/>
              <w:rPr>
                <w:rFonts w:eastAsia="Times New Roman"/>
              </w:rPr>
            </w:pPr>
            <w:r>
              <w:rPr>
                <w:rFonts w:ascii="Arial" w:eastAsia="Times New Roman" w:hAnsi="Arial" w:cs="Arial"/>
                <w:b/>
                <w:bCs/>
                <w:color w:val="000000"/>
                <w:sz w:val="16"/>
                <w:szCs w:val="16"/>
              </w:rPr>
              <w:t>Accumulated</w:t>
            </w:r>
            <w:r>
              <w:rPr>
                <w:rFonts w:ascii="Arial" w:eastAsia="Times New Roman" w:hAnsi="Arial" w:cs="Arial"/>
                <w:b/>
                <w:bCs/>
                <w:color w:val="000000"/>
                <w:sz w:val="16"/>
                <w:szCs w:val="16"/>
              </w:rPr>
              <w:br/>
              <w:t>Amortization</w:t>
            </w:r>
            <w:r>
              <w:rPr>
                <w:rFonts w:ascii="Arial" w:eastAsia="Times New Roman" w:hAnsi="Arial" w:cs="Arial"/>
                <w:b/>
                <w:bCs/>
                <w:color w:val="000000"/>
                <w:sz w:val="16"/>
                <w:szCs w:val="16"/>
              </w:rPr>
              <w:t xml:space="preserve"> </w:t>
            </w:r>
            <w:r>
              <w:rPr>
                <w:rFonts w:ascii="Arial" w:eastAsia="Times New Roman" w:hAnsi="Arial" w:cs="Arial"/>
                <w:b/>
                <w:bCs/>
                <w:color w:val="000000"/>
                <w:sz w:val="10"/>
                <w:szCs w:val="10"/>
              </w:rPr>
              <w:t>(1</w:t>
            </w:r>
            <w:r>
              <w:rPr>
                <w:rFonts w:ascii="Arial" w:eastAsia="Times New Roman" w:hAnsi="Arial" w:cs="Arial"/>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478475F"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56DA02" w14:textId="77777777" w:rsidR="00000000" w:rsidRDefault="00C01C43">
            <w:pPr>
              <w:jc w:val="center"/>
              <w:rPr>
                <w:rFonts w:eastAsia="Times New Roman"/>
              </w:rPr>
            </w:pPr>
            <w:r>
              <w:rPr>
                <w:rFonts w:ascii="Arial" w:eastAsia="Times New Roman" w:hAnsi="Arial" w:cs="Arial"/>
                <w:b/>
                <w:bCs/>
                <w:color w:val="000000"/>
                <w:sz w:val="16"/>
                <w:szCs w:val="16"/>
              </w:rPr>
              <w:t>Net</w:t>
            </w:r>
          </w:p>
        </w:tc>
        <w:tc>
          <w:tcPr>
            <w:tcW w:w="0" w:type="auto"/>
            <w:gridSpan w:val="3"/>
            <w:tcMar>
              <w:top w:w="0" w:type="dxa"/>
              <w:left w:w="20" w:type="dxa"/>
              <w:bottom w:w="0" w:type="dxa"/>
              <w:right w:w="20" w:type="dxa"/>
            </w:tcMar>
            <w:vAlign w:val="center"/>
            <w:hideMark/>
          </w:tcPr>
          <w:p w14:paraId="0FF6580B"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9C6540" w14:textId="77777777" w:rsidR="00000000" w:rsidRDefault="00C01C43">
            <w:pPr>
              <w:jc w:val="center"/>
              <w:rPr>
                <w:rFonts w:eastAsia="Times New Roman"/>
              </w:rPr>
            </w:pPr>
            <w:r>
              <w:rPr>
                <w:rFonts w:ascii="Arial" w:eastAsia="Times New Roman" w:hAnsi="Arial" w:cs="Arial"/>
                <w:b/>
                <w:bCs/>
                <w:color w:val="000000"/>
                <w:sz w:val="16"/>
                <w:szCs w:val="16"/>
              </w:rPr>
              <w:t>Gross</w:t>
            </w:r>
            <w:r>
              <w:rPr>
                <w:rFonts w:ascii="Arial" w:eastAsia="Times New Roman" w:hAnsi="Arial" w:cs="Arial"/>
                <w:b/>
                <w:bCs/>
                <w:color w:val="000000"/>
                <w:sz w:val="16"/>
                <w:szCs w:val="16"/>
              </w:rPr>
              <w:br/>
              <w:t>Carrying</w:t>
            </w:r>
            <w:r>
              <w:rPr>
                <w:rFonts w:ascii="Arial" w:eastAsia="Times New Roman" w:hAnsi="Arial" w:cs="Arial"/>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22E53E7D"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9B0D29" w14:textId="77777777" w:rsidR="00000000" w:rsidRDefault="00C01C43">
            <w:pPr>
              <w:jc w:val="center"/>
              <w:rPr>
                <w:rFonts w:eastAsia="Times New Roman"/>
              </w:rPr>
            </w:pPr>
            <w:r>
              <w:rPr>
                <w:rFonts w:ascii="Arial" w:eastAsia="Times New Roman" w:hAnsi="Arial" w:cs="Arial"/>
                <w:b/>
                <w:bCs/>
                <w:color w:val="000000"/>
                <w:sz w:val="16"/>
                <w:szCs w:val="16"/>
              </w:rPr>
              <w:t>Accumulated</w:t>
            </w:r>
            <w:r>
              <w:rPr>
                <w:rFonts w:ascii="Arial" w:eastAsia="Times New Roman" w:hAnsi="Arial" w:cs="Arial"/>
                <w:b/>
                <w:bCs/>
                <w:color w:val="000000"/>
                <w:sz w:val="16"/>
                <w:szCs w:val="16"/>
              </w:rPr>
              <w:br/>
              <w:t>Amortization</w:t>
            </w:r>
            <w:r>
              <w:rPr>
                <w:rFonts w:ascii="Arial" w:eastAsia="Times New Roman" w:hAnsi="Arial" w:cs="Arial"/>
                <w:b/>
                <w:bCs/>
                <w:color w:val="000000"/>
                <w:sz w:val="16"/>
                <w:szCs w:val="16"/>
              </w:rPr>
              <w:t xml:space="preserve"> </w:t>
            </w:r>
            <w:r>
              <w:rPr>
                <w:rFonts w:ascii="Arial" w:eastAsia="Times New Roman" w:hAnsi="Arial" w:cs="Arial"/>
                <w:b/>
                <w:bCs/>
                <w:color w:val="000000"/>
                <w:sz w:val="10"/>
                <w:szCs w:val="10"/>
              </w:rPr>
              <w:t>(1</w:t>
            </w:r>
            <w:r>
              <w:rPr>
                <w:rFonts w:ascii="Arial" w:eastAsia="Times New Roman" w:hAnsi="Arial" w:cs="Arial"/>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A54D03D"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C56EAD" w14:textId="77777777" w:rsidR="00000000" w:rsidRDefault="00C01C43">
            <w:pPr>
              <w:jc w:val="center"/>
              <w:rPr>
                <w:rFonts w:eastAsia="Times New Roman"/>
              </w:rPr>
            </w:pPr>
            <w:r>
              <w:rPr>
                <w:rFonts w:ascii="Arial" w:eastAsia="Times New Roman" w:hAnsi="Arial" w:cs="Arial"/>
                <w:b/>
                <w:bCs/>
                <w:color w:val="000000"/>
                <w:sz w:val="16"/>
                <w:szCs w:val="16"/>
              </w:rPr>
              <w:t>Net</w:t>
            </w:r>
          </w:p>
        </w:tc>
      </w:tr>
      <w:tr w:rsidR="00000000" w14:paraId="3E8BE62F" w14:textId="77777777">
        <w:trPr>
          <w:divId w:val="63256301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CE2494" w14:textId="77777777" w:rsidR="00000000" w:rsidRDefault="00C01C43">
            <w:pPr>
              <w:rPr>
                <w:rFonts w:eastAsia="Times New Roman"/>
              </w:rPr>
            </w:pPr>
            <w:r>
              <w:rPr>
                <w:rFonts w:ascii="Arial" w:eastAsia="Times New Roman" w:hAnsi="Arial" w:cs="Arial"/>
                <w:color w:val="000000"/>
                <w:sz w:val="20"/>
                <w:szCs w:val="20"/>
              </w:rPr>
              <w:t>Intangible assets subject to amortization: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5E0CD9"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1F9475"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8F2C1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9C25AF"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5E79A0"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6CBACD"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4735D9"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E98479"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8BEA1B"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A0CF00"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31E786" w14:textId="77777777" w:rsidR="00000000" w:rsidRDefault="00C01C43">
            <w:pPr>
              <w:rPr>
                <w:rFonts w:eastAsia="Times New Roman"/>
                <w:sz w:val="20"/>
                <w:szCs w:val="20"/>
              </w:rPr>
            </w:pPr>
          </w:p>
        </w:tc>
      </w:tr>
      <w:tr w:rsidR="00000000" w14:paraId="67D6F1AC" w14:textId="77777777">
        <w:trPr>
          <w:divId w:val="632563010"/>
        </w:trPr>
        <w:tc>
          <w:tcPr>
            <w:tcW w:w="0" w:type="auto"/>
            <w:gridSpan w:val="3"/>
            <w:shd w:val="clear" w:color="auto" w:fill="FFFFFF"/>
            <w:tcMar>
              <w:top w:w="30" w:type="dxa"/>
              <w:left w:w="20" w:type="dxa"/>
              <w:bottom w:w="30" w:type="dxa"/>
              <w:right w:w="20" w:type="dxa"/>
            </w:tcMar>
            <w:vAlign w:val="bottom"/>
            <w:hideMark/>
          </w:tcPr>
          <w:p w14:paraId="180A5F23" w14:textId="77777777" w:rsidR="00000000" w:rsidRDefault="00C01C43">
            <w:pPr>
              <w:rPr>
                <w:rFonts w:eastAsia="Times New Roman"/>
              </w:rPr>
            </w:pPr>
            <w:r>
              <w:rPr>
                <w:rFonts w:ascii="Arial" w:eastAsia="Times New Roman" w:hAnsi="Arial" w:cs="Arial"/>
                <w:color w:val="000000"/>
                <w:sz w:val="20"/>
                <w:szCs w:val="20"/>
              </w:rPr>
              <w:t xml:space="preserve">Customer relationships </w:t>
            </w:r>
          </w:p>
        </w:tc>
        <w:tc>
          <w:tcPr>
            <w:tcW w:w="0" w:type="auto"/>
            <w:shd w:val="clear" w:color="auto" w:fill="FFFFFF"/>
            <w:tcMar>
              <w:top w:w="30" w:type="dxa"/>
              <w:left w:w="20" w:type="dxa"/>
              <w:bottom w:w="30" w:type="dxa"/>
              <w:right w:w="0" w:type="dxa"/>
            </w:tcMar>
            <w:vAlign w:val="bottom"/>
            <w:hideMark/>
          </w:tcPr>
          <w:p w14:paraId="60F06ED2"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2D85578" w14:textId="77777777" w:rsidR="00000000" w:rsidRDefault="00C01C43">
            <w:pPr>
              <w:jc w:val="right"/>
              <w:rPr>
                <w:rFonts w:eastAsia="Times New Roman"/>
              </w:rPr>
            </w:pPr>
            <w:r>
              <w:rPr>
                <w:rFonts w:ascii="Arial" w:eastAsia="Times New Roman" w:hAnsi="Arial" w:cs="Arial"/>
                <w:color w:val="000000"/>
                <w:sz w:val="20"/>
                <w:szCs w:val="20"/>
              </w:rPr>
              <w:t>392.1 </w:t>
            </w:r>
          </w:p>
        </w:tc>
        <w:tc>
          <w:tcPr>
            <w:tcW w:w="0" w:type="auto"/>
            <w:shd w:val="clear" w:color="auto" w:fill="FFFFFF"/>
            <w:tcMar>
              <w:top w:w="30" w:type="dxa"/>
              <w:left w:w="0" w:type="dxa"/>
              <w:bottom w:w="30" w:type="dxa"/>
              <w:right w:w="20" w:type="dxa"/>
            </w:tcMar>
            <w:vAlign w:val="bottom"/>
            <w:hideMark/>
          </w:tcPr>
          <w:p w14:paraId="405394A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A2C53"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034758"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3D4B09E" w14:textId="77777777" w:rsidR="00000000" w:rsidRDefault="00C01C43">
            <w:pPr>
              <w:jc w:val="right"/>
              <w:rPr>
                <w:rFonts w:eastAsia="Times New Roman"/>
              </w:rPr>
            </w:pPr>
            <w:r>
              <w:rPr>
                <w:rFonts w:ascii="Arial" w:eastAsia="Times New Roman" w:hAnsi="Arial" w:cs="Arial"/>
                <w:color w:val="000000"/>
                <w:sz w:val="20"/>
                <w:szCs w:val="20"/>
              </w:rPr>
              <w:t>236.5 </w:t>
            </w:r>
          </w:p>
        </w:tc>
        <w:tc>
          <w:tcPr>
            <w:tcW w:w="0" w:type="auto"/>
            <w:shd w:val="clear" w:color="auto" w:fill="FFFFFF"/>
            <w:tcMar>
              <w:top w:w="30" w:type="dxa"/>
              <w:left w:w="0" w:type="dxa"/>
              <w:bottom w:w="30" w:type="dxa"/>
              <w:right w:w="20" w:type="dxa"/>
            </w:tcMar>
            <w:vAlign w:val="bottom"/>
            <w:hideMark/>
          </w:tcPr>
          <w:p w14:paraId="5188795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3AD35"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38C9B5"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A9EFD8C" w14:textId="77777777" w:rsidR="00000000" w:rsidRDefault="00C01C43">
            <w:pPr>
              <w:jc w:val="right"/>
              <w:rPr>
                <w:rFonts w:eastAsia="Times New Roman"/>
              </w:rPr>
            </w:pPr>
            <w:r>
              <w:rPr>
                <w:rFonts w:ascii="Arial" w:eastAsia="Times New Roman" w:hAnsi="Arial" w:cs="Arial"/>
                <w:color w:val="000000"/>
                <w:sz w:val="20"/>
                <w:szCs w:val="20"/>
              </w:rPr>
              <w:t>155.6 </w:t>
            </w:r>
          </w:p>
        </w:tc>
        <w:tc>
          <w:tcPr>
            <w:tcW w:w="0" w:type="auto"/>
            <w:shd w:val="clear" w:color="auto" w:fill="FFFFFF"/>
            <w:tcMar>
              <w:top w:w="30" w:type="dxa"/>
              <w:left w:w="0" w:type="dxa"/>
              <w:bottom w:w="30" w:type="dxa"/>
              <w:right w:w="20" w:type="dxa"/>
            </w:tcMar>
            <w:vAlign w:val="bottom"/>
            <w:hideMark/>
          </w:tcPr>
          <w:p w14:paraId="1071A0B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EDFBF"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4A91BC"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6C589C7" w14:textId="77777777" w:rsidR="00000000" w:rsidRDefault="00C01C43">
            <w:pPr>
              <w:jc w:val="right"/>
              <w:rPr>
                <w:rFonts w:eastAsia="Times New Roman"/>
              </w:rPr>
            </w:pPr>
            <w:r>
              <w:rPr>
                <w:rFonts w:ascii="Arial" w:eastAsia="Times New Roman" w:hAnsi="Arial" w:cs="Arial"/>
                <w:color w:val="000000"/>
                <w:sz w:val="20"/>
                <w:szCs w:val="20"/>
              </w:rPr>
              <w:t>382.0 </w:t>
            </w:r>
          </w:p>
        </w:tc>
        <w:tc>
          <w:tcPr>
            <w:tcW w:w="0" w:type="auto"/>
            <w:shd w:val="clear" w:color="auto" w:fill="FFFFFF"/>
            <w:tcMar>
              <w:top w:w="30" w:type="dxa"/>
              <w:left w:w="0" w:type="dxa"/>
              <w:bottom w:w="30" w:type="dxa"/>
              <w:right w:w="20" w:type="dxa"/>
            </w:tcMar>
            <w:vAlign w:val="bottom"/>
            <w:hideMark/>
          </w:tcPr>
          <w:p w14:paraId="23435EC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7B6B5"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49235B"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5DE3F96" w14:textId="77777777" w:rsidR="00000000" w:rsidRDefault="00C01C43">
            <w:pPr>
              <w:jc w:val="right"/>
              <w:rPr>
                <w:rFonts w:eastAsia="Times New Roman"/>
              </w:rPr>
            </w:pPr>
            <w:r>
              <w:rPr>
                <w:rFonts w:ascii="Arial" w:eastAsia="Times New Roman" w:hAnsi="Arial" w:cs="Arial"/>
                <w:color w:val="000000"/>
                <w:sz w:val="20"/>
                <w:szCs w:val="20"/>
              </w:rPr>
              <w:t>226.5 </w:t>
            </w:r>
          </w:p>
        </w:tc>
        <w:tc>
          <w:tcPr>
            <w:tcW w:w="0" w:type="auto"/>
            <w:shd w:val="clear" w:color="auto" w:fill="FFFFFF"/>
            <w:tcMar>
              <w:top w:w="30" w:type="dxa"/>
              <w:left w:w="0" w:type="dxa"/>
              <w:bottom w:w="30" w:type="dxa"/>
              <w:right w:w="20" w:type="dxa"/>
            </w:tcMar>
            <w:vAlign w:val="bottom"/>
            <w:hideMark/>
          </w:tcPr>
          <w:p w14:paraId="1A3A3C0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1EA167"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22CEB8"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B617509" w14:textId="77777777" w:rsidR="00000000" w:rsidRDefault="00C01C43">
            <w:pPr>
              <w:jc w:val="right"/>
              <w:rPr>
                <w:rFonts w:eastAsia="Times New Roman"/>
              </w:rPr>
            </w:pPr>
            <w:r>
              <w:rPr>
                <w:rFonts w:ascii="Arial" w:eastAsia="Times New Roman" w:hAnsi="Arial" w:cs="Arial"/>
                <w:color w:val="000000"/>
                <w:sz w:val="20"/>
                <w:szCs w:val="20"/>
              </w:rPr>
              <w:t>155.5 </w:t>
            </w:r>
          </w:p>
        </w:tc>
        <w:tc>
          <w:tcPr>
            <w:tcW w:w="0" w:type="auto"/>
            <w:shd w:val="clear" w:color="auto" w:fill="FFFFFF"/>
            <w:tcMar>
              <w:top w:w="30" w:type="dxa"/>
              <w:left w:w="0" w:type="dxa"/>
              <w:bottom w:w="30" w:type="dxa"/>
              <w:right w:w="20" w:type="dxa"/>
            </w:tcMar>
            <w:vAlign w:val="bottom"/>
            <w:hideMark/>
          </w:tcPr>
          <w:p w14:paraId="24D3AE6A" w14:textId="77777777" w:rsidR="00000000" w:rsidRDefault="00C01C43">
            <w:pPr>
              <w:jc w:val="right"/>
              <w:rPr>
                <w:rFonts w:eastAsia="Times New Roman"/>
              </w:rPr>
            </w:pPr>
          </w:p>
        </w:tc>
      </w:tr>
      <w:tr w:rsidR="00000000" w14:paraId="1B4C1747" w14:textId="77777777">
        <w:trPr>
          <w:divId w:val="632563010"/>
        </w:trPr>
        <w:tc>
          <w:tcPr>
            <w:tcW w:w="0" w:type="auto"/>
            <w:gridSpan w:val="3"/>
            <w:shd w:val="clear" w:color="auto" w:fill="CCEEFF"/>
            <w:tcMar>
              <w:top w:w="30" w:type="dxa"/>
              <w:left w:w="20" w:type="dxa"/>
              <w:bottom w:w="30" w:type="dxa"/>
              <w:right w:w="20" w:type="dxa"/>
            </w:tcMar>
            <w:vAlign w:val="bottom"/>
            <w:hideMark/>
          </w:tcPr>
          <w:p w14:paraId="3C02332B" w14:textId="77777777" w:rsidR="00000000" w:rsidRDefault="00C01C43">
            <w:pPr>
              <w:rPr>
                <w:rFonts w:eastAsia="Times New Roman"/>
              </w:rPr>
            </w:pPr>
            <w:r>
              <w:rPr>
                <w:rFonts w:ascii="Arial" w:eastAsia="Times New Roman" w:hAnsi="Arial" w:cs="Arial"/>
                <w:color w:val="000000"/>
                <w:sz w:val="20"/>
                <w:szCs w:val="20"/>
              </w:rPr>
              <w:t>Supplier agreements</w:t>
            </w:r>
          </w:p>
        </w:tc>
        <w:tc>
          <w:tcPr>
            <w:tcW w:w="0" w:type="auto"/>
            <w:gridSpan w:val="2"/>
            <w:shd w:val="clear" w:color="auto" w:fill="CCEEFF"/>
            <w:tcMar>
              <w:top w:w="30" w:type="dxa"/>
              <w:left w:w="20" w:type="dxa"/>
              <w:bottom w:w="30" w:type="dxa"/>
              <w:right w:w="0" w:type="dxa"/>
            </w:tcMar>
            <w:vAlign w:val="bottom"/>
            <w:hideMark/>
          </w:tcPr>
          <w:p w14:paraId="3B71D0BD" w14:textId="77777777" w:rsidR="00000000" w:rsidRDefault="00C01C43">
            <w:pPr>
              <w:jc w:val="right"/>
              <w:rPr>
                <w:rFonts w:eastAsia="Times New Roman"/>
              </w:rPr>
            </w:pPr>
            <w:r>
              <w:rPr>
                <w:rFonts w:ascii="Arial" w:eastAsia="Times New Roman" w:hAnsi="Arial" w:cs="Arial"/>
                <w:color w:val="000000"/>
                <w:sz w:val="20"/>
                <w:szCs w:val="20"/>
              </w:rPr>
              <w:t>31.9 </w:t>
            </w:r>
          </w:p>
        </w:tc>
        <w:tc>
          <w:tcPr>
            <w:tcW w:w="0" w:type="auto"/>
            <w:shd w:val="clear" w:color="auto" w:fill="CCEEFF"/>
            <w:tcMar>
              <w:top w:w="30" w:type="dxa"/>
              <w:left w:w="0" w:type="dxa"/>
              <w:bottom w:w="30" w:type="dxa"/>
              <w:right w:w="20" w:type="dxa"/>
            </w:tcMar>
            <w:vAlign w:val="bottom"/>
            <w:hideMark/>
          </w:tcPr>
          <w:p w14:paraId="1861AD8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A660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39533E" w14:textId="77777777" w:rsidR="00000000" w:rsidRDefault="00C01C43">
            <w:pPr>
              <w:jc w:val="right"/>
              <w:rPr>
                <w:rFonts w:eastAsia="Times New Roman"/>
              </w:rPr>
            </w:pPr>
            <w:r>
              <w:rPr>
                <w:rFonts w:ascii="Arial" w:eastAsia="Times New Roman" w:hAnsi="Arial" w:cs="Arial"/>
                <w:color w:val="000000"/>
                <w:sz w:val="20"/>
                <w:szCs w:val="20"/>
              </w:rPr>
              <w:t>18.0 </w:t>
            </w:r>
          </w:p>
        </w:tc>
        <w:tc>
          <w:tcPr>
            <w:tcW w:w="0" w:type="auto"/>
            <w:shd w:val="clear" w:color="auto" w:fill="CCEEFF"/>
            <w:tcMar>
              <w:top w:w="30" w:type="dxa"/>
              <w:left w:w="0" w:type="dxa"/>
              <w:bottom w:w="30" w:type="dxa"/>
              <w:right w:w="20" w:type="dxa"/>
            </w:tcMar>
            <w:vAlign w:val="bottom"/>
            <w:hideMark/>
          </w:tcPr>
          <w:p w14:paraId="753B419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1514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A79C1C" w14:textId="77777777" w:rsidR="00000000" w:rsidRDefault="00C01C43">
            <w:pPr>
              <w:jc w:val="right"/>
              <w:rPr>
                <w:rFonts w:eastAsia="Times New Roman"/>
              </w:rPr>
            </w:pPr>
            <w:r>
              <w:rPr>
                <w:rFonts w:ascii="Arial" w:eastAsia="Times New Roman" w:hAnsi="Arial" w:cs="Arial"/>
                <w:color w:val="000000"/>
                <w:sz w:val="20"/>
                <w:szCs w:val="20"/>
              </w:rPr>
              <w:t>13.9 </w:t>
            </w:r>
          </w:p>
        </w:tc>
        <w:tc>
          <w:tcPr>
            <w:tcW w:w="0" w:type="auto"/>
            <w:shd w:val="clear" w:color="auto" w:fill="CCEEFF"/>
            <w:tcMar>
              <w:top w:w="30" w:type="dxa"/>
              <w:left w:w="0" w:type="dxa"/>
              <w:bottom w:w="30" w:type="dxa"/>
              <w:right w:w="20" w:type="dxa"/>
            </w:tcMar>
            <w:vAlign w:val="bottom"/>
            <w:hideMark/>
          </w:tcPr>
          <w:p w14:paraId="401CA22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4C28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277627" w14:textId="77777777" w:rsidR="00000000" w:rsidRDefault="00C01C43">
            <w:pPr>
              <w:jc w:val="right"/>
              <w:rPr>
                <w:rFonts w:eastAsia="Times New Roman"/>
              </w:rPr>
            </w:pPr>
            <w:r>
              <w:rPr>
                <w:rFonts w:ascii="Arial" w:eastAsia="Times New Roman" w:hAnsi="Arial" w:cs="Arial"/>
                <w:color w:val="000000"/>
                <w:sz w:val="20"/>
                <w:szCs w:val="20"/>
              </w:rPr>
              <w:t>39.0 </w:t>
            </w:r>
          </w:p>
        </w:tc>
        <w:tc>
          <w:tcPr>
            <w:tcW w:w="0" w:type="auto"/>
            <w:shd w:val="clear" w:color="auto" w:fill="CCEEFF"/>
            <w:tcMar>
              <w:top w:w="30" w:type="dxa"/>
              <w:left w:w="0" w:type="dxa"/>
              <w:bottom w:w="30" w:type="dxa"/>
              <w:right w:w="20" w:type="dxa"/>
            </w:tcMar>
            <w:vAlign w:val="bottom"/>
            <w:hideMark/>
          </w:tcPr>
          <w:p w14:paraId="11ECB07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A166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7A331B" w14:textId="77777777" w:rsidR="00000000" w:rsidRDefault="00C01C43">
            <w:pPr>
              <w:jc w:val="right"/>
              <w:rPr>
                <w:rFonts w:eastAsia="Times New Roman"/>
              </w:rPr>
            </w:pPr>
            <w:r>
              <w:rPr>
                <w:rFonts w:ascii="Arial" w:eastAsia="Times New Roman" w:hAnsi="Arial" w:cs="Arial"/>
                <w:color w:val="000000"/>
                <w:sz w:val="20"/>
                <w:szCs w:val="20"/>
              </w:rPr>
              <w:t>19.8 </w:t>
            </w:r>
          </w:p>
        </w:tc>
        <w:tc>
          <w:tcPr>
            <w:tcW w:w="0" w:type="auto"/>
            <w:shd w:val="clear" w:color="auto" w:fill="CCEEFF"/>
            <w:tcMar>
              <w:top w:w="30" w:type="dxa"/>
              <w:left w:w="0" w:type="dxa"/>
              <w:bottom w:w="30" w:type="dxa"/>
              <w:right w:w="20" w:type="dxa"/>
            </w:tcMar>
            <w:vAlign w:val="bottom"/>
            <w:hideMark/>
          </w:tcPr>
          <w:p w14:paraId="5E07437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2F51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71E959" w14:textId="77777777" w:rsidR="00000000" w:rsidRDefault="00C01C43">
            <w:pPr>
              <w:jc w:val="right"/>
              <w:rPr>
                <w:rFonts w:eastAsia="Times New Roman"/>
              </w:rPr>
            </w:pPr>
            <w:r>
              <w:rPr>
                <w:rFonts w:ascii="Arial" w:eastAsia="Times New Roman" w:hAnsi="Arial" w:cs="Arial"/>
                <w:color w:val="000000"/>
                <w:sz w:val="20"/>
                <w:szCs w:val="20"/>
              </w:rPr>
              <w:t>19.2 </w:t>
            </w:r>
          </w:p>
        </w:tc>
        <w:tc>
          <w:tcPr>
            <w:tcW w:w="0" w:type="auto"/>
            <w:shd w:val="clear" w:color="auto" w:fill="CCEEFF"/>
            <w:tcMar>
              <w:top w:w="30" w:type="dxa"/>
              <w:left w:w="0" w:type="dxa"/>
              <w:bottom w:w="30" w:type="dxa"/>
              <w:right w:w="20" w:type="dxa"/>
            </w:tcMar>
            <w:vAlign w:val="bottom"/>
            <w:hideMark/>
          </w:tcPr>
          <w:p w14:paraId="3811BB52" w14:textId="77777777" w:rsidR="00000000" w:rsidRDefault="00C01C43">
            <w:pPr>
              <w:jc w:val="right"/>
              <w:rPr>
                <w:rFonts w:eastAsia="Times New Roman"/>
              </w:rPr>
            </w:pPr>
          </w:p>
        </w:tc>
      </w:tr>
      <w:tr w:rsidR="00000000" w14:paraId="682991EA" w14:textId="77777777">
        <w:trPr>
          <w:divId w:val="632563010"/>
        </w:trPr>
        <w:tc>
          <w:tcPr>
            <w:tcW w:w="0" w:type="auto"/>
            <w:gridSpan w:val="3"/>
            <w:shd w:val="clear" w:color="auto" w:fill="FFFFFF"/>
            <w:tcMar>
              <w:top w:w="30" w:type="dxa"/>
              <w:left w:w="20" w:type="dxa"/>
              <w:bottom w:w="30" w:type="dxa"/>
              <w:right w:w="20" w:type="dxa"/>
            </w:tcMar>
            <w:vAlign w:val="bottom"/>
            <w:hideMark/>
          </w:tcPr>
          <w:p w14:paraId="5125B424" w14:textId="77777777" w:rsidR="00000000" w:rsidRDefault="00C01C43">
            <w:pPr>
              <w:rPr>
                <w:rFonts w:eastAsia="Times New Roman"/>
              </w:rPr>
            </w:pPr>
            <w:r>
              <w:rPr>
                <w:rFonts w:ascii="Arial" w:eastAsia="Times New Roman" w:hAnsi="Arial" w:cs="Arial"/>
                <w:color w:val="000000"/>
                <w:sz w:val="20"/>
                <w:szCs w:val="20"/>
              </w:rPr>
              <w:t>Others</w:t>
            </w:r>
          </w:p>
        </w:tc>
        <w:tc>
          <w:tcPr>
            <w:tcW w:w="0" w:type="auto"/>
            <w:gridSpan w:val="2"/>
            <w:shd w:val="clear" w:color="auto" w:fill="FFFFFF"/>
            <w:tcMar>
              <w:top w:w="30" w:type="dxa"/>
              <w:left w:w="20" w:type="dxa"/>
              <w:bottom w:w="30" w:type="dxa"/>
              <w:right w:w="0" w:type="dxa"/>
            </w:tcMar>
            <w:vAlign w:val="bottom"/>
            <w:hideMark/>
          </w:tcPr>
          <w:p w14:paraId="2E7CAF82" w14:textId="77777777" w:rsidR="00000000" w:rsidRDefault="00C01C43">
            <w:pPr>
              <w:jc w:val="right"/>
              <w:rPr>
                <w:rFonts w:eastAsia="Times New Roman"/>
              </w:rPr>
            </w:pPr>
            <w:r>
              <w:rPr>
                <w:rFonts w:ascii="Arial" w:eastAsia="Times New Roman" w:hAnsi="Arial" w:cs="Arial"/>
                <w:color w:val="000000"/>
                <w:sz w:val="20"/>
                <w:szCs w:val="20"/>
              </w:rPr>
              <w:t>37.5 </w:t>
            </w:r>
          </w:p>
        </w:tc>
        <w:tc>
          <w:tcPr>
            <w:tcW w:w="0" w:type="auto"/>
            <w:shd w:val="clear" w:color="auto" w:fill="FFFFFF"/>
            <w:tcMar>
              <w:top w:w="30" w:type="dxa"/>
              <w:left w:w="0" w:type="dxa"/>
              <w:bottom w:w="30" w:type="dxa"/>
              <w:right w:w="20" w:type="dxa"/>
            </w:tcMar>
            <w:vAlign w:val="bottom"/>
            <w:hideMark/>
          </w:tcPr>
          <w:p w14:paraId="0065CD5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82740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A9A442" w14:textId="77777777" w:rsidR="00000000" w:rsidRDefault="00C01C43">
            <w:pPr>
              <w:jc w:val="right"/>
              <w:rPr>
                <w:rFonts w:eastAsia="Times New Roman"/>
              </w:rPr>
            </w:pPr>
            <w:r>
              <w:rPr>
                <w:rFonts w:ascii="Arial" w:eastAsia="Times New Roman" w:hAnsi="Arial" w:cs="Arial"/>
                <w:color w:val="000000"/>
                <w:sz w:val="20"/>
                <w:szCs w:val="20"/>
              </w:rPr>
              <w:t>28.6 </w:t>
            </w:r>
          </w:p>
        </w:tc>
        <w:tc>
          <w:tcPr>
            <w:tcW w:w="0" w:type="auto"/>
            <w:shd w:val="clear" w:color="auto" w:fill="FFFFFF"/>
            <w:tcMar>
              <w:top w:w="30" w:type="dxa"/>
              <w:left w:w="0" w:type="dxa"/>
              <w:bottom w:w="30" w:type="dxa"/>
              <w:right w:w="20" w:type="dxa"/>
            </w:tcMar>
            <w:vAlign w:val="bottom"/>
            <w:hideMark/>
          </w:tcPr>
          <w:p w14:paraId="6E0F41E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612C0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E2664D" w14:textId="77777777" w:rsidR="00000000" w:rsidRDefault="00C01C43">
            <w:pPr>
              <w:jc w:val="right"/>
              <w:rPr>
                <w:rFonts w:eastAsia="Times New Roman"/>
              </w:rPr>
            </w:pPr>
            <w:r>
              <w:rPr>
                <w:rFonts w:ascii="Arial" w:eastAsia="Times New Roman" w:hAnsi="Arial" w:cs="Arial"/>
                <w:color w:val="000000"/>
                <w:sz w:val="20"/>
                <w:szCs w:val="20"/>
              </w:rPr>
              <w:t>8.8 </w:t>
            </w:r>
          </w:p>
        </w:tc>
        <w:tc>
          <w:tcPr>
            <w:tcW w:w="0" w:type="auto"/>
            <w:shd w:val="clear" w:color="auto" w:fill="FFFFFF"/>
            <w:tcMar>
              <w:top w:w="30" w:type="dxa"/>
              <w:left w:w="0" w:type="dxa"/>
              <w:bottom w:w="30" w:type="dxa"/>
              <w:right w:w="20" w:type="dxa"/>
            </w:tcMar>
            <w:vAlign w:val="bottom"/>
            <w:hideMark/>
          </w:tcPr>
          <w:p w14:paraId="747B716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BAAE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9767CF" w14:textId="77777777" w:rsidR="00000000" w:rsidRDefault="00C01C43">
            <w:pPr>
              <w:jc w:val="right"/>
              <w:rPr>
                <w:rFonts w:eastAsia="Times New Roman"/>
              </w:rPr>
            </w:pPr>
            <w:r>
              <w:rPr>
                <w:rFonts w:ascii="Arial" w:eastAsia="Times New Roman" w:hAnsi="Arial" w:cs="Arial"/>
                <w:color w:val="000000"/>
                <w:sz w:val="20"/>
                <w:szCs w:val="20"/>
              </w:rPr>
              <w:t>40.1 </w:t>
            </w:r>
          </w:p>
        </w:tc>
        <w:tc>
          <w:tcPr>
            <w:tcW w:w="0" w:type="auto"/>
            <w:shd w:val="clear" w:color="auto" w:fill="FFFFFF"/>
            <w:tcMar>
              <w:top w:w="30" w:type="dxa"/>
              <w:left w:w="0" w:type="dxa"/>
              <w:bottom w:w="30" w:type="dxa"/>
              <w:right w:w="20" w:type="dxa"/>
            </w:tcMar>
            <w:vAlign w:val="bottom"/>
            <w:hideMark/>
          </w:tcPr>
          <w:p w14:paraId="0B76438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91E8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E6143D" w14:textId="77777777" w:rsidR="00000000" w:rsidRDefault="00C01C43">
            <w:pPr>
              <w:jc w:val="right"/>
              <w:rPr>
                <w:rFonts w:eastAsia="Times New Roman"/>
              </w:rPr>
            </w:pPr>
            <w:r>
              <w:rPr>
                <w:rFonts w:ascii="Arial" w:eastAsia="Times New Roman" w:hAnsi="Arial" w:cs="Arial"/>
                <w:color w:val="000000"/>
                <w:sz w:val="20"/>
                <w:szCs w:val="20"/>
              </w:rPr>
              <w:t>33.5 </w:t>
            </w:r>
          </w:p>
        </w:tc>
        <w:tc>
          <w:tcPr>
            <w:tcW w:w="0" w:type="auto"/>
            <w:shd w:val="clear" w:color="auto" w:fill="FFFFFF"/>
            <w:tcMar>
              <w:top w:w="30" w:type="dxa"/>
              <w:left w:w="0" w:type="dxa"/>
              <w:bottom w:w="30" w:type="dxa"/>
              <w:right w:w="20" w:type="dxa"/>
            </w:tcMar>
            <w:vAlign w:val="bottom"/>
            <w:hideMark/>
          </w:tcPr>
          <w:p w14:paraId="58A33C2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795C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491B68" w14:textId="77777777" w:rsidR="00000000" w:rsidRDefault="00C01C43">
            <w:pPr>
              <w:jc w:val="right"/>
              <w:rPr>
                <w:rFonts w:eastAsia="Times New Roman"/>
              </w:rPr>
            </w:pPr>
            <w:r>
              <w:rPr>
                <w:rFonts w:ascii="Arial" w:eastAsia="Times New Roman" w:hAnsi="Arial" w:cs="Arial"/>
                <w:color w:val="000000"/>
                <w:sz w:val="20"/>
                <w:szCs w:val="20"/>
              </w:rPr>
              <w:t>6.6 </w:t>
            </w:r>
          </w:p>
        </w:tc>
        <w:tc>
          <w:tcPr>
            <w:tcW w:w="0" w:type="auto"/>
            <w:shd w:val="clear" w:color="auto" w:fill="FFFFFF"/>
            <w:tcMar>
              <w:top w:w="30" w:type="dxa"/>
              <w:left w:w="0" w:type="dxa"/>
              <w:bottom w:w="30" w:type="dxa"/>
              <w:right w:w="20" w:type="dxa"/>
            </w:tcMar>
            <w:vAlign w:val="bottom"/>
            <w:hideMark/>
          </w:tcPr>
          <w:p w14:paraId="01AD15CA" w14:textId="77777777" w:rsidR="00000000" w:rsidRDefault="00C01C43">
            <w:pPr>
              <w:jc w:val="right"/>
              <w:rPr>
                <w:rFonts w:eastAsia="Times New Roman"/>
              </w:rPr>
            </w:pPr>
          </w:p>
        </w:tc>
      </w:tr>
      <w:tr w:rsidR="00000000" w14:paraId="23F84E0C" w14:textId="77777777">
        <w:trPr>
          <w:divId w:val="632563010"/>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CFAC4F"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120533" w14:textId="77777777" w:rsidR="00000000" w:rsidRDefault="00C01C43">
            <w:pPr>
              <w:jc w:val="right"/>
              <w:rPr>
                <w:rFonts w:eastAsia="Times New Roman"/>
              </w:rPr>
            </w:pPr>
            <w:r>
              <w:rPr>
                <w:rFonts w:ascii="Arial" w:eastAsia="Times New Roman" w:hAnsi="Arial" w:cs="Arial"/>
                <w:color w:val="000000"/>
                <w:sz w:val="20"/>
                <w:szCs w:val="20"/>
              </w:rPr>
              <w:t>461.5 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5E5FB4"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8A3EA1"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916FD8" w14:textId="77777777" w:rsidR="00000000" w:rsidRDefault="00C01C43">
            <w:pPr>
              <w:jc w:val="right"/>
              <w:rPr>
                <w:rFonts w:eastAsia="Times New Roman"/>
              </w:rPr>
            </w:pPr>
            <w:r>
              <w:rPr>
                <w:rFonts w:ascii="Arial" w:eastAsia="Times New Roman" w:hAnsi="Arial" w:cs="Arial"/>
                <w:color w:val="000000"/>
                <w:sz w:val="20"/>
                <w:szCs w:val="20"/>
              </w:rPr>
              <w:t>283.2 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7C84A3"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F952E2"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ED70A2" w14:textId="77777777" w:rsidR="00000000" w:rsidRDefault="00C01C43">
            <w:pPr>
              <w:jc w:val="right"/>
              <w:rPr>
                <w:rFonts w:eastAsia="Times New Roman"/>
              </w:rPr>
            </w:pPr>
            <w:r>
              <w:rPr>
                <w:rFonts w:ascii="Arial" w:eastAsia="Times New Roman" w:hAnsi="Arial" w:cs="Arial"/>
                <w:color w:val="000000"/>
                <w:sz w:val="20"/>
                <w:szCs w:val="20"/>
              </w:rPr>
              <w:t>178.3 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06CA1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3F35B"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1BAE78" w14:textId="77777777" w:rsidR="00000000" w:rsidRDefault="00C01C43">
            <w:pPr>
              <w:jc w:val="right"/>
              <w:rPr>
                <w:rFonts w:eastAsia="Times New Roman"/>
              </w:rPr>
            </w:pPr>
            <w:r>
              <w:rPr>
                <w:rFonts w:ascii="Arial" w:eastAsia="Times New Roman" w:hAnsi="Arial" w:cs="Arial"/>
                <w:color w:val="000000"/>
                <w:sz w:val="20"/>
                <w:szCs w:val="20"/>
              </w:rPr>
              <w:t>461.1 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01053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31DDBA"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14251A" w14:textId="77777777" w:rsidR="00000000" w:rsidRDefault="00C01C43">
            <w:pPr>
              <w:jc w:val="right"/>
              <w:rPr>
                <w:rFonts w:eastAsia="Times New Roman"/>
              </w:rPr>
            </w:pPr>
            <w:r>
              <w:rPr>
                <w:rFonts w:ascii="Arial" w:eastAsia="Times New Roman" w:hAnsi="Arial" w:cs="Arial"/>
                <w:color w:val="000000"/>
                <w:sz w:val="20"/>
                <w:szCs w:val="20"/>
              </w:rPr>
              <w:t>279.8 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E02BF0"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0279B1"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035D87" w14:textId="77777777" w:rsidR="00000000" w:rsidRDefault="00C01C43">
            <w:pPr>
              <w:jc w:val="right"/>
              <w:rPr>
                <w:rFonts w:eastAsia="Times New Roman"/>
              </w:rPr>
            </w:pPr>
            <w:r>
              <w:rPr>
                <w:rFonts w:ascii="Arial" w:eastAsia="Times New Roman" w:hAnsi="Arial" w:cs="Arial"/>
                <w:color w:val="000000"/>
                <w:sz w:val="20"/>
                <w:szCs w:val="20"/>
              </w:rPr>
              <w:t>181.3 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280945" w14:textId="77777777" w:rsidR="00000000" w:rsidRDefault="00C01C43">
            <w:pPr>
              <w:jc w:val="right"/>
              <w:rPr>
                <w:rFonts w:eastAsia="Times New Roman"/>
              </w:rPr>
            </w:pPr>
          </w:p>
        </w:tc>
      </w:tr>
      <w:tr w:rsidR="00000000" w14:paraId="2C80B2D4" w14:textId="77777777">
        <w:trPr>
          <w:divId w:val="632563010"/>
        </w:trPr>
        <w:tc>
          <w:tcPr>
            <w:tcW w:w="0" w:type="auto"/>
            <w:gridSpan w:val="3"/>
            <w:shd w:val="clear" w:color="auto" w:fill="FFFFFF"/>
            <w:tcMar>
              <w:top w:w="30" w:type="dxa"/>
              <w:left w:w="20" w:type="dxa"/>
              <w:bottom w:w="30" w:type="dxa"/>
              <w:right w:w="20" w:type="dxa"/>
            </w:tcMar>
            <w:vAlign w:val="bottom"/>
            <w:hideMark/>
          </w:tcPr>
          <w:p w14:paraId="07D6DBC2" w14:textId="77777777" w:rsidR="00000000" w:rsidRDefault="00C01C43">
            <w:pPr>
              <w:rPr>
                <w:rFonts w:eastAsia="Times New Roman"/>
              </w:rPr>
            </w:pPr>
            <w:r>
              <w:rPr>
                <w:rFonts w:ascii="Arial" w:eastAsia="Times New Roman" w:hAnsi="Arial" w:cs="Arial"/>
                <w:color w:val="000000"/>
                <w:sz w:val="20"/>
                <w:szCs w:val="20"/>
              </w:rPr>
              <w:t>Intangible assets not subject to amortization:</w:t>
            </w:r>
          </w:p>
        </w:tc>
        <w:tc>
          <w:tcPr>
            <w:tcW w:w="0" w:type="auto"/>
            <w:gridSpan w:val="3"/>
            <w:shd w:val="clear" w:color="auto" w:fill="FFFFFF"/>
            <w:tcMar>
              <w:top w:w="0" w:type="dxa"/>
              <w:left w:w="20" w:type="dxa"/>
              <w:bottom w:w="0" w:type="dxa"/>
              <w:right w:w="20" w:type="dxa"/>
            </w:tcMar>
            <w:vAlign w:val="center"/>
            <w:hideMark/>
          </w:tcPr>
          <w:p w14:paraId="58B95A32" w14:textId="77777777" w:rsidR="00000000" w:rsidRDefault="00C01C43">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C61D42"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5D58CD"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24728F"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4BB9BA"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211659"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631EE3"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A4BA09"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81E7B9"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A39919"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351558" w14:textId="77777777" w:rsidR="00000000" w:rsidRDefault="00C01C43">
            <w:pPr>
              <w:rPr>
                <w:rFonts w:eastAsia="Times New Roman"/>
                <w:sz w:val="20"/>
                <w:szCs w:val="20"/>
              </w:rPr>
            </w:pPr>
          </w:p>
        </w:tc>
      </w:tr>
      <w:tr w:rsidR="00000000" w14:paraId="3902C64A" w14:textId="77777777">
        <w:trPr>
          <w:divId w:val="632563010"/>
        </w:trPr>
        <w:tc>
          <w:tcPr>
            <w:tcW w:w="0" w:type="auto"/>
            <w:gridSpan w:val="3"/>
            <w:shd w:val="clear" w:color="auto" w:fill="CCEEFF"/>
            <w:tcMar>
              <w:top w:w="30" w:type="dxa"/>
              <w:left w:w="20" w:type="dxa"/>
              <w:bottom w:w="30" w:type="dxa"/>
              <w:right w:w="20" w:type="dxa"/>
            </w:tcMar>
            <w:vAlign w:val="bottom"/>
            <w:hideMark/>
          </w:tcPr>
          <w:p w14:paraId="60592B08" w14:textId="77777777" w:rsidR="00000000" w:rsidRDefault="00C01C43">
            <w:pPr>
              <w:rPr>
                <w:rFonts w:eastAsia="Times New Roman"/>
              </w:rPr>
            </w:pPr>
            <w:r>
              <w:rPr>
                <w:rFonts w:ascii="Arial" w:eastAsia="Times New Roman" w:hAnsi="Arial" w:cs="Arial"/>
                <w:color w:val="000000"/>
                <w:sz w:val="20"/>
                <w:szCs w:val="20"/>
              </w:rPr>
              <w:t>Trademark/trade name rights</w:t>
            </w:r>
          </w:p>
        </w:tc>
        <w:tc>
          <w:tcPr>
            <w:tcW w:w="0" w:type="auto"/>
            <w:gridSpan w:val="2"/>
            <w:shd w:val="clear" w:color="auto" w:fill="CCEEFF"/>
            <w:tcMar>
              <w:top w:w="30" w:type="dxa"/>
              <w:left w:w="20" w:type="dxa"/>
              <w:bottom w:w="30" w:type="dxa"/>
              <w:right w:w="0" w:type="dxa"/>
            </w:tcMar>
            <w:vAlign w:val="bottom"/>
            <w:hideMark/>
          </w:tcPr>
          <w:p w14:paraId="57D4BEB3" w14:textId="77777777" w:rsidR="00000000" w:rsidRDefault="00C01C43">
            <w:pPr>
              <w:jc w:val="right"/>
              <w:rPr>
                <w:rFonts w:eastAsia="Times New Roman"/>
              </w:rPr>
            </w:pPr>
            <w:r>
              <w:rPr>
                <w:rFonts w:ascii="Arial" w:eastAsia="Times New Roman" w:hAnsi="Arial" w:cs="Arial"/>
                <w:color w:val="000000"/>
                <w:sz w:val="20"/>
                <w:szCs w:val="20"/>
              </w:rPr>
              <w:t>24.5 </w:t>
            </w:r>
          </w:p>
        </w:tc>
        <w:tc>
          <w:tcPr>
            <w:tcW w:w="0" w:type="auto"/>
            <w:shd w:val="clear" w:color="auto" w:fill="CCEEFF"/>
            <w:tcMar>
              <w:top w:w="30" w:type="dxa"/>
              <w:left w:w="0" w:type="dxa"/>
              <w:bottom w:w="30" w:type="dxa"/>
              <w:right w:w="20" w:type="dxa"/>
            </w:tcMar>
            <w:vAlign w:val="bottom"/>
            <w:hideMark/>
          </w:tcPr>
          <w:p w14:paraId="17A4CF5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30F2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5A11A1"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326336F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41582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DFE4FA" w14:textId="77777777" w:rsidR="00000000" w:rsidRDefault="00C01C43">
            <w:pPr>
              <w:jc w:val="right"/>
              <w:rPr>
                <w:rFonts w:eastAsia="Times New Roman"/>
              </w:rPr>
            </w:pPr>
            <w:r>
              <w:rPr>
                <w:rFonts w:ascii="Arial" w:eastAsia="Times New Roman" w:hAnsi="Arial" w:cs="Arial"/>
                <w:color w:val="000000"/>
                <w:sz w:val="20"/>
                <w:szCs w:val="20"/>
              </w:rPr>
              <w:t>24.5 </w:t>
            </w:r>
          </w:p>
        </w:tc>
        <w:tc>
          <w:tcPr>
            <w:tcW w:w="0" w:type="auto"/>
            <w:shd w:val="clear" w:color="auto" w:fill="CCEEFF"/>
            <w:tcMar>
              <w:top w:w="30" w:type="dxa"/>
              <w:left w:w="0" w:type="dxa"/>
              <w:bottom w:w="30" w:type="dxa"/>
              <w:right w:w="20" w:type="dxa"/>
            </w:tcMar>
            <w:vAlign w:val="bottom"/>
            <w:hideMark/>
          </w:tcPr>
          <w:p w14:paraId="54601A9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A0A6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9DAD36" w14:textId="77777777" w:rsidR="00000000" w:rsidRDefault="00C01C43">
            <w:pPr>
              <w:jc w:val="right"/>
              <w:rPr>
                <w:rFonts w:eastAsia="Times New Roman"/>
              </w:rPr>
            </w:pPr>
            <w:r>
              <w:rPr>
                <w:rFonts w:ascii="Arial" w:eastAsia="Times New Roman" w:hAnsi="Arial" w:cs="Arial"/>
                <w:color w:val="000000"/>
                <w:sz w:val="20"/>
                <w:szCs w:val="20"/>
              </w:rPr>
              <w:t>40.4 </w:t>
            </w:r>
          </w:p>
        </w:tc>
        <w:tc>
          <w:tcPr>
            <w:tcW w:w="0" w:type="auto"/>
            <w:shd w:val="clear" w:color="auto" w:fill="CCEEFF"/>
            <w:tcMar>
              <w:top w:w="30" w:type="dxa"/>
              <w:left w:w="0" w:type="dxa"/>
              <w:bottom w:w="30" w:type="dxa"/>
              <w:right w:w="20" w:type="dxa"/>
            </w:tcMar>
            <w:vAlign w:val="bottom"/>
            <w:hideMark/>
          </w:tcPr>
          <w:p w14:paraId="020AFFB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1805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A6BBBF"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2E7D42E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CCB2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8A36DD" w14:textId="77777777" w:rsidR="00000000" w:rsidRDefault="00C01C43">
            <w:pPr>
              <w:jc w:val="right"/>
              <w:rPr>
                <w:rFonts w:eastAsia="Times New Roman"/>
              </w:rPr>
            </w:pPr>
            <w:r>
              <w:rPr>
                <w:rFonts w:ascii="Arial" w:eastAsia="Times New Roman" w:hAnsi="Arial" w:cs="Arial"/>
                <w:color w:val="000000"/>
                <w:sz w:val="20"/>
                <w:szCs w:val="20"/>
              </w:rPr>
              <w:t>40.4 </w:t>
            </w:r>
          </w:p>
        </w:tc>
        <w:tc>
          <w:tcPr>
            <w:tcW w:w="0" w:type="auto"/>
            <w:shd w:val="clear" w:color="auto" w:fill="CCEEFF"/>
            <w:tcMar>
              <w:top w:w="30" w:type="dxa"/>
              <w:left w:w="0" w:type="dxa"/>
              <w:bottom w:w="30" w:type="dxa"/>
              <w:right w:w="20" w:type="dxa"/>
            </w:tcMar>
            <w:vAlign w:val="bottom"/>
            <w:hideMark/>
          </w:tcPr>
          <w:p w14:paraId="6D678FC1" w14:textId="77777777" w:rsidR="00000000" w:rsidRDefault="00C01C43">
            <w:pPr>
              <w:jc w:val="right"/>
              <w:rPr>
                <w:rFonts w:eastAsia="Times New Roman"/>
              </w:rPr>
            </w:pPr>
          </w:p>
        </w:tc>
      </w:tr>
      <w:tr w:rsidR="00000000" w14:paraId="37E0811A" w14:textId="77777777">
        <w:trPr>
          <w:divId w:val="632563010"/>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A7DE35E"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8868D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2BA65A" w14:textId="77777777" w:rsidR="00000000" w:rsidRDefault="00C01C43">
            <w:pPr>
              <w:jc w:val="right"/>
              <w:rPr>
                <w:rFonts w:eastAsia="Times New Roman"/>
              </w:rPr>
            </w:pPr>
            <w:r>
              <w:rPr>
                <w:rFonts w:ascii="Arial" w:eastAsia="Times New Roman" w:hAnsi="Arial" w:cs="Arial"/>
                <w:color w:val="000000"/>
                <w:sz w:val="20"/>
                <w:szCs w:val="20"/>
              </w:rPr>
              <w:t>486.0 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9989C9"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C47BB9D"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F5367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37A1E4" w14:textId="77777777" w:rsidR="00000000" w:rsidRDefault="00C01C43">
            <w:pPr>
              <w:jc w:val="right"/>
              <w:rPr>
                <w:rFonts w:eastAsia="Times New Roman"/>
              </w:rPr>
            </w:pPr>
            <w:r>
              <w:rPr>
                <w:rFonts w:ascii="Arial" w:eastAsia="Times New Roman" w:hAnsi="Arial" w:cs="Arial"/>
                <w:color w:val="000000"/>
                <w:sz w:val="20"/>
                <w:szCs w:val="20"/>
              </w:rPr>
              <w:t>283.2 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4A6AD1"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6F0963D"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C0727B"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F4CE18" w14:textId="77777777" w:rsidR="00000000" w:rsidRDefault="00C01C43">
            <w:pPr>
              <w:jc w:val="right"/>
              <w:rPr>
                <w:rFonts w:eastAsia="Times New Roman"/>
              </w:rPr>
            </w:pPr>
            <w:r>
              <w:rPr>
                <w:rFonts w:ascii="Arial" w:eastAsia="Times New Roman" w:hAnsi="Arial" w:cs="Arial"/>
                <w:color w:val="000000"/>
                <w:sz w:val="20"/>
                <w:szCs w:val="20"/>
              </w:rPr>
              <w:t>202.8 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9360D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6BDB9"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D91CE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359FD6" w14:textId="77777777" w:rsidR="00000000" w:rsidRDefault="00C01C43">
            <w:pPr>
              <w:jc w:val="right"/>
              <w:rPr>
                <w:rFonts w:eastAsia="Times New Roman"/>
              </w:rPr>
            </w:pPr>
            <w:r>
              <w:rPr>
                <w:rFonts w:ascii="Arial" w:eastAsia="Times New Roman" w:hAnsi="Arial" w:cs="Arial"/>
                <w:color w:val="000000"/>
                <w:sz w:val="20"/>
                <w:szCs w:val="20"/>
              </w:rPr>
              <w:t>501.5 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417BC7"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036737D"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F92EF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98CA309" w14:textId="77777777" w:rsidR="00000000" w:rsidRDefault="00C01C43">
            <w:pPr>
              <w:jc w:val="right"/>
              <w:rPr>
                <w:rFonts w:eastAsia="Times New Roman"/>
              </w:rPr>
            </w:pPr>
            <w:r>
              <w:rPr>
                <w:rFonts w:ascii="Arial" w:eastAsia="Times New Roman" w:hAnsi="Arial" w:cs="Arial"/>
                <w:color w:val="000000"/>
                <w:sz w:val="20"/>
                <w:szCs w:val="20"/>
              </w:rPr>
              <w:t>279.8 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57652B"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AD0CE61"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8A3C1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2F80C4" w14:textId="77777777" w:rsidR="00000000" w:rsidRDefault="00C01C43">
            <w:pPr>
              <w:jc w:val="right"/>
              <w:rPr>
                <w:rFonts w:eastAsia="Times New Roman"/>
              </w:rPr>
            </w:pPr>
            <w:r>
              <w:rPr>
                <w:rFonts w:ascii="Arial" w:eastAsia="Times New Roman" w:hAnsi="Arial" w:cs="Arial"/>
                <w:color w:val="000000"/>
                <w:sz w:val="20"/>
                <w:szCs w:val="20"/>
              </w:rPr>
              <w:t>221.7 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26BAD34" w14:textId="77777777" w:rsidR="00000000" w:rsidRDefault="00C01C43">
            <w:pPr>
              <w:jc w:val="right"/>
              <w:rPr>
                <w:rFonts w:eastAsia="Times New Roman"/>
              </w:rPr>
            </w:pPr>
          </w:p>
        </w:tc>
      </w:tr>
    </w:tbl>
    <w:p w14:paraId="3AC59AC9" w14:textId="77777777" w:rsidR="00000000" w:rsidRDefault="00C01C43">
      <w:pPr>
        <w:jc w:val="both"/>
        <w:divId w:val="1897471758"/>
        <w:rPr>
          <w:rFonts w:eastAsia="Times New Roman"/>
        </w:rPr>
      </w:pPr>
      <w:r>
        <w:rPr>
          <w:rFonts w:ascii="Arial" w:eastAsia="Times New Roman" w:hAnsi="Arial" w:cs="Arial"/>
          <w:color w:val="000000"/>
          <w:sz w:val="10"/>
          <w:szCs w:val="10"/>
        </w:rPr>
        <w:t>(1</w:t>
      </w:r>
      <w:r>
        <w:rPr>
          <w:rFonts w:ascii="Arial" w:eastAsia="Times New Roman" w:hAnsi="Arial" w:cs="Arial"/>
          <w:color w:val="000000"/>
          <w:sz w:val="10"/>
          <w:szCs w:val="10"/>
        </w:rPr>
        <w:t>)</w:t>
      </w:r>
      <w:r>
        <w:rPr>
          <w:rFonts w:ascii="Arial" w:eastAsia="Times New Roman" w:hAnsi="Arial" w:cs="Arial"/>
          <w:color w:val="000000"/>
          <w:sz w:val="16"/>
          <w:szCs w:val="16"/>
        </w:rPr>
        <w:t xml:space="preserve"> Includes the impact o</w:t>
      </w:r>
      <w:r>
        <w:rPr>
          <w:rFonts w:ascii="Arial" w:eastAsia="Times New Roman" w:hAnsi="Arial" w:cs="Arial"/>
          <w:color w:val="000000"/>
          <w:sz w:val="16"/>
          <w:szCs w:val="16"/>
        </w:rPr>
        <w:t>f foreign exchange</w:t>
      </w:r>
    </w:p>
    <w:p w14:paraId="49CFF0C7" w14:textId="77777777" w:rsidR="00000000" w:rsidRDefault="00C01C43">
      <w:pPr>
        <w:jc w:val="both"/>
        <w:rPr>
          <w:rFonts w:eastAsia="Times New Roman"/>
        </w:rPr>
      </w:pPr>
    </w:p>
    <w:p w14:paraId="4954E160" w14:textId="77777777" w:rsidR="00000000" w:rsidRDefault="00C01C43">
      <w:pPr>
        <w:jc w:val="both"/>
        <w:divId w:val="1628196828"/>
        <w:rPr>
          <w:rFonts w:eastAsia="Times New Roman"/>
        </w:rPr>
      </w:pPr>
      <w:r>
        <w:rPr>
          <w:rFonts w:ascii="Arial" w:eastAsia="Times New Roman" w:hAnsi="Arial" w:cs="Arial"/>
          <w:color w:val="000000"/>
          <w:sz w:val="20"/>
          <w:szCs w:val="20"/>
        </w:rPr>
        <w:t>Intangible amortization expense for 2020, 2019 and 2018 was $33.1 million, $32.9 million and $35.9 million, respectively. </w:t>
      </w:r>
    </w:p>
    <w:p w14:paraId="58570CF8" w14:textId="77777777" w:rsidR="00000000" w:rsidRDefault="00C01C43">
      <w:pPr>
        <w:jc w:val="both"/>
        <w:divId w:val="1277903880"/>
        <w:rPr>
          <w:rFonts w:eastAsia="Times New Roman"/>
        </w:rPr>
      </w:pPr>
      <w:r>
        <w:rPr>
          <w:rFonts w:ascii="Arial" w:eastAsia="Times New Roman" w:hAnsi="Arial" w:cs="Arial"/>
          <w:color w:val="000000"/>
          <w:sz w:val="20"/>
          <w:szCs w:val="20"/>
        </w:rPr>
        <w:t>The future estimated amortization of our identifiable intangible assets is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8"/>
        <w:gridCol w:w="7415"/>
        <w:gridCol w:w="36"/>
        <w:gridCol w:w="132"/>
        <w:gridCol w:w="614"/>
        <w:gridCol w:w="36"/>
      </w:tblGrid>
      <w:tr w:rsidR="00000000" w14:paraId="78AB0BDB" w14:textId="77777777">
        <w:trPr>
          <w:divId w:val="679702599"/>
        </w:trPr>
        <w:tc>
          <w:tcPr>
            <w:tcW w:w="50" w:type="pct"/>
            <w:vAlign w:val="center"/>
            <w:hideMark/>
          </w:tcPr>
          <w:p w14:paraId="1E9971EB" w14:textId="77777777" w:rsidR="00000000" w:rsidRDefault="00C01C43">
            <w:pPr>
              <w:jc w:val="both"/>
              <w:rPr>
                <w:rFonts w:eastAsia="Times New Roman"/>
              </w:rPr>
            </w:pPr>
          </w:p>
        </w:tc>
        <w:tc>
          <w:tcPr>
            <w:tcW w:w="4497" w:type="pct"/>
            <w:vAlign w:val="center"/>
            <w:hideMark/>
          </w:tcPr>
          <w:p w14:paraId="7FB40674" w14:textId="77777777" w:rsidR="00000000" w:rsidRDefault="00C01C43">
            <w:pPr>
              <w:rPr>
                <w:rFonts w:eastAsia="Times New Roman"/>
                <w:sz w:val="20"/>
                <w:szCs w:val="20"/>
              </w:rPr>
            </w:pPr>
          </w:p>
        </w:tc>
        <w:tc>
          <w:tcPr>
            <w:tcW w:w="5" w:type="pct"/>
            <w:vAlign w:val="center"/>
            <w:hideMark/>
          </w:tcPr>
          <w:p w14:paraId="38689849" w14:textId="77777777" w:rsidR="00000000" w:rsidRDefault="00C01C43">
            <w:pPr>
              <w:rPr>
                <w:rFonts w:eastAsia="Times New Roman"/>
                <w:sz w:val="20"/>
                <w:szCs w:val="20"/>
              </w:rPr>
            </w:pPr>
          </w:p>
        </w:tc>
        <w:tc>
          <w:tcPr>
            <w:tcW w:w="50" w:type="pct"/>
            <w:vAlign w:val="center"/>
            <w:hideMark/>
          </w:tcPr>
          <w:p w14:paraId="1FA70402" w14:textId="77777777" w:rsidR="00000000" w:rsidRDefault="00C01C43">
            <w:pPr>
              <w:rPr>
                <w:rFonts w:eastAsia="Times New Roman"/>
                <w:sz w:val="20"/>
                <w:szCs w:val="20"/>
              </w:rPr>
            </w:pPr>
          </w:p>
        </w:tc>
        <w:tc>
          <w:tcPr>
            <w:tcW w:w="392" w:type="pct"/>
            <w:vAlign w:val="center"/>
            <w:hideMark/>
          </w:tcPr>
          <w:p w14:paraId="6551923F" w14:textId="77777777" w:rsidR="00000000" w:rsidRDefault="00C01C43">
            <w:pPr>
              <w:rPr>
                <w:rFonts w:eastAsia="Times New Roman"/>
                <w:sz w:val="20"/>
                <w:szCs w:val="20"/>
              </w:rPr>
            </w:pPr>
          </w:p>
        </w:tc>
        <w:tc>
          <w:tcPr>
            <w:tcW w:w="5" w:type="pct"/>
            <w:vAlign w:val="center"/>
            <w:hideMark/>
          </w:tcPr>
          <w:p w14:paraId="05646CB5" w14:textId="77777777" w:rsidR="00000000" w:rsidRDefault="00C01C43">
            <w:pPr>
              <w:rPr>
                <w:rFonts w:eastAsia="Times New Roman"/>
                <w:sz w:val="20"/>
                <w:szCs w:val="20"/>
              </w:rPr>
            </w:pPr>
          </w:p>
        </w:tc>
      </w:tr>
      <w:tr w:rsidR="00000000" w14:paraId="00067433" w14:textId="77777777">
        <w:trPr>
          <w:divId w:val="679702599"/>
        </w:trPr>
        <w:tc>
          <w:tcPr>
            <w:tcW w:w="0" w:type="auto"/>
            <w:gridSpan w:val="6"/>
            <w:tcMar>
              <w:top w:w="30" w:type="dxa"/>
              <w:left w:w="20" w:type="dxa"/>
              <w:bottom w:w="30" w:type="dxa"/>
              <w:right w:w="20" w:type="dxa"/>
            </w:tcMar>
            <w:vAlign w:val="bottom"/>
            <w:hideMark/>
          </w:tcPr>
          <w:p w14:paraId="54F2C1ED" w14:textId="77777777" w:rsidR="00000000" w:rsidRDefault="00C01C43">
            <w:pPr>
              <w:jc w:val="center"/>
              <w:rPr>
                <w:rFonts w:eastAsia="Times New Roman"/>
              </w:rPr>
            </w:pPr>
            <w:r>
              <w:rPr>
                <w:rFonts w:ascii="Arial" w:eastAsia="Times New Roman" w:hAnsi="Arial" w:cs="Arial"/>
                <w:b/>
                <w:bCs/>
                <w:color w:val="000000"/>
                <w:sz w:val="16"/>
                <w:szCs w:val="16"/>
              </w:rPr>
              <w:t>Year Ended December 31,</w:t>
            </w:r>
          </w:p>
        </w:tc>
      </w:tr>
      <w:tr w:rsidR="00000000" w14:paraId="3270AA38" w14:textId="77777777">
        <w:trPr>
          <w:divId w:val="67970259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2A46680" w14:textId="77777777" w:rsidR="00000000" w:rsidRDefault="00C01C43">
            <w:pPr>
              <w:rPr>
                <w:rFonts w:eastAsia="Times New Roman"/>
              </w:rPr>
            </w:pPr>
            <w:r>
              <w:rPr>
                <w:rFonts w:ascii="Arial" w:eastAsia="Times New Roman" w:hAnsi="Arial" w:cs="Arial"/>
                <w:color w:val="000000"/>
                <w:sz w:val="20"/>
                <w:szCs w:val="20"/>
              </w:rPr>
              <w:t>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FD092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54FDB2" w14:textId="77777777" w:rsidR="00000000" w:rsidRDefault="00C01C43">
            <w:pPr>
              <w:jc w:val="right"/>
              <w:rPr>
                <w:rFonts w:eastAsia="Times New Roman"/>
              </w:rPr>
            </w:pPr>
            <w:r>
              <w:rPr>
                <w:rFonts w:ascii="Arial" w:eastAsia="Times New Roman" w:hAnsi="Arial" w:cs="Arial"/>
                <w:color w:val="000000"/>
                <w:sz w:val="20"/>
                <w:szCs w:val="20"/>
              </w:rPr>
              <w:t>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9565D6" w14:textId="77777777" w:rsidR="00000000" w:rsidRDefault="00C01C43">
            <w:pPr>
              <w:jc w:val="right"/>
              <w:rPr>
                <w:rFonts w:eastAsia="Times New Roman"/>
              </w:rPr>
            </w:pPr>
          </w:p>
        </w:tc>
      </w:tr>
      <w:tr w:rsidR="00000000" w14:paraId="28BD3480" w14:textId="77777777">
        <w:trPr>
          <w:divId w:val="679702599"/>
        </w:trPr>
        <w:tc>
          <w:tcPr>
            <w:tcW w:w="0" w:type="auto"/>
            <w:gridSpan w:val="3"/>
            <w:shd w:val="clear" w:color="auto" w:fill="FFFFFF"/>
            <w:tcMar>
              <w:top w:w="30" w:type="dxa"/>
              <w:left w:w="20" w:type="dxa"/>
              <w:bottom w:w="30" w:type="dxa"/>
              <w:right w:w="20" w:type="dxa"/>
            </w:tcMar>
            <w:vAlign w:val="bottom"/>
            <w:hideMark/>
          </w:tcPr>
          <w:p w14:paraId="273EFA44" w14:textId="77777777" w:rsidR="00000000" w:rsidRDefault="00C01C43">
            <w:pPr>
              <w:rPr>
                <w:rFonts w:eastAsia="Times New Roman"/>
              </w:rPr>
            </w:pPr>
            <w:r>
              <w:rPr>
                <w:rFonts w:ascii="Arial" w:eastAsia="Times New Roman" w:hAnsi="Arial" w:cs="Arial"/>
                <w:color w:val="000000"/>
                <w:sz w:val="20"/>
                <w:szCs w:val="20"/>
              </w:rPr>
              <w:t>2022</w:t>
            </w:r>
          </w:p>
        </w:tc>
        <w:tc>
          <w:tcPr>
            <w:tcW w:w="0" w:type="auto"/>
            <w:gridSpan w:val="2"/>
            <w:shd w:val="clear" w:color="auto" w:fill="FFFFFF"/>
            <w:tcMar>
              <w:top w:w="30" w:type="dxa"/>
              <w:left w:w="20" w:type="dxa"/>
              <w:bottom w:w="30" w:type="dxa"/>
              <w:right w:w="0" w:type="dxa"/>
            </w:tcMar>
            <w:vAlign w:val="bottom"/>
            <w:hideMark/>
          </w:tcPr>
          <w:p w14:paraId="3613C6F7" w14:textId="77777777" w:rsidR="00000000" w:rsidRDefault="00C01C43">
            <w:pPr>
              <w:jc w:val="right"/>
              <w:rPr>
                <w:rFonts w:eastAsia="Times New Roman"/>
              </w:rPr>
            </w:pPr>
            <w:r>
              <w:rPr>
                <w:rFonts w:ascii="Arial" w:eastAsia="Times New Roman" w:hAnsi="Arial" w:cs="Arial"/>
                <w:color w:val="000000"/>
                <w:sz w:val="20"/>
                <w:szCs w:val="20"/>
              </w:rPr>
              <w:t>28.5 </w:t>
            </w:r>
          </w:p>
        </w:tc>
        <w:tc>
          <w:tcPr>
            <w:tcW w:w="0" w:type="auto"/>
            <w:shd w:val="clear" w:color="auto" w:fill="FFFFFF"/>
            <w:tcMar>
              <w:top w:w="30" w:type="dxa"/>
              <w:left w:w="0" w:type="dxa"/>
              <w:bottom w:w="30" w:type="dxa"/>
              <w:right w:w="20" w:type="dxa"/>
            </w:tcMar>
            <w:vAlign w:val="bottom"/>
            <w:hideMark/>
          </w:tcPr>
          <w:p w14:paraId="2FC4B76A" w14:textId="77777777" w:rsidR="00000000" w:rsidRDefault="00C01C43">
            <w:pPr>
              <w:jc w:val="right"/>
              <w:rPr>
                <w:rFonts w:eastAsia="Times New Roman"/>
              </w:rPr>
            </w:pPr>
          </w:p>
        </w:tc>
      </w:tr>
      <w:tr w:rsidR="00000000" w14:paraId="77D63534" w14:textId="77777777">
        <w:trPr>
          <w:divId w:val="679702599"/>
        </w:trPr>
        <w:tc>
          <w:tcPr>
            <w:tcW w:w="0" w:type="auto"/>
            <w:gridSpan w:val="3"/>
            <w:shd w:val="clear" w:color="auto" w:fill="CCEEFF"/>
            <w:tcMar>
              <w:top w:w="30" w:type="dxa"/>
              <w:left w:w="20" w:type="dxa"/>
              <w:bottom w:w="30" w:type="dxa"/>
              <w:right w:w="20" w:type="dxa"/>
            </w:tcMar>
            <w:vAlign w:val="bottom"/>
            <w:hideMark/>
          </w:tcPr>
          <w:p w14:paraId="7D93E7EA" w14:textId="77777777" w:rsidR="00000000" w:rsidRDefault="00C01C43">
            <w:pPr>
              <w:rPr>
                <w:rFonts w:eastAsia="Times New Roman"/>
              </w:rPr>
            </w:pPr>
            <w:r>
              <w:rPr>
                <w:rFonts w:ascii="Arial" w:eastAsia="Times New Roman" w:hAnsi="Arial" w:cs="Arial"/>
                <w:color w:val="000000"/>
                <w:sz w:val="20"/>
                <w:szCs w:val="20"/>
              </w:rPr>
              <w:t>2023</w:t>
            </w:r>
          </w:p>
        </w:tc>
        <w:tc>
          <w:tcPr>
            <w:tcW w:w="0" w:type="auto"/>
            <w:gridSpan w:val="2"/>
            <w:shd w:val="clear" w:color="auto" w:fill="CCEEFF"/>
            <w:tcMar>
              <w:top w:w="30" w:type="dxa"/>
              <w:left w:w="20" w:type="dxa"/>
              <w:bottom w:w="30" w:type="dxa"/>
              <w:right w:w="0" w:type="dxa"/>
            </w:tcMar>
            <w:vAlign w:val="bottom"/>
            <w:hideMark/>
          </w:tcPr>
          <w:p w14:paraId="2E34FEE9" w14:textId="77777777" w:rsidR="00000000" w:rsidRDefault="00C01C43">
            <w:pPr>
              <w:jc w:val="right"/>
              <w:rPr>
                <w:rFonts w:eastAsia="Times New Roman"/>
              </w:rPr>
            </w:pPr>
            <w:r>
              <w:rPr>
                <w:rFonts w:ascii="Arial" w:eastAsia="Times New Roman" w:hAnsi="Arial" w:cs="Arial"/>
                <w:color w:val="000000"/>
                <w:sz w:val="20"/>
                <w:szCs w:val="20"/>
              </w:rPr>
              <w:t>20.8 </w:t>
            </w:r>
          </w:p>
        </w:tc>
        <w:tc>
          <w:tcPr>
            <w:tcW w:w="0" w:type="auto"/>
            <w:shd w:val="clear" w:color="auto" w:fill="CCEEFF"/>
            <w:tcMar>
              <w:top w:w="30" w:type="dxa"/>
              <w:left w:w="0" w:type="dxa"/>
              <w:bottom w:w="30" w:type="dxa"/>
              <w:right w:w="20" w:type="dxa"/>
            </w:tcMar>
            <w:vAlign w:val="bottom"/>
            <w:hideMark/>
          </w:tcPr>
          <w:p w14:paraId="4223F0B5" w14:textId="77777777" w:rsidR="00000000" w:rsidRDefault="00C01C43">
            <w:pPr>
              <w:jc w:val="right"/>
              <w:rPr>
                <w:rFonts w:eastAsia="Times New Roman"/>
              </w:rPr>
            </w:pPr>
          </w:p>
        </w:tc>
      </w:tr>
      <w:tr w:rsidR="00000000" w14:paraId="51941BBF" w14:textId="77777777">
        <w:trPr>
          <w:divId w:val="679702599"/>
        </w:trPr>
        <w:tc>
          <w:tcPr>
            <w:tcW w:w="0" w:type="auto"/>
            <w:gridSpan w:val="3"/>
            <w:shd w:val="clear" w:color="auto" w:fill="FFFFFF"/>
            <w:tcMar>
              <w:top w:w="30" w:type="dxa"/>
              <w:left w:w="20" w:type="dxa"/>
              <w:bottom w:w="30" w:type="dxa"/>
              <w:right w:w="20" w:type="dxa"/>
            </w:tcMar>
            <w:vAlign w:val="bottom"/>
            <w:hideMark/>
          </w:tcPr>
          <w:p w14:paraId="6FC409D8" w14:textId="77777777" w:rsidR="00000000" w:rsidRDefault="00C01C43">
            <w:pPr>
              <w:rPr>
                <w:rFonts w:eastAsia="Times New Roman"/>
              </w:rPr>
            </w:pPr>
            <w:r>
              <w:rPr>
                <w:rFonts w:ascii="Arial" w:eastAsia="Times New Roman" w:hAnsi="Arial" w:cs="Arial"/>
                <w:color w:val="000000"/>
                <w:sz w:val="20"/>
                <w:szCs w:val="20"/>
              </w:rPr>
              <w:t>2024</w:t>
            </w:r>
          </w:p>
        </w:tc>
        <w:tc>
          <w:tcPr>
            <w:tcW w:w="0" w:type="auto"/>
            <w:gridSpan w:val="2"/>
            <w:shd w:val="clear" w:color="auto" w:fill="FFFFFF"/>
            <w:tcMar>
              <w:top w:w="30" w:type="dxa"/>
              <w:left w:w="20" w:type="dxa"/>
              <w:bottom w:w="30" w:type="dxa"/>
              <w:right w:w="0" w:type="dxa"/>
            </w:tcMar>
            <w:vAlign w:val="bottom"/>
            <w:hideMark/>
          </w:tcPr>
          <w:p w14:paraId="4EBA8A58" w14:textId="77777777" w:rsidR="00000000" w:rsidRDefault="00C01C43">
            <w:pPr>
              <w:jc w:val="right"/>
              <w:rPr>
                <w:rFonts w:eastAsia="Times New Roman"/>
              </w:rPr>
            </w:pPr>
            <w:r>
              <w:rPr>
                <w:rFonts w:ascii="Arial" w:eastAsia="Times New Roman" w:hAnsi="Arial" w:cs="Arial"/>
                <w:color w:val="000000"/>
                <w:sz w:val="20"/>
                <w:szCs w:val="20"/>
              </w:rPr>
              <w:t>19.5 </w:t>
            </w:r>
          </w:p>
        </w:tc>
        <w:tc>
          <w:tcPr>
            <w:tcW w:w="0" w:type="auto"/>
            <w:shd w:val="clear" w:color="auto" w:fill="FFFFFF"/>
            <w:tcMar>
              <w:top w:w="30" w:type="dxa"/>
              <w:left w:w="0" w:type="dxa"/>
              <w:bottom w:w="30" w:type="dxa"/>
              <w:right w:w="20" w:type="dxa"/>
            </w:tcMar>
            <w:vAlign w:val="bottom"/>
            <w:hideMark/>
          </w:tcPr>
          <w:p w14:paraId="655A3AF1" w14:textId="77777777" w:rsidR="00000000" w:rsidRDefault="00C01C43">
            <w:pPr>
              <w:jc w:val="right"/>
              <w:rPr>
                <w:rFonts w:eastAsia="Times New Roman"/>
              </w:rPr>
            </w:pPr>
          </w:p>
        </w:tc>
      </w:tr>
      <w:tr w:rsidR="00000000" w14:paraId="606552BE" w14:textId="77777777">
        <w:trPr>
          <w:divId w:val="679702599"/>
        </w:trPr>
        <w:tc>
          <w:tcPr>
            <w:tcW w:w="0" w:type="auto"/>
            <w:gridSpan w:val="3"/>
            <w:shd w:val="clear" w:color="auto" w:fill="CCEEFF"/>
            <w:tcMar>
              <w:top w:w="30" w:type="dxa"/>
              <w:left w:w="20" w:type="dxa"/>
              <w:bottom w:w="30" w:type="dxa"/>
              <w:right w:w="20" w:type="dxa"/>
            </w:tcMar>
            <w:vAlign w:val="bottom"/>
            <w:hideMark/>
          </w:tcPr>
          <w:p w14:paraId="39F95351" w14:textId="77777777" w:rsidR="00000000" w:rsidRDefault="00C01C43">
            <w:pPr>
              <w:rPr>
                <w:rFonts w:eastAsia="Times New Roman"/>
              </w:rPr>
            </w:pPr>
            <w:r>
              <w:rPr>
                <w:rFonts w:ascii="Arial" w:eastAsia="Times New Roman" w:hAnsi="Arial" w:cs="Arial"/>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14:paraId="2CFE179A" w14:textId="77777777" w:rsidR="00000000" w:rsidRDefault="00C01C43">
            <w:pPr>
              <w:jc w:val="right"/>
              <w:rPr>
                <w:rFonts w:eastAsia="Times New Roman"/>
              </w:rPr>
            </w:pPr>
            <w:r>
              <w:rPr>
                <w:rFonts w:ascii="Arial" w:eastAsia="Times New Roman" w:hAnsi="Arial" w:cs="Arial"/>
                <w:color w:val="000000"/>
                <w:sz w:val="20"/>
                <w:szCs w:val="20"/>
              </w:rPr>
              <w:t>18.3 </w:t>
            </w:r>
          </w:p>
        </w:tc>
        <w:tc>
          <w:tcPr>
            <w:tcW w:w="0" w:type="auto"/>
            <w:shd w:val="clear" w:color="auto" w:fill="CCEEFF"/>
            <w:tcMar>
              <w:top w:w="30" w:type="dxa"/>
              <w:left w:w="0" w:type="dxa"/>
              <w:bottom w:w="30" w:type="dxa"/>
              <w:right w:w="20" w:type="dxa"/>
            </w:tcMar>
            <w:vAlign w:val="bottom"/>
            <w:hideMark/>
          </w:tcPr>
          <w:p w14:paraId="2ADC4C3C" w14:textId="77777777" w:rsidR="00000000" w:rsidRDefault="00C01C43">
            <w:pPr>
              <w:jc w:val="right"/>
              <w:rPr>
                <w:rFonts w:eastAsia="Times New Roman"/>
              </w:rPr>
            </w:pPr>
          </w:p>
        </w:tc>
      </w:tr>
      <w:tr w:rsidR="00000000" w14:paraId="54BCF8C8" w14:textId="77777777">
        <w:trPr>
          <w:divId w:val="679702599"/>
        </w:trPr>
        <w:tc>
          <w:tcPr>
            <w:tcW w:w="0" w:type="auto"/>
            <w:gridSpan w:val="3"/>
            <w:shd w:val="clear" w:color="auto" w:fill="FFFFFF"/>
            <w:tcMar>
              <w:top w:w="30" w:type="dxa"/>
              <w:left w:w="20" w:type="dxa"/>
              <w:bottom w:w="30" w:type="dxa"/>
              <w:right w:w="20" w:type="dxa"/>
            </w:tcMar>
            <w:vAlign w:val="bottom"/>
            <w:hideMark/>
          </w:tcPr>
          <w:p w14:paraId="2A241EAA" w14:textId="77777777" w:rsidR="00000000" w:rsidRDefault="00C01C43">
            <w:pPr>
              <w:rPr>
                <w:rFonts w:eastAsia="Times New Roman"/>
              </w:rPr>
            </w:pPr>
            <w:r>
              <w:rPr>
                <w:rFonts w:ascii="Arial" w:eastAsia="Times New Roman" w:hAnsi="Arial" w:cs="Arial"/>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46B918DA" w14:textId="77777777" w:rsidR="00000000" w:rsidRDefault="00C01C43">
            <w:pPr>
              <w:jc w:val="right"/>
              <w:rPr>
                <w:rFonts w:eastAsia="Times New Roman"/>
              </w:rPr>
            </w:pPr>
            <w:r>
              <w:rPr>
                <w:rFonts w:ascii="Arial" w:eastAsia="Times New Roman" w:hAnsi="Arial" w:cs="Arial"/>
                <w:color w:val="000000"/>
                <w:sz w:val="20"/>
                <w:szCs w:val="20"/>
              </w:rPr>
              <w:t>61.3 </w:t>
            </w:r>
          </w:p>
        </w:tc>
        <w:tc>
          <w:tcPr>
            <w:tcW w:w="0" w:type="auto"/>
            <w:shd w:val="clear" w:color="auto" w:fill="FFFFFF"/>
            <w:tcMar>
              <w:top w:w="30" w:type="dxa"/>
              <w:left w:w="0" w:type="dxa"/>
              <w:bottom w:w="30" w:type="dxa"/>
              <w:right w:w="20" w:type="dxa"/>
            </w:tcMar>
            <w:vAlign w:val="bottom"/>
            <w:hideMark/>
          </w:tcPr>
          <w:p w14:paraId="45FB4CC5" w14:textId="77777777" w:rsidR="00000000" w:rsidRDefault="00C01C43">
            <w:pPr>
              <w:jc w:val="right"/>
              <w:rPr>
                <w:rFonts w:eastAsia="Times New Roman"/>
              </w:rPr>
            </w:pPr>
          </w:p>
        </w:tc>
      </w:tr>
      <w:tr w:rsidR="00000000" w14:paraId="5835A236" w14:textId="77777777">
        <w:trPr>
          <w:divId w:val="679702599"/>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0A0FAFA"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C93F5B"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906DAF" w14:textId="77777777" w:rsidR="00000000" w:rsidRDefault="00C01C43">
            <w:pPr>
              <w:jc w:val="right"/>
              <w:rPr>
                <w:rFonts w:eastAsia="Times New Roman"/>
              </w:rPr>
            </w:pPr>
            <w:r>
              <w:rPr>
                <w:rFonts w:ascii="Arial" w:eastAsia="Times New Roman" w:hAnsi="Arial" w:cs="Arial"/>
                <w:color w:val="000000"/>
                <w:sz w:val="20"/>
                <w:szCs w:val="20"/>
              </w:rPr>
              <w:t>178.3 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CCB481" w14:textId="77777777" w:rsidR="00000000" w:rsidRDefault="00C01C43">
            <w:pPr>
              <w:jc w:val="right"/>
              <w:rPr>
                <w:rFonts w:eastAsia="Times New Roman"/>
              </w:rPr>
            </w:pPr>
          </w:p>
        </w:tc>
      </w:tr>
    </w:tbl>
    <w:p w14:paraId="1C9CDA4B" w14:textId="77777777" w:rsidR="00000000" w:rsidRDefault="00C01C43">
      <w:pPr>
        <w:divId w:val="1925723643"/>
        <w:rPr>
          <w:rFonts w:eastAsia="Times New Roman"/>
        </w:rPr>
      </w:pPr>
    </w:p>
    <w:p w14:paraId="486F3F92" w14:textId="77777777" w:rsidR="00000000" w:rsidRDefault="00C01C43">
      <w:pPr>
        <w:jc w:val="center"/>
        <w:divId w:val="1730228521"/>
        <w:rPr>
          <w:rFonts w:eastAsia="Times New Roman"/>
        </w:rPr>
      </w:pPr>
      <w:r>
        <w:rPr>
          <w:rFonts w:ascii="Arial" w:eastAsia="Times New Roman" w:hAnsi="Arial" w:cs="Arial"/>
          <w:color w:val="000000"/>
          <w:sz w:val="16"/>
          <w:szCs w:val="16"/>
        </w:rPr>
        <w:t>69</w:t>
      </w:r>
    </w:p>
    <w:p w14:paraId="6EE69316" w14:textId="77777777" w:rsidR="00000000" w:rsidRDefault="00C01C43">
      <w:pPr>
        <w:rPr>
          <w:rFonts w:eastAsia="Times New Roman"/>
        </w:rPr>
      </w:pPr>
      <w:r>
        <w:rPr>
          <w:rFonts w:eastAsia="Times New Roman"/>
        </w:rPr>
        <w:pict w14:anchorId="6FFAEAA6">
          <v:rect id="_x0000_i1098" style="width:0;height:1.5pt" o:hralign="center" o:hrstd="t" o:hr="t" fillcolor="#a0a0a0" stroked="f"/>
        </w:pict>
      </w:r>
    </w:p>
    <w:p w14:paraId="1EA5A509" w14:textId="77777777" w:rsidR="00000000" w:rsidRDefault="00C01C43">
      <w:pPr>
        <w:divId w:val="1009481731"/>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53B90F6D" w14:textId="77777777" w:rsidR="00000000" w:rsidRDefault="00C01C43">
      <w:pPr>
        <w:jc w:val="both"/>
        <w:divId w:val="1720322232"/>
        <w:rPr>
          <w:rFonts w:eastAsia="Times New Roman"/>
        </w:rPr>
      </w:pPr>
      <w:r>
        <w:rPr>
          <w:rFonts w:ascii="Arial" w:eastAsia="Times New Roman" w:hAnsi="Arial" w:cs="Arial"/>
          <w:b/>
          <w:bCs/>
          <w:color w:val="000000"/>
          <w:sz w:val="20"/>
          <w:szCs w:val="20"/>
        </w:rPr>
        <w:t>8. Debt, Interest Income, Expense and Other Finance Costs</w:t>
      </w:r>
    </w:p>
    <w:p w14:paraId="7D91BB89" w14:textId="77777777" w:rsidR="00000000" w:rsidRDefault="00C01C43">
      <w:pPr>
        <w:jc w:val="both"/>
        <w:divId w:val="177737423"/>
        <w:rPr>
          <w:rFonts w:eastAsia="Times New Roman"/>
        </w:rPr>
      </w:pPr>
      <w:r>
        <w:rPr>
          <w:rFonts w:ascii="Arial" w:eastAsia="Times New Roman" w:hAnsi="Arial" w:cs="Arial"/>
          <w:color w:val="000000"/>
          <w:sz w:val="20"/>
          <w:szCs w:val="20"/>
        </w:rPr>
        <w:t>In July 2019, we amended our Credit Agreement to, among other things, (i) increase the borrowing capacity of the Credit Facility to $1.3 billion, (ii) increase the Term Loans to $525.0 million, (iii) extend the maturity date to July 2024, and (iv) modify c</w:t>
      </w:r>
      <w:r>
        <w:rPr>
          <w:rFonts w:ascii="Arial" w:eastAsia="Times New Roman" w:hAnsi="Arial" w:cs="Arial"/>
          <w:color w:val="000000"/>
          <w:sz w:val="20"/>
          <w:szCs w:val="20"/>
        </w:rPr>
        <w:t>ertain financial and other covenants to reduce costs and provide greater operating flexibility.</w:t>
      </w:r>
    </w:p>
    <w:p w14:paraId="5AD46909" w14:textId="77777777" w:rsidR="00000000" w:rsidRDefault="00C01C43">
      <w:pPr>
        <w:jc w:val="both"/>
        <w:divId w:val="632252187"/>
        <w:rPr>
          <w:rFonts w:eastAsia="Times New Roman"/>
        </w:rPr>
      </w:pPr>
      <w:r>
        <w:rPr>
          <w:rFonts w:ascii="Arial" w:eastAsia="Times New Roman" w:hAnsi="Arial" w:cs="Arial"/>
          <w:color w:val="000000"/>
          <w:sz w:val="20"/>
          <w:szCs w:val="20"/>
        </w:rPr>
        <w:t>Our Credit Agreement, as amended through December 31, 2020 and which matures in July 2024, consists of a revolving loan under which up to $1.3 billion aggregate</w:t>
      </w:r>
      <w:r>
        <w:rPr>
          <w:rFonts w:ascii="Arial" w:eastAsia="Times New Roman" w:hAnsi="Arial" w:cs="Arial"/>
          <w:color w:val="000000"/>
          <w:sz w:val="20"/>
          <w:szCs w:val="20"/>
        </w:rPr>
        <w:t xml:space="preserve"> principal amount could be borrowed, repaid and redrawn, based upon specific financial ratios and subject to the satisfaction of other customary conditions to borrowing. Our Credit Facility includes a sublimit of $400.0 million for the issuance of letters </w:t>
      </w:r>
      <w:r>
        <w:rPr>
          <w:rFonts w:ascii="Arial" w:eastAsia="Times New Roman" w:hAnsi="Arial" w:cs="Arial"/>
          <w:color w:val="000000"/>
          <w:sz w:val="20"/>
          <w:szCs w:val="20"/>
        </w:rPr>
        <w:t>of credit and bankers' acceptances, and we have the right to request increases in available borrowings up to an additional $200.0 million, subject to the satisfaction of certain conditions. We had no outstanding borrowings under our Credit Facility at Dece</w:t>
      </w:r>
      <w:r>
        <w:rPr>
          <w:rFonts w:ascii="Arial" w:eastAsia="Times New Roman" w:hAnsi="Arial" w:cs="Arial"/>
          <w:color w:val="000000"/>
          <w:sz w:val="20"/>
          <w:szCs w:val="20"/>
        </w:rPr>
        <w:t>mber 31, 2020. At December 31, 2019 we had outstanding borrowings of $55.0 million.</w:t>
      </w:r>
    </w:p>
    <w:p w14:paraId="21CE5843" w14:textId="77777777" w:rsidR="00000000" w:rsidRDefault="00C01C43">
      <w:pPr>
        <w:jc w:val="both"/>
        <w:divId w:val="253125359"/>
        <w:rPr>
          <w:rFonts w:eastAsia="Times New Roman"/>
        </w:rPr>
      </w:pPr>
      <w:r>
        <w:rPr>
          <w:rFonts w:ascii="Arial" w:eastAsia="Times New Roman" w:hAnsi="Arial" w:cs="Arial"/>
          <w:color w:val="000000"/>
          <w:sz w:val="20"/>
          <w:szCs w:val="20"/>
        </w:rPr>
        <w:t>Our issued letters of credit under the Credit Facility totaled $3.4 million and $4.3 million as of December 31, 2020 and 2019, respectively. Additionally, as of December 31</w:t>
      </w:r>
      <w:r>
        <w:rPr>
          <w:rFonts w:ascii="Arial" w:eastAsia="Times New Roman" w:hAnsi="Arial" w:cs="Arial"/>
          <w:color w:val="000000"/>
          <w:sz w:val="20"/>
          <w:szCs w:val="20"/>
        </w:rPr>
        <w:t>, 2020 and 2019, we had $503.2 million and $515.6 million in Term Loans outstanding, respectively.</w:t>
      </w:r>
    </w:p>
    <w:p w14:paraId="041CBB97" w14:textId="77777777" w:rsidR="00000000" w:rsidRDefault="00C01C43">
      <w:pPr>
        <w:jc w:val="both"/>
        <w:divId w:val="288125645"/>
        <w:rPr>
          <w:rFonts w:eastAsia="Times New Roman"/>
        </w:rPr>
      </w:pPr>
      <w:r>
        <w:rPr>
          <w:rFonts w:ascii="Arial" w:eastAsia="Times New Roman" w:hAnsi="Arial" w:cs="Arial"/>
          <w:color w:val="000000"/>
          <w:sz w:val="20"/>
          <w:szCs w:val="20"/>
        </w:rPr>
        <w:t>As of December 31, 2020 and 2019, the unused portion of our Credit Facility was $1.3 billion and $1.2 billion, respectively. The unused portion of our Credit</w:t>
      </w:r>
      <w:r>
        <w:rPr>
          <w:rFonts w:ascii="Arial" w:eastAsia="Times New Roman" w:hAnsi="Arial" w:cs="Arial"/>
          <w:color w:val="000000"/>
          <w:sz w:val="20"/>
          <w:szCs w:val="20"/>
        </w:rPr>
        <w:t xml:space="preserve"> Facility is limited by, among other things, our financial leverage ratio, which limits the total amount of indebtedness we may incur, and may, therefore, fluctuate from period to period.</w:t>
      </w:r>
    </w:p>
    <w:p w14:paraId="5D553AA3" w14:textId="77777777" w:rsidR="00000000" w:rsidRDefault="00C01C43">
      <w:pPr>
        <w:jc w:val="both"/>
        <w:divId w:val="1395816467"/>
        <w:rPr>
          <w:rFonts w:eastAsia="Times New Roman"/>
        </w:rPr>
      </w:pPr>
      <w:r>
        <w:rPr>
          <w:rFonts w:ascii="Arial" w:eastAsia="Times New Roman" w:hAnsi="Arial" w:cs="Arial"/>
          <w:color w:val="000000"/>
          <w:sz w:val="20"/>
          <w:szCs w:val="20"/>
        </w:rPr>
        <w:t xml:space="preserve">Borrowings under our Credit Facility and Term Loans related to base </w:t>
      </w:r>
      <w:r>
        <w:rPr>
          <w:rFonts w:ascii="Arial" w:eastAsia="Times New Roman" w:hAnsi="Arial" w:cs="Arial"/>
          <w:color w:val="000000"/>
          <w:sz w:val="20"/>
          <w:szCs w:val="20"/>
        </w:rPr>
        <w:t xml:space="preserve">rate loans or Eurodollar rate loans bear floating interest rates plus applicable margins. As of December 31, 2020, the applicable margins for base rate loans and Eurodollar rate loans were 0.75% and 1.75%, respectively. </w:t>
      </w:r>
    </w:p>
    <w:p w14:paraId="29B7748E" w14:textId="77777777" w:rsidR="00000000" w:rsidRDefault="00C01C43">
      <w:pPr>
        <w:jc w:val="both"/>
        <w:rPr>
          <w:rFonts w:eastAsia="Times New Roman"/>
        </w:rPr>
      </w:pPr>
      <w:r>
        <w:rPr>
          <w:rFonts w:ascii="Arial" w:eastAsia="Times New Roman" w:hAnsi="Arial" w:cs="Arial"/>
          <w:color w:val="000000"/>
          <w:sz w:val="20"/>
          <w:szCs w:val="20"/>
        </w:rPr>
        <w:t xml:space="preserve">Our Credit Facility and Term Loans </w:t>
      </w:r>
      <w:r>
        <w:rPr>
          <w:rFonts w:ascii="Arial" w:eastAsia="Times New Roman" w:hAnsi="Arial" w:cs="Arial"/>
          <w:color w:val="000000"/>
          <w:sz w:val="20"/>
          <w:szCs w:val="20"/>
        </w:rPr>
        <w:t>contain certain financial and other covenants with which we are required to comply. Our failure to comply with the covenants contained in our Credit Facility and our Term Loans could result in an event of default. An event of default, if not cured or waive</w:t>
      </w:r>
      <w:r>
        <w:rPr>
          <w:rFonts w:ascii="Arial" w:eastAsia="Times New Roman" w:hAnsi="Arial" w:cs="Arial"/>
          <w:color w:val="000000"/>
          <w:sz w:val="20"/>
          <w:szCs w:val="20"/>
        </w:rPr>
        <w:t>d, would permit acceleration of any outstanding indebtedness under the Credit Facility and our Term Loans, trigger cross-defaults under certain other agreements to which we are a party and impair our ability to obtain working capital advances and issue let</w:t>
      </w:r>
      <w:r>
        <w:rPr>
          <w:rFonts w:ascii="Arial" w:eastAsia="Times New Roman" w:hAnsi="Arial" w:cs="Arial"/>
          <w:color w:val="000000"/>
          <w:sz w:val="20"/>
          <w:szCs w:val="20"/>
        </w:rPr>
        <w:t>ters of credit, which would have a material adverse effect on our business, financial condition, results of operations and cash flows. As of December 31, 2020, we were in compliance with all financial covenants contained in our Credit Facility and our Term</w:t>
      </w:r>
      <w:r>
        <w:rPr>
          <w:rFonts w:ascii="Arial" w:eastAsia="Times New Roman" w:hAnsi="Arial" w:cs="Arial"/>
          <w:color w:val="000000"/>
          <w:sz w:val="20"/>
          <w:szCs w:val="20"/>
        </w:rPr>
        <w:t xml:space="preserve"> Loans.</w:t>
      </w:r>
    </w:p>
    <w:p w14:paraId="7DFF304B" w14:textId="77777777" w:rsidR="00000000" w:rsidRDefault="00C01C43">
      <w:pPr>
        <w:divId w:val="460005463"/>
        <w:rPr>
          <w:rFonts w:eastAsia="Times New Roman"/>
        </w:rPr>
      </w:pPr>
    </w:p>
    <w:p w14:paraId="41EC9CBD" w14:textId="77777777" w:rsidR="00000000" w:rsidRDefault="00C01C43">
      <w:pPr>
        <w:jc w:val="both"/>
        <w:divId w:val="1138688882"/>
        <w:rPr>
          <w:rFonts w:eastAsia="Times New Roman"/>
        </w:rPr>
      </w:pPr>
      <w:r>
        <w:rPr>
          <w:rFonts w:ascii="Arial" w:eastAsia="Times New Roman" w:hAnsi="Arial" w:cs="Arial"/>
          <w:color w:val="000000"/>
          <w:sz w:val="20"/>
          <w:szCs w:val="20"/>
        </w:rPr>
        <w:t>Outside of our Credit Facility, we have other uncommitted credit lines primarily for the issuance of letters of credit, bank guarantees and bankers’ acceptances. These credit lines are renewable on an annual basis and are subject to fees at market rates. A</w:t>
      </w:r>
      <w:r>
        <w:rPr>
          <w:rFonts w:ascii="Arial" w:eastAsia="Times New Roman" w:hAnsi="Arial" w:cs="Arial"/>
          <w:color w:val="000000"/>
          <w:sz w:val="20"/>
          <w:szCs w:val="20"/>
        </w:rPr>
        <w:t xml:space="preserve">s of December 31, 2020 and 2019, our outstanding letters of credit and bank guarantees under these credit lines totaled $328.4 million and $375.2 million, respectively. Substantially all of the letters of credit and bank guarantees issued under our Credit </w:t>
      </w:r>
      <w:r>
        <w:rPr>
          <w:rFonts w:ascii="Arial" w:eastAsia="Times New Roman" w:hAnsi="Arial" w:cs="Arial"/>
          <w:color w:val="000000"/>
          <w:sz w:val="20"/>
          <w:szCs w:val="20"/>
        </w:rPr>
        <w:t>Facility and the uncommitted credit lines were provided to suppliers in the normal course of business and generally expire within one year of issuance. Expired letters of credit and bank guarantees are renewed as needed.</w:t>
      </w:r>
    </w:p>
    <w:p w14:paraId="2D45E34A" w14:textId="77777777" w:rsidR="00000000" w:rsidRDefault="00C01C43">
      <w:pPr>
        <w:jc w:val="both"/>
        <w:rPr>
          <w:rFonts w:eastAsia="Times New Roman"/>
        </w:rPr>
      </w:pPr>
      <w:r>
        <w:rPr>
          <w:rFonts w:ascii="Arial" w:eastAsia="Times New Roman" w:hAnsi="Arial" w:cs="Arial"/>
          <w:color w:val="000000"/>
          <w:sz w:val="20"/>
          <w:szCs w:val="20"/>
        </w:rPr>
        <w:t>Our debt consisted of the following</w:t>
      </w:r>
      <w:r>
        <w:rPr>
          <w:rFonts w:ascii="Arial" w:eastAsia="Times New Roman" w:hAnsi="Arial" w:cs="Arial"/>
          <w:color w:val="000000"/>
          <w:sz w:val="20"/>
          <w:szCs w:val="20"/>
        </w:rPr>
        <w:t xml:space="preserve"> (in millions):</w:t>
      </w:r>
    </w:p>
    <w:tbl>
      <w:tblPr>
        <w:tblW w:w="4992" w:type="pct"/>
        <w:tblCellMar>
          <w:top w:w="15" w:type="dxa"/>
          <w:left w:w="15" w:type="dxa"/>
          <w:bottom w:w="15" w:type="dxa"/>
          <w:right w:w="15" w:type="dxa"/>
        </w:tblCellMar>
        <w:tblLook w:val="04A0" w:firstRow="1" w:lastRow="0" w:firstColumn="1" w:lastColumn="0" w:noHBand="0" w:noVBand="1"/>
      </w:tblPr>
      <w:tblGrid>
        <w:gridCol w:w="39"/>
        <w:gridCol w:w="6269"/>
        <w:gridCol w:w="38"/>
        <w:gridCol w:w="132"/>
        <w:gridCol w:w="771"/>
        <w:gridCol w:w="36"/>
        <w:gridCol w:w="36"/>
        <w:gridCol w:w="36"/>
        <w:gridCol w:w="36"/>
        <w:gridCol w:w="132"/>
        <w:gridCol w:w="732"/>
        <w:gridCol w:w="36"/>
      </w:tblGrid>
      <w:tr w:rsidR="00000000" w14:paraId="02EE370E" w14:textId="77777777">
        <w:trPr>
          <w:divId w:val="676344206"/>
        </w:trPr>
        <w:tc>
          <w:tcPr>
            <w:tcW w:w="50" w:type="pct"/>
            <w:vAlign w:val="center"/>
            <w:hideMark/>
          </w:tcPr>
          <w:p w14:paraId="6D2D658C" w14:textId="77777777" w:rsidR="00000000" w:rsidRDefault="00C01C43">
            <w:pPr>
              <w:jc w:val="both"/>
              <w:rPr>
                <w:rFonts w:eastAsia="Times New Roman"/>
              </w:rPr>
            </w:pPr>
          </w:p>
        </w:tc>
        <w:tc>
          <w:tcPr>
            <w:tcW w:w="3810" w:type="pct"/>
            <w:vAlign w:val="center"/>
            <w:hideMark/>
          </w:tcPr>
          <w:p w14:paraId="019D99A2" w14:textId="77777777" w:rsidR="00000000" w:rsidRDefault="00C01C43">
            <w:pPr>
              <w:rPr>
                <w:rFonts w:eastAsia="Times New Roman"/>
                <w:sz w:val="20"/>
                <w:szCs w:val="20"/>
              </w:rPr>
            </w:pPr>
          </w:p>
        </w:tc>
        <w:tc>
          <w:tcPr>
            <w:tcW w:w="5" w:type="pct"/>
            <w:vAlign w:val="center"/>
            <w:hideMark/>
          </w:tcPr>
          <w:p w14:paraId="161B9360" w14:textId="77777777" w:rsidR="00000000" w:rsidRDefault="00C01C43">
            <w:pPr>
              <w:rPr>
                <w:rFonts w:eastAsia="Times New Roman"/>
                <w:sz w:val="20"/>
                <w:szCs w:val="20"/>
              </w:rPr>
            </w:pPr>
          </w:p>
        </w:tc>
        <w:tc>
          <w:tcPr>
            <w:tcW w:w="50" w:type="pct"/>
            <w:vAlign w:val="center"/>
            <w:hideMark/>
          </w:tcPr>
          <w:p w14:paraId="3AF19435" w14:textId="77777777" w:rsidR="00000000" w:rsidRDefault="00C01C43">
            <w:pPr>
              <w:rPr>
                <w:rFonts w:eastAsia="Times New Roman"/>
                <w:sz w:val="20"/>
                <w:szCs w:val="20"/>
              </w:rPr>
            </w:pPr>
          </w:p>
        </w:tc>
        <w:tc>
          <w:tcPr>
            <w:tcW w:w="494" w:type="pct"/>
            <w:vAlign w:val="center"/>
            <w:hideMark/>
          </w:tcPr>
          <w:p w14:paraId="60CF7B6C" w14:textId="77777777" w:rsidR="00000000" w:rsidRDefault="00C01C43">
            <w:pPr>
              <w:rPr>
                <w:rFonts w:eastAsia="Times New Roman"/>
                <w:sz w:val="20"/>
                <w:szCs w:val="20"/>
              </w:rPr>
            </w:pPr>
          </w:p>
        </w:tc>
        <w:tc>
          <w:tcPr>
            <w:tcW w:w="5" w:type="pct"/>
            <w:vAlign w:val="center"/>
            <w:hideMark/>
          </w:tcPr>
          <w:p w14:paraId="12BECF61" w14:textId="77777777" w:rsidR="00000000" w:rsidRDefault="00C01C43">
            <w:pPr>
              <w:rPr>
                <w:rFonts w:eastAsia="Times New Roman"/>
                <w:sz w:val="20"/>
                <w:szCs w:val="20"/>
              </w:rPr>
            </w:pPr>
          </w:p>
        </w:tc>
        <w:tc>
          <w:tcPr>
            <w:tcW w:w="5" w:type="pct"/>
            <w:vAlign w:val="center"/>
            <w:hideMark/>
          </w:tcPr>
          <w:p w14:paraId="3D267A5B" w14:textId="77777777" w:rsidR="00000000" w:rsidRDefault="00C01C43">
            <w:pPr>
              <w:rPr>
                <w:rFonts w:eastAsia="Times New Roman"/>
                <w:sz w:val="20"/>
                <w:szCs w:val="20"/>
              </w:rPr>
            </w:pPr>
          </w:p>
        </w:tc>
        <w:tc>
          <w:tcPr>
            <w:tcW w:w="26" w:type="pct"/>
            <w:vAlign w:val="center"/>
            <w:hideMark/>
          </w:tcPr>
          <w:p w14:paraId="0830BECB" w14:textId="77777777" w:rsidR="00000000" w:rsidRDefault="00C01C43">
            <w:pPr>
              <w:rPr>
                <w:rFonts w:eastAsia="Times New Roman"/>
                <w:sz w:val="20"/>
                <w:szCs w:val="20"/>
              </w:rPr>
            </w:pPr>
          </w:p>
        </w:tc>
        <w:tc>
          <w:tcPr>
            <w:tcW w:w="5" w:type="pct"/>
            <w:vAlign w:val="center"/>
            <w:hideMark/>
          </w:tcPr>
          <w:p w14:paraId="51141B08" w14:textId="77777777" w:rsidR="00000000" w:rsidRDefault="00C01C43">
            <w:pPr>
              <w:rPr>
                <w:rFonts w:eastAsia="Times New Roman"/>
                <w:sz w:val="20"/>
                <w:szCs w:val="20"/>
              </w:rPr>
            </w:pPr>
          </w:p>
        </w:tc>
        <w:tc>
          <w:tcPr>
            <w:tcW w:w="50" w:type="pct"/>
            <w:vAlign w:val="center"/>
            <w:hideMark/>
          </w:tcPr>
          <w:p w14:paraId="0B5DDEF9" w14:textId="77777777" w:rsidR="00000000" w:rsidRDefault="00C01C43">
            <w:pPr>
              <w:rPr>
                <w:rFonts w:eastAsia="Times New Roman"/>
                <w:sz w:val="20"/>
                <w:szCs w:val="20"/>
              </w:rPr>
            </w:pPr>
          </w:p>
        </w:tc>
        <w:tc>
          <w:tcPr>
            <w:tcW w:w="494" w:type="pct"/>
            <w:vAlign w:val="center"/>
            <w:hideMark/>
          </w:tcPr>
          <w:p w14:paraId="2B3F9A80" w14:textId="77777777" w:rsidR="00000000" w:rsidRDefault="00C01C43">
            <w:pPr>
              <w:rPr>
                <w:rFonts w:eastAsia="Times New Roman"/>
                <w:sz w:val="20"/>
                <w:szCs w:val="20"/>
              </w:rPr>
            </w:pPr>
          </w:p>
        </w:tc>
        <w:tc>
          <w:tcPr>
            <w:tcW w:w="5" w:type="pct"/>
            <w:vAlign w:val="center"/>
            <w:hideMark/>
          </w:tcPr>
          <w:p w14:paraId="4216E223" w14:textId="77777777" w:rsidR="00000000" w:rsidRDefault="00C01C43">
            <w:pPr>
              <w:rPr>
                <w:rFonts w:eastAsia="Times New Roman"/>
                <w:sz w:val="20"/>
                <w:szCs w:val="20"/>
              </w:rPr>
            </w:pPr>
          </w:p>
        </w:tc>
      </w:tr>
      <w:tr w:rsidR="00000000" w14:paraId="15400B89" w14:textId="77777777">
        <w:trPr>
          <w:divId w:val="676344206"/>
        </w:trPr>
        <w:tc>
          <w:tcPr>
            <w:tcW w:w="0" w:type="auto"/>
            <w:gridSpan w:val="3"/>
            <w:tcMar>
              <w:top w:w="0" w:type="dxa"/>
              <w:left w:w="20" w:type="dxa"/>
              <w:bottom w:w="0" w:type="dxa"/>
              <w:right w:w="20" w:type="dxa"/>
            </w:tcMar>
            <w:vAlign w:val="center"/>
            <w:hideMark/>
          </w:tcPr>
          <w:p w14:paraId="07C2BB81" w14:textId="77777777" w:rsidR="00000000" w:rsidRDefault="00C01C43">
            <w:pPr>
              <w:rPr>
                <w:rFonts w:eastAsia="Times New Roman"/>
                <w:sz w:val="20"/>
                <w:szCs w:val="20"/>
              </w:rPr>
            </w:pPr>
          </w:p>
        </w:tc>
        <w:tc>
          <w:tcPr>
            <w:tcW w:w="0" w:type="auto"/>
            <w:gridSpan w:val="9"/>
            <w:tcMar>
              <w:top w:w="30" w:type="dxa"/>
              <w:left w:w="20" w:type="dxa"/>
              <w:bottom w:w="30" w:type="dxa"/>
              <w:right w:w="20" w:type="dxa"/>
            </w:tcMar>
            <w:vAlign w:val="bottom"/>
            <w:hideMark/>
          </w:tcPr>
          <w:p w14:paraId="549FE5CF" w14:textId="77777777" w:rsidR="00000000" w:rsidRDefault="00C01C43">
            <w:pPr>
              <w:jc w:val="center"/>
              <w:rPr>
                <w:rFonts w:eastAsia="Times New Roman"/>
              </w:rPr>
            </w:pPr>
            <w:r>
              <w:rPr>
                <w:rFonts w:ascii="Arial" w:eastAsia="Times New Roman" w:hAnsi="Arial" w:cs="Arial"/>
                <w:b/>
                <w:bCs/>
                <w:color w:val="000000"/>
                <w:sz w:val="16"/>
                <w:szCs w:val="16"/>
              </w:rPr>
              <w:t>As of December 31,</w:t>
            </w:r>
          </w:p>
        </w:tc>
      </w:tr>
      <w:tr w:rsidR="00000000" w14:paraId="42BD5EC0" w14:textId="77777777">
        <w:trPr>
          <w:divId w:val="676344206"/>
        </w:trPr>
        <w:tc>
          <w:tcPr>
            <w:tcW w:w="0" w:type="auto"/>
            <w:gridSpan w:val="3"/>
            <w:tcMar>
              <w:top w:w="0" w:type="dxa"/>
              <w:left w:w="20" w:type="dxa"/>
              <w:bottom w:w="0" w:type="dxa"/>
              <w:right w:w="20" w:type="dxa"/>
            </w:tcMar>
            <w:vAlign w:val="center"/>
            <w:hideMark/>
          </w:tcPr>
          <w:p w14:paraId="55074D0D"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23D41A"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D8C9DE5"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9239B9" w14:textId="77777777" w:rsidR="00000000" w:rsidRDefault="00C01C43">
            <w:pPr>
              <w:jc w:val="center"/>
              <w:rPr>
                <w:rFonts w:eastAsia="Times New Roman"/>
              </w:rPr>
            </w:pPr>
            <w:r>
              <w:rPr>
                <w:rFonts w:ascii="Arial" w:eastAsia="Times New Roman" w:hAnsi="Arial" w:cs="Arial"/>
                <w:b/>
                <w:bCs/>
                <w:color w:val="000000"/>
                <w:sz w:val="16"/>
                <w:szCs w:val="16"/>
              </w:rPr>
              <w:t>2019</w:t>
            </w:r>
          </w:p>
        </w:tc>
      </w:tr>
      <w:tr w:rsidR="00000000" w14:paraId="2E62E97E" w14:textId="77777777">
        <w:trPr>
          <w:divId w:val="67634420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E8BED8" w14:textId="77777777" w:rsidR="00000000" w:rsidRDefault="00C01C43">
            <w:pPr>
              <w:rPr>
                <w:rFonts w:eastAsia="Times New Roman"/>
              </w:rPr>
            </w:pPr>
            <w:r>
              <w:rPr>
                <w:rFonts w:ascii="Arial" w:eastAsia="Times New Roman" w:hAnsi="Arial" w:cs="Arial"/>
                <w:color w:val="000000"/>
                <w:sz w:val="20"/>
                <w:szCs w:val="20"/>
              </w:rPr>
              <w:t>Credit Facility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EE4F2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5FF145"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B7DD60"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B488A3"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EAAA1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8CC64C" w14:textId="77777777" w:rsidR="00000000" w:rsidRDefault="00C01C43">
            <w:pPr>
              <w:jc w:val="right"/>
              <w:rPr>
                <w:rFonts w:eastAsia="Times New Roman"/>
              </w:rPr>
            </w:pPr>
            <w:r>
              <w:rPr>
                <w:rFonts w:ascii="Arial" w:eastAsia="Times New Roman" w:hAnsi="Arial" w:cs="Arial"/>
                <w:color w:val="000000"/>
                <w:sz w:val="20"/>
                <w:szCs w:val="20"/>
              </w:rPr>
              <w:t>55.0 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A00814" w14:textId="77777777" w:rsidR="00000000" w:rsidRDefault="00C01C43">
            <w:pPr>
              <w:jc w:val="right"/>
              <w:rPr>
                <w:rFonts w:eastAsia="Times New Roman"/>
              </w:rPr>
            </w:pPr>
          </w:p>
        </w:tc>
      </w:tr>
      <w:tr w:rsidR="00000000" w14:paraId="05983FC4" w14:textId="77777777">
        <w:trPr>
          <w:divId w:val="676344206"/>
        </w:trPr>
        <w:tc>
          <w:tcPr>
            <w:tcW w:w="0" w:type="auto"/>
            <w:gridSpan w:val="3"/>
            <w:shd w:val="clear" w:color="auto" w:fill="FFFFFF"/>
            <w:tcMar>
              <w:top w:w="30" w:type="dxa"/>
              <w:left w:w="20" w:type="dxa"/>
              <w:bottom w:w="30" w:type="dxa"/>
              <w:right w:w="20" w:type="dxa"/>
            </w:tcMar>
            <w:vAlign w:val="bottom"/>
            <w:hideMark/>
          </w:tcPr>
          <w:p w14:paraId="23A454ED" w14:textId="77777777" w:rsidR="00000000" w:rsidRDefault="00C01C43">
            <w:pPr>
              <w:rPr>
                <w:rFonts w:eastAsia="Times New Roman"/>
              </w:rPr>
            </w:pPr>
            <w:r>
              <w:rPr>
                <w:rFonts w:ascii="Arial" w:eastAsia="Times New Roman" w:hAnsi="Arial" w:cs="Arial"/>
                <w:color w:val="000000"/>
                <w:sz w:val="20"/>
                <w:szCs w:val="20"/>
              </w:rPr>
              <w:t>Term Loans</w:t>
            </w:r>
          </w:p>
        </w:tc>
        <w:tc>
          <w:tcPr>
            <w:tcW w:w="0" w:type="auto"/>
            <w:gridSpan w:val="2"/>
            <w:shd w:val="clear" w:color="auto" w:fill="FFFFFF"/>
            <w:tcMar>
              <w:top w:w="30" w:type="dxa"/>
              <w:left w:w="20" w:type="dxa"/>
              <w:bottom w:w="30" w:type="dxa"/>
              <w:right w:w="0" w:type="dxa"/>
            </w:tcMar>
            <w:vAlign w:val="bottom"/>
            <w:hideMark/>
          </w:tcPr>
          <w:p w14:paraId="725ACCE1" w14:textId="77777777" w:rsidR="00000000" w:rsidRDefault="00C01C43">
            <w:pPr>
              <w:jc w:val="right"/>
              <w:rPr>
                <w:rFonts w:eastAsia="Times New Roman"/>
              </w:rPr>
            </w:pPr>
            <w:r>
              <w:rPr>
                <w:rFonts w:ascii="Arial" w:eastAsia="Times New Roman" w:hAnsi="Arial" w:cs="Arial"/>
                <w:color w:val="000000"/>
                <w:sz w:val="20"/>
                <w:szCs w:val="20"/>
              </w:rPr>
              <w:t>503.2 </w:t>
            </w:r>
          </w:p>
        </w:tc>
        <w:tc>
          <w:tcPr>
            <w:tcW w:w="0" w:type="auto"/>
            <w:shd w:val="clear" w:color="auto" w:fill="FFFFFF"/>
            <w:tcMar>
              <w:top w:w="30" w:type="dxa"/>
              <w:left w:w="0" w:type="dxa"/>
              <w:bottom w:w="30" w:type="dxa"/>
              <w:right w:w="20" w:type="dxa"/>
            </w:tcMar>
            <w:vAlign w:val="bottom"/>
            <w:hideMark/>
          </w:tcPr>
          <w:p w14:paraId="2072CA3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C3E71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85FC2E" w14:textId="77777777" w:rsidR="00000000" w:rsidRDefault="00C01C43">
            <w:pPr>
              <w:jc w:val="right"/>
              <w:rPr>
                <w:rFonts w:eastAsia="Times New Roman"/>
              </w:rPr>
            </w:pPr>
            <w:r>
              <w:rPr>
                <w:rFonts w:ascii="Arial" w:eastAsia="Times New Roman" w:hAnsi="Arial" w:cs="Arial"/>
                <w:color w:val="000000"/>
                <w:sz w:val="20"/>
                <w:szCs w:val="20"/>
              </w:rPr>
              <w:t>515.6 </w:t>
            </w:r>
          </w:p>
        </w:tc>
        <w:tc>
          <w:tcPr>
            <w:tcW w:w="0" w:type="auto"/>
            <w:shd w:val="clear" w:color="auto" w:fill="FFFFFF"/>
            <w:tcMar>
              <w:top w:w="30" w:type="dxa"/>
              <w:left w:w="0" w:type="dxa"/>
              <w:bottom w:w="30" w:type="dxa"/>
              <w:right w:w="20" w:type="dxa"/>
            </w:tcMar>
            <w:vAlign w:val="bottom"/>
            <w:hideMark/>
          </w:tcPr>
          <w:p w14:paraId="6B2856D6" w14:textId="77777777" w:rsidR="00000000" w:rsidRDefault="00C01C43">
            <w:pPr>
              <w:jc w:val="right"/>
              <w:rPr>
                <w:rFonts w:eastAsia="Times New Roman"/>
              </w:rPr>
            </w:pPr>
          </w:p>
        </w:tc>
      </w:tr>
      <w:tr w:rsidR="00000000" w14:paraId="190A8C4C" w14:textId="77777777">
        <w:trPr>
          <w:divId w:val="676344206"/>
        </w:trPr>
        <w:tc>
          <w:tcPr>
            <w:tcW w:w="0" w:type="auto"/>
            <w:gridSpan w:val="3"/>
            <w:shd w:val="clear" w:color="auto" w:fill="CCEEFF"/>
            <w:tcMar>
              <w:top w:w="30" w:type="dxa"/>
              <w:left w:w="20" w:type="dxa"/>
              <w:bottom w:w="30" w:type="dxa"/>
              <w:right w:w="20" w:type="dxa"/>
            </w:tcMar>
            <w:vAlign w:val="bottom"/>
            <w:hideMark/>
          </w:tcPr>
          <w:p w14:paraId="3CD2E499" w14:textId="77777777" w:rsidR="00000000" w:rsidRDefault="00C01C43">
            <w:pPr>
              <w:rPr>
                <w:rFonts w:eastAsia="Times New Roman"/>
              </w:rPr>
            </w:pPr>
            <w:r>
              <w:rPr>
                <w:rFonts w:ascii="Arial" w:eastAsia="Times New Roman" w:hAnsi="Arial" w:cs="Arial"/>
                <w:color w:val="000000"/>
                <w:sz w:val="20"/>
                <w:szCs w:val="20"/>
              </w:rPr>
              <w:t>Finance leases</w:t>
            </w:r>
          </w:p>
        </w:tc>
        <w:tc>
          <w:tcPr>
            <w:tcW w:w="0" w:type="auto"/>
            <w:gridSpan w:val="2"/>
            <w:shd w:val="clear" w:color="auto" w:fill="CCEEFF"/>
            <w:tcMar>
              <w:top w:w="30" w:type="dxa"/>
              <w:left w:w="20" w:type="dxa"/>
              <w:bottom w:w="30" w:type="dxa"/>
              <w:right w:w="0" w:type="dxa"/>
            </w:tcMar>
            <w:vAlign w:val="bottom"/>
            <w:hideMark/>
          </w:tcPr>
          <w:p w14:paraId="01988360" w14:textId="77777777" w:rsidR="00000000" w:rsidRDefault="00C01C43">
            <w:pPr>
              <w:jc w:val="right"/>
              <w:rPr>
                <w:rFonts w:eastAsia="Times New Roman"/>
              </w:rPr>
            </w:pPr>
            <w:r>
              <w:rPr>
                <w:rFonts w:ascii="Arial" w:eastAsia="Times New Roman" w:hAnsi="Arial" w:cs="Arial"/>
                <w:color w:val="000000"/>
                <w:sz w:val="20"/>
                <w:szCs w:val="20"/>
              </w:rPr>
              <w:t>18.2 </w:t>
            </w:r>
          </w:p>
        </w:tc>
        <w:tc>
          <w:tcPr>
            <w:tcW w:w="0" w:type="auto"/>
            <w:shd w:val="clear" w:color="auto" w:fill="CCEEFF"/>
            <w:tcMar>
              <w:top w:w="30" w:type="dxa"/>
              <w:left w:w="0" w:type="dxa"/>
              <w:bottom w:w="30" w:type="dxa"/>
              <w:right w:w="20" w:type="dxa"/>
            </w:tcMar>
            <w:vAlign w:val="bottom"/>
            <w:hideMark/>
          </w:tcPr>
          <w:p w14:paraId="52F4996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E89C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E81F16" w14:textId="77777777" w:rsidR="00000000" w:rsidRDefault="00C01C43">
            <w:pPr>
              <w:jc w:val="right"/>
              <w:rPr>
                <w:rFonts w:eastAsia="Times New Roman"/>
              </w:rPr>
            </w:pPr>
            <w:r>
              <w:rPr>
                <w:rFonts w:ascii="Arial" w:eastAsia="Times New Roman" w:hAnsi="Arial" w:cs="Arial"/>
                <w:color w:val="000000"/>
                <w:sz w:val="20"/>
                <w:szCs w:val="20"/>
              </w:rPr>
              <w:t>18.7 </w:t>
            </w:r>
          </w:p>
        </w:tc>
        <w:tc>
          <w:tcPr>
            <w:tcW w:w="0" w:type="auto"/>
            <w:shd w:val="clear" w:color="auto" w:fill="CCEEFF"/>
            <w:tcMar>
              <w:top w:w="30" w:type="dxa"/>
              <w:left w:w="0" w:type="dxa"/>
              <w:bottom w:w="30" w:type="dxa"/>
              <w:right w:w="20" w:type="dxa"/>
            </w:tcMar>
            <w:vAlign w:val="bottom"/>
            <w:hideMark/>
          </w:tcPr>
          <w:p w14:paraId="49FD64A3" w14:textId="77777777" w:rsidR="00000000" w:rsidRDefault="00C01C43">
            <w:pPr>
              <w:jc w:val="right"/>
              <w:rPr>
                <w:rFonts w:eastAsia="Times New Roman"/>
              </w:rPr>
            </w:pPr>
          </w:p>
        </w:tc>
      </w:tr>
      <w:tr w:rsidR="00000000" w14:paraId="32EA35A6" w14:textId="77777777">
        <w:trPr>
          <w:divId w:val="676344206"/>
        </w:trPr>
        <w:tc>
          <w:tcPr>
            <w:tcW w:w="0" w:type="auto"/>
            <w:gridSpan w:val="3"/>
            <w:shd w:val="clear" w:color="auto" w:fill="FFFFFF"/>
            <w:tcMar>
              <w:top w:w="30" w:type="dxa"/>
              <w:left w:w="20" w:type="dxa"/>
              <w:bottom w:w="30" w:type="dxa"/>
              <w:right w:w="20" w:type="dxa"/>
            </w:tcMar>
            <w:vAlign w:val="bottom"/>
            <w:hideMark/>
          </w:tcPr>
          <w:p w14:paraId="44B4F33C" w14:textId="77777777" w:rsidR="00000000" w:rsidRDefault="00C01C43">
            <w:pPr>
              <w:rPr>
                <w:rFonts w:eastAsia="Times New Roman"/>
              </w:rPr>
            </w:pPr>
            <w:r>
              <w:rPr>
                <w:rFonts w:ascii="Arial" w:eastAsia="Times New Roman" w:hAnsi="Arial" w:cs="Arial"/>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6CE42467" w14:textId="77777777" w:rsidR="00000000" w:rsidRDefault="00C01C43">
            <w:pPr>
              <w:jc w:val="right"/>
              <w:rPr>
                <w:rFonts w:eastAsia="Times New Roman"/>
              </w:rPr>
            </w:pPr>
            <w:r>
              <w:rPr>
                <w:rFonts w:ascii="Arial" w:eastAsia="Times New Roman" w:hAnsi="Arial" w:cs="Arial"/>
                <w:color w:val="000000"/>
                <w:sz w:val="20"/>
                <w:szCs w:val="20"/>
              </w:rPr>
              <w:t>3.3 </w:t>
            </w:r>
          </w:p>
        </w:tc>
        <w:tc>
          <w:tcPr>
            <w:tcW w:w="0" w:type="auto"/>
            <w:shd w:val="clear" w:color="auto" w:fill="FFFFFF"/>
            <w:tcMar>
              <w:top w:w="30" w:type="dxa"/>
              <w:left w:w="0" w:type="dxa"/>
              <w:bottom w:w="30" w:type="dxa"/>
              <w:right w:w="20" w:type="dxa"/>
            </w:tcMar>
            <w:vAlign w:val="bottom"/>
            <w:hideMark/>
          </w:tcPr>
          <w:p w14:paraId="07557AE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9CB8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E12C45" w14:textId="77777777" w:rsidR="00000000" w:rsidRDefault="00C01C43">
            <w:pPr>
              <w:jc w:val="right"/>
              <w:rPr>
                <w:rFonts w:eastAsia="Times New Roman"/>
              </w:rPr>
            </w:pPr>
            <w:r>
              <w:rPr>
                <w:rFonts w:ascii="Arial" w:eastAsia="Times New Roman" w:hAnsi="Arial" w:cs="Arial"/>
                <w:color w:val="000000"/>
                <w:sz w:val="20"/>
                <w:szCs w:val="20"/>
              </w:rPr>
              <w:t>39.5 </w:t>
            </w:r>
          </w:p>
        </w:tc>
        <w:tc>
          <w:tcPr>
            <w:tcW w:w="0" w:type="auto"/>
            <w:shd w:val="clear" w:color="auto" w:fill="FFFFFF"/>
            <w:tcMar>
              <w:top w:w="30" w:type="dxa"/>
              <w:left w:w="0" w:type="dxa"/>
              <w:bottom w:w="30" w:type="dxa"/>
              <w:right w:w="20" w:type="dxa"/>
            </w:tcMar>
            <w:vAlign w:val="bottom"/>
            <w:hideMark/>
          </w:tcPr>
          <w:p w14:paraId="296C183A" w14:textId="77777777" w:rsidR="00000000" w:rsidRDefault="00C01C43">
            <w:pPr>
              <w:jc w:val="right"/>
              <w:rPr>
                <w:rFonts w:eastAsia="Times New Roman"/>
              </w:rPr>
            </w:pPr>
          </w:p>
        </w:tc>
      </w:tr>
      <w:tr w:rsidR="00000000" w14:paraId="34C35255" w14:textId="77777777">
        <w:trPr>
          <w:divId w:val="67634420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18ED35" w14:textId="77777777" w:rsidR="00000000" w:rsidRDefault="00C01C43">
            <w:pPr>
              <w:rPr>
                <w:rFonts w:eastAsia="Times New Roman"/>
              </w:rPr>
            </w:pPr>
            <w:r>
              <w:rPr>
                <w:rFonts w:ascii="Arial" w:eastAsia="Times New Roman" w:hAnsi="Arial" w:cs="Arial"/>
                <w:color w:val="000000"/>
                <w:sz w:val="20"/>
                <w:szCs w:val="20"/>
              </w:rPr>
              <w:t>Total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50E42A" w14:textId="77777777" w:rsidR="00000000" w:rsidRDefault="00C01C43">
            <w:pPr>
              <w:jc w:val="right"/>
              <w:rPr>
                <w:rFonts w:eastAsia="Times New Roman"/>
              </w:rPr>
            </w:pPr>
            <w:r>
              <w:rPr>
                <w:rFonts w:ascii="Arial" w:eastAsia="Times New Roman" w:hAnsi="Arial" w:cs="Arial"/>
                <w:color w:val="000000"/>
                <w:sz w:val="20"/>
                <w:szCs w:val="20"/>
              </w:rPr>
              <w:t>524.7 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4E1E43"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EBC5B0"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0BA025" w14:textId="77777777" w:rsidR="00000000" w:rsidRDefault="00C01C43">
            <w:pPr>
              <w:jc w:val="right"/>
              <w:rPr>
                <w:rFonts w:eastAsia="Times New Roman"/>
              </w:rPr>
            </w:pPr>
            <w:r>
              <w:rPr>
                <w:rFonts w:ascii="Arial" w:eastAsia="Times New Roman" w:hAnsi="Arial" w:cs="Arial"/>
                <w:color w:val="000000"/>
                <w:sz w:val="20"/>
                <w:szCs w:val="20"/>
              </w:rPr>
              <w:t>628.8 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0B6F8D" w14:textId="77777777" w:rsidR="00000000" w:rsidRDefault="00C01C43">
            <w:pPr>
              <w:jc w:val="right"/>
              <w:rPr>
                <w:rFonts w:eastAsia="Times New Roman"/>
              </w:rPr>
            </w:pPr>
          </w:p>
        </w:tc>
      </w:tr>
      <w:tr w:rsidR="00000000" w14:paraId="418A0556" w14:textId="77777777">
        <w:trPr>
          <w:divId w:val="676344206"/>
        </w:trPr>
        <w:tc>
          <w:tcPr>
            <w:tcW w:w="0" w:type="auto"/>
            <w:gridSpan w:val="3"/>
            <w:shd w:val="clear" w:color="auto" w:fill="FFFFFF"/>
            <w:tcMar>
              <w:top w:w="30" w:type="dxa"/>
              <w:left w:w="20" w:type="dxa"/>
              <w:bottom w:w="30" w:type="dxa"/>
              <w:right w:w="20" w:type="dxa"/>
            </w:tcMar>
            <w:vAlign w:val="bottom"/>
            <w:hideMark/>
          </w:tcPr>
          <w:p w14:paraId="443A661D" w14:textId="77777777" w:rsidR="00000000" w:rsidRDefault="00C01C43">
            <w:pPr>
              <w:rPr>
                <w:rFonts w:eastAsia="Times New Roman"/>
              </w:rPr>
            </w:pPr>
            <w:r>
              <w:rPr>
                <w:rFonts w:ascii="Arial" w:eastAsia="Times New Roman" w:hAnsi="Arial" w:cs="Arial"/>
                <w:color w:val="000000"/>
                <w:sz w:val="20"/>
                <w:szCs w:val="20"/>
              </w:rPr>
              <w:t>Less: Current maturities of long-term debt and finance leases*</w:t>
            </w:r>
          </w:p>
        </w:tc>
        <w:tc>
          <w:tcPr>
            <w:tcW w:w="0" w:type="auto"/>
            <w:gridSpan w:val="2"/>
            <w:shd w:val="clear" w:color="auto" w:fill="FFFFFF"/>
            <w:tcMar>
              <w:top w:w="30" w:type="dxa"/>
              <w:left w:w="20" w:type="dxa"/>
              <w:bottom w:w="30" w:type="dxa"/>
              <w:right w:w="0" w:type="dxa"/>
            </w:tcMar>
            <w:vAlign w:val="bottom"/>
            <w:hideMark/>
          </w:tcPr>
          <w:p w14:paraId="0F6C3B35" w14:textId="77777777" w:rsidR="00000000" w:rsidRDefault="00C01C43">
            <w:pPr>
              <w:jc w:val="right"/>
              <w:rPr>
                <w:rFonts w:eastAsia="Times New Roman"/>
              </w:rPr>
            </w:pPr>
            <w:r>
              <w:rPr>
                <w:rFonts w:ascii="Arial" w:eastAsia="Times New Roman" w:hAnsi="Arial" w:cs="Arial"/>
                <w:color w:val="000000"/>
                <w:sz w:val="20"/>
                <w:szCs w:val="20"/>
              </w:rPr>
              <w:t>22.9 </w:t>
            </w:r>
          </w:p>
        </w:tc>
        <w:tc>
          <w:tcPr>
            <w:tcW w:w="0" w:type="auto"/>
            <w:shd w:val="clear" w:color="auto" w:fill="FFFFFF"/>
            <w:tcMar>
              <w:top w:w="30" w:type="dxa"/>
              <w:left w:w="0" w:type="dxa"/>
              <w:bottom w:w="30" w:type="dxa"/>
              <w:right w:w="20" w:type="dxa"/>
            </w:tcMar>
            <w:vAlign w:val="bottom"/>
            <w:hideMark/>
          </w:tcPr>
          <w:p w14:paraId="46281D7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FF6DC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23DF7C" w14:textId="77777777" w:rsidR="00000000" w:rsidRDefault="00C01C43">
            <w:pPr>
              <w:jc w:val="right"/>
              <w:rPr>
                <w:rFonts w:eastAsia="Times New Roman"/>
              </w:rPr>
            </w:pPr>
            <w:r>
              <w:rPr>
                <w:rFonts w:ascii="Arial" w:eastAsia="Times New Roman" w:hAnsi="Arial" w:cs="Arial"/>
                <w:color w:val="000000"/>
                <w:sz w:val="20"/>
                <w:szCs w:val="20"/>
              </w:rPr>
              <w:t>54.1 </w:t>
            </w:r>
          </w:p>
        </w:tc>
        <w:tc>
          <w:tcPr>
            <w:tcW w:w="0" w:type="auto"/>
            <w:shd w:val="clear" w:color="auto" w:fill="FFFFFF"/>
            <w:tcMar>
              <w:top w:w="30" w:type="dxa"/>
              <w:left w:w="0" w:type="dxa"/>
              <w:bottom w:w="30" w:type="dxa"/>
              <w:right w:w="20" w:type="dxa"/>
            </w:tcMar>
            <w:vAlign w:val="bottom"/>
            <w:hideMark/>
          </w:tcPr>
          <w:p w14:paraId="3841709D" w14:textId="77777777" w:rsidR="00000000" w:rsidRDefault="00C01C43">
            <w:pPr>
              <w:jc w:val="right"/>
              <w:rPr>
                <w:rFonts w:eastAsia="Times New Roman"/>
              </w:rPr>
            </w:pPr>
          </w:p>
        </w:tc>
      </w:tr>
      <w:tr w:rsidR="00000000" w14:paraId="57FA50A7" w14:textId="77777777">
        <w:trPr>
          <w:divId w:val="676344206"/>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66FB86F6" w14:textId="77777777" w:rsidR="00000000" w:rsidRDefault="00C01C43">
            <w:pPr>
              <w:rPr>
                <w:rFonts w:eastAsia="Times New Roman"/>
              </w:rPr>
            </w:pPr>
            <w:r>
              <w:rPr>
                <w:rFonts w:ascii="Arial" w:eastAsia="Times New Roman" w:hAnsi="Arial" w:cs="Arial"/>
                <w:color w:val="000000"/>
                <w:sz w:val="20"/>
                <w:szCs w:val="20"/>
              </w:rPr>
              <w:t>Long-term debt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75799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C650BF" w14:textId="77777777" w:rsidR="00000000" w:rsidRDefault="00C01C43">
            <w:pPr>
              <w:jc w:val="right"/>
              <w:rPr>
                <w:rFonts w:eastAsia="Times New Roman"/>
              </w:rPr>
            </w:pPr>
            <w:r>
              <w:rPr>
                <w:rFonts w:ascii="Arial" w:eastAsia="Times New Roman" w:hAnsi="Arial" w:cs="Arial"/>
                <w:color w:val="000000"/>
                <w:sz w:val="20"/>
                <w:szCs w:val="20"/>
              </w:rPr>
              <w:t>501.8 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E14A6BF"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94DD4CA"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E91655"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0AA99F" w14:textId="77777777" w:rsidR="00000000" w:rsidRDefault="00C01C43">
            <w:pPr>
              <w:jc w:val="right"/>
              <w:rPr>
                <w:rFonts w:eastAsia="Times New Roman"/>
              </w:rPr>
            </w:pPr>
            <w:r>
              <w:rPr>
                <w:rFonts w:ascii="Arial" w:eastAsia="Times New Roman" w:hAnsi="Arial" w:cs="Arial"/>
                <w:color w:val="000000"/>
                <w:sz w:val="20"/>
                <w:szCs w:val="20"/>
              </w:rPr>
              <w:t>574.7 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1A2495" w14:textId="77777777" w:rsidR="00000000" w:rsidRDefault="00C01C43">
            <w:pPr>
              <w:jc w:val="right"/>
              <w:rPr>
                <w:rFonts w:eastAsia="Times New Roman"/>
              </w:rPr>
            </w:pPr>
          </w:p>
        </w:tc>
      </w:tr>
    </w:tbl>
    <w:p w14:paraId="38F4FF7E" w14:textId="77777777" w:rsidR="00000000" w:rsidRDefault="00C01C43">
      <w:pPr>
        <w:jc w:val="both"/>
        <w:divId w:val="607204418"/>
        <w:rPr>
          <w:rFonts w:eastAsia="Times New Roman"/>
        </w:rPr>
      </w:pPr>
      <w:r>
        <w:rPr>
          <w:rFonts w:ascii="Arial" w:eastAsia="Times New Roman" w:hAnsi="Arial" w:cs="Arial"/>
          <w:color w:val="000000"/>
          <w:sz w:val="16"/>
          <w:szCs w:val="16"/>
        </w:rPr>
        <w:t xml:space="preserve">*At December 31, 2019, includes secured borrowing of $37.3 million (EUR 33.6 </w:t>
      </w:r>
      <w:r>
        <w:rPr>
          <w:rFonts w:ascii="Arial" w:eastAsia="Times New Roman" w:hAnsi="Arial" w:cs="Arial"/>
          <w:color w:val="000000"/>
          <w:sz w:val="16"/>
          <w:szCs w:val="16"/>
        </w:rPr>
        <w:t>million) for the transfer of tax receivables which was extinguished in 2020.</w:t>
      </w:r>
    </w:p>
    <w:p w14:paraId="29FA6309" w14:textId="77777777" w:rsidR="00000000" w:rsidRDefault="00C01C43">
      <w:pPr>
        <w:jc w:val="center"/>
        <w:divId w:val="1330789005"/>
        <w:rPr>
          <w:rFonts w:eastAsia="Times New Roman"/>
        </w:rPr>
      </w:pPr>
      <w:r>
        <w:rPr>
          <w:rFonts w:ascii="Arial" w:eastAsia="Times New Roman" w:hAnsi="Arial" w:cs="Arial"/>
          <w:color w:val="000000"/>
          <w:sz w:val="16"/>
          <w:szCs w:val="16"/>
        </w:rPr>
        <w:t>70</w:t>
      </w:r>
    </w:p>
    <w:p w14:paraId="05B61715" w14:textId="77777777" w:rsidR="00000000" w:rsidRDefault="00C01C43">
      <w:pPr>
        <w:rPr>
          <w:rFonts w:eastAsia="Times New Roman"/>
        </w:rPr>
      </w:pPr>
      <w:r>
        <w:rPr>
          <w:rFonts w:eastAsia="Times New Roman"/>
        </w:rPr>
        <w:pict w14:anchorId="0808C9A2">
          <v:rect id="_x0000_i1099" style="width:0;height:1.5pt" o:hralign="center" o:hrstd="t" o:hr="t" fillcolor="#a0a0a0" stroked="f"/>
        </w:pict>
      </w:r>
    </w:p>
    <w:p w14:paraId="35A026B2" w14:textId="77777777" w:rsidR="00000000" w:rsidRDefault="00C01C43">
      <w:pPr>
        <w:divId w:val="1252590564"/>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5BF938A1" w14:textId="77777777" w:rsidR="00000000" w:rsidRDefault="00C01C43">
      <w:pPr>
        <w:jc w:val="both"/>
        <w:divId w:val="207955580"/>
        <w:rPr>
          <w:rFonts w:eastAsia="Times New Roman"/>
        </w:rPr>
      </w:pPr>
    </w:p>
    <w:p w14:paraId="02FE5AA6" w14:textId="77777777" w:rsidR="00000000" w:rsidRDefault="00C01C43">
      <w:pPr>
        <w:jc w:val="both"/>
        <w:divId w:val="1692611528"/>
        <w:rPr>
          <w:rFonts w:eastAsia="Times New Roman"/>
        </w:rPr>
      </w:pPr>
      <w:r>
        <w:rPr>
          <w:rFonts w:ascii="Arial" w:eastAsia="Times New Roman" w:hAnsi="Arial" w:cs="Arial"/>
          <w:color w:val="000000"/>
          <w:sz w:val="20"/>
          <w:szCs w:val="20"/>
        </w:rPr>
        <w:t>As of December </w:t>
      </w:r>
      <w:r>
        <w:rPr>
          <w:rFonts w:ascii="Arial" w:eastAsia="Times New Roman" w:hAnsi="Arial" w:cs="Arial"/>
          <w:color w:val="000000"/>
          <w:sz w:val="20"/>
          <w:szCs w:val="20"/>
        </w:rPr>
        <w:t>31, 2020, the aggregate annual maturities of debt are as follows (in millions):</w:t>
      </w:r>
    </w:p>
    <w:tbl>
      <w:tblPr>
        <w:tblW w:w="4992" w:type="pct"/>
        <w:tblCellMar>
          <w:top w:w="15" w:type="dxa"/>
          <w:left w:w="15" w:type="dxa"/>
          <w:bottom w:w="15" w:type="dxa"/>
          <w:right w:w="15" w:type="dxa"/>
        </w:tblCellMar>
        <w:tblLook w:val="04A0" w:firstRow="1" w:lastRow="0" w:firstColumn="1" w:lastColumn="0" w:noHBand="0" w:noVBand="1"/>
      </w:tblPr>
      <w:tblGrid>
        <w:gridCol w:w="48"/>
        <w:gridCol w:w="7342"/>
        <w:gridCol w:w="36"/>
        <w:gridCol w:w="132"/>
        <w:gridCol w:w="699"/>
        <w:gridCol w:w="36"/>
      </w:tblGrid>
      <w:tr w:rsidR="00000000" w14:paraId="3783F26A" w14:textId="77777777">
        <w:trPr>
          <w:divId w:val="1257322388"/>
        </w:trPr>
        <w:tc>
          <w:tcPr>
            <w:tcW w:w="50" w:type="pct"/>
            <w:vAlign w:val="center"/>
            <w:hideMark/>
          </w:tcPr>
          <w:p w14:paraId="72E843D4" w14:textId="77777777" w:rsidR="00000000" w:rsidRDefault="00C01C43">
            <w:pPr>
              <w:jc w:val="both"/>
              <w:rPr>
                <w:rFonts w:eastAsia="Times New Roman"/>
              </w:rPr>
            </w:pPr>
          </w:p>
        </w:tc>
        <w:tc>
          <w:tcPr>
            <w:tcW w:w="4447" w:type="pct"/>
            <w:vAlign w:val="center"/>
            <w:hideMark/>
          </w:tcPr>
          <w:p w14:paraId="537F1EB1" w14:textId="77777777" w:rsidR="00000000" w:rsidRDefault="00C01C43">
            <w:pPr>
              <w:rPr>
                <w:rFonts w:eastAsia="Times New Roman"/>
                <w:sz w:val="20"/>
                <w:szCs w:val="20"/>
              </w:rPr>
            </w:pPr>
          </w:p>
        </w:tc>
        <w:tc>
          <w:tcPr>
            <w:tcW w:w="5" w:type="pct"/>
            <w:vAlign w:val="center"/>
            <w:hideMark/>
          </w:tcPr>
          <w:p w14:paraId="4EC954D3" w14:textId="77777777" w:rsidR="00000000" w:rsidRDefault="00C01C43">
            <w:pPr>
              <w:rPr>
                <w:rFonts w:eastAsia="Times New Roman"/>
                <w:sz w:val="20"/>
                <w:szCs w:val="20"/>
              </w:rPr>
            </w:pPr>
          </w:p>
        </w:tc>
        <w:tc>
          <w:tcPr>
            <w:tcW w:w="50" w:type="pct"/>
            <w:vAlign w:val="center"/>
            <w:hideMark/>
          </w:tcPr>
          <w:p w14:paraId="1CC80B68" w14:textId="77777777" w:rsidR="00000000" w:rsidRDefault="00C01C43">
            <w:pPr>
              <w:rPr>
                <w:rFonts w:eastAsia="Times New Roman"/>
                <w:sz w:val="20"/>
                <w:szCs w:val="20"/>
              </w:rPr>
            </w:pPr>
          </w:p>
        </w:tc>
        <w:tc>
          <w:tcPr>
            <w:tcW w:w="442" w:type="pct"/>
            <w:vAlign w:val="center"/>
            <w:hideMark/>
          </w:tcPr>
          <w:p w14:paraId="416A45B6" w14:textId="77777777" w:rsidR="00000000" w:rsidRDefault="00C01C43">
            <w:pPr>
              <w:rPr>
                <w:rFonts w:eastAsia="Times New Roman"/>
                <w:sz w:val="20"/>
                <w:szCs w:val="20"/>
              </w:rPr>
            </w:pPr>
          </w:p>
        </w:tc>
        <w:tc>
          <w:tcPr>
            <w:tcW w:w="5" w:type="pct"/>
            <w:vAlign w:val="center"/>
            <w:hideMark/>
          </w:tcPr>
          <w:p w14:paraId="2501220C" w14:textId="77777777" w:rsidR="00000000" w:rsidRDefault="00C01C43">
            <w:pPr>
              <w:rPr>
                <w:rFonts w:eastAsia="Times New Roman"/>
                <w:sz w:val="20"/>
                <w:szCs w:val="20"/>
              </w:rPr>
            </w:pPr>
          </w:p>
        </w:tc>
      </w:tr>
      <w:tr w:rsidR="00000000" w14:paraId="430F4009" w14:textId="77777777">
        <w:trPr>
          <w:divId w:val="1257322388"/>
        </w:trPr>
        <w:tc>
          <w:tcPr>
            <w:tcW w:w="0" w:type="auto"/>
            <w:gridSpan w:val="6"/>
            <w:tcMar>
              <w:top w:w="30" w:type="dxa"/>
              <w:left w:w="20" w:type="dxa"/>
              <w:bottom w:w="30" w:type="dxa"/>
              <w:right w:w="20" w:type="dxa"/>
            </w:tcMar>
            <w:vAlign w:val="bottom"/>
            <w:hideMark/>
          </w:tcPr>
          <w:p w14:paraId="5BF78DFE" w14:textId="77777777" w:rsidR="00000000" w:rsidRDefault="00C01C43">
            <w:pPr>
              <w:jc w:val="center"/>
              <w:rPr>
                <w:rFonts w:eastAsia="Times New Roman"/>
              </w:rPr>
            </w:pPr>
            <w:r>
              <w:rPr>
                <w:rFonts w:ascii="Arial" w:eastAsia="Times New Roman" w:hAnsi="Arial" w:cs="Arial"/>
                <w:b/>
                <w:bCs/>
                <w:color w:val="000000"/>
                <w:sz w:val="16"/>
                <w:szCs w:val="16"/>
              </w:rPr>
              <w:t>Year Ended December 31,</w:t>
            </w:r>
          </w:p>
        </w:tc>
      </w:tr>
      <w:tr w:rsidR="00000000" w14:paraId="750FA4BC" w14:textId="77777777">
        <w:trPr>
          <w:divId w:val="125732238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B186F4A" w14:textId="77777777" w:rsidR="00000000" w:rsidRDefault="00C01C43">
            <w:pPr>
              <w:rPr>
                <w:rFonts w:eastAsia="Times New Roman"/>
              </w:rPr>
            </w:pPr>
            <w:r>
              <w:rPr>
                <w:rFonts w:ascii="Arial" w:eastAsia="Times New Roman" w:hAnsi="Arial" w:cs="Arial"/>
                <w:color w:val="000000"/>
                <w:sz w:val="20"/>
                <w:szCs w:val="20"/>
              </w:rPr>
              <w:t>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72317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DF816F" w14:textId="77777777" w:rsidR="00000000" w:rsidRDefault="00C01C43">
            <w:pPr>
              <w:jc w:val="right"/>
              <w:rPr>
                <w:rFonts w:eastAsia="Times New Roman"/>
              </w:rPr>
            </w:pPr>
            <w:r>
              <w:rPr>
                <w:rFonts w:ascii="Arial" w:eastAsia="Times New Roman" w:hAnsi="Arial" w:cs="Arial"/>
                <w:color w:val="000000"/>
                <w:sz w:val="20"/>
                <w:szCs w:val="20"/>
              </w:rPr>
              <w:t>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7560CF" w14:textId="77777777" w:rsidR="00000000" w:rsidRDefault="00C01C43">
            <w:pPr>
              <w:jc w:val="right"/>
              <w:rPr>
                <w:rFonts w:eastAsia="Times New Roman"/>
              </w:rPr>
            </w:pPr>
          </w:p>
        </w:tc>
      </w:tr>
      <w:tr w:rsidR="00000000" w14:paraId="360E4B1B" w14:textId="77777777">
        <w:trPr>
          <w:divId w:val="1257322388"/>
        </w:trPr>
        <w:tc>
          <w:tcPr>
            <w:tcW w:w="0" w:type="auto"/>
            <w:gridSpan w:val="3"/>
            <w:shd w:val="clear" w:color="auto" w:fill="FFFFFF"/>
            <w:tcMar>
              <w:top w:w="30" w:type="dxa"/>
              <w:left w:w="20" w:type="dxa"/>
              <w:bottom w:w="30" w:type="dxa"/>
              <w:right w:w="20" w:type="dxa"/>
            </w:tcMar>
            <w:vAlign w:val="bottom"/>
            <w:hideMark/>
          </w:tcPr>
          <w:p w14:paraId="742FC1B2" w14:textId="77777777" w:rsidR="00000000" w:rsidRDefault="00C01C43">
            <w:pPr>
              <w:rPr>
                <w:rFonts w:eastAsia="Times New Roman"/>
              </w:rPr>
            </w:pPr>
            <w:r>
              <w:rPr>
                <w:rFonts w:ascii="Arial" w:eastAsia="Times New Roman" w:hAnsi="Arial" w:cs="Arial"/>
                <w:color w:val="000000"/>
                <w:sz w:val="20"/>
                <w:szCs w:val="20"/>
              </w:rPr>
              <w:t>2022</w:t>
            </w:r>
          </w:p>
        </w:tc>
        <w:tc>
          <w:tcPr>
            <w:tcW w:w="0" w:type="auto"/>
            <w:gridSpan w:val="2"/>
            <w:shd w:val="clear" w:color="auto" w:fill="FFFFFF"/>
            <w:tcMar>
              <w:top w:w="30" w:type="dxa"/>
              <w:left w:w="20" w:type="dxa"/>
              <w:bottom w:w="30" w:type="dxa"/>
              <w:right w:w="0" w:type="dxa"/>
            </w:tcMar>
            <w:vAlign w:val="bottom"/>
            <w:hideMark/>
          </w:tcPr>
          <w:p w14:paraId="6726BE2D" w14:textId="77777777" w:rsidR="00000000" w:rsidRDefault="00C01C43">
            <w:pPr>
              <w:jc w:val="right"/>
              <w:rPr>
                <w:rFonts w:eastAsia="Times New Roman"/>
              </w:rPr>
            </w:pPr>
            <w:r>
              <w:rPr>
                <w:rFonts w:ascii="Arial" w:eastAsia="Times New Roman" w:hAnsi="Arial" w:cs="Arial"/>
                <w:color w:val="000000"/>
                <w:sz w:val="20"/>
                <w:szCs w:val="20"/>
              </w:rPr>
              <w:t>30.2 </w:t>
            </w:r>
          </w:p>
        </w:tc>
        <w:tc>
          <w:tcPr>
            <w:tcW w:w="0" w:type="auto"/>
            <w:shd w:val="clear" w:color="auto" w:fill="FFFFFF"/>
            <w:tcMar>
              <w:top w:w="30" w:type="dxa"/>
              <w:left w:w="0" w:type="dxa"/>
              <w:bottom w:w="30" w:type="dxa"/>
              <w:right w:w="20" w:type="dxa"/>
            </w:tcMar>
            <w:vAlign w:val="bottom"/>
            <w:hideMark/>
          </w:tcPr>
          <w:p w14:paraId="545AAF92" w14:textId="77777777" w:rsidR="00000000" w:rsidRDefault="00C01C43">
            <w:pPr>
              <w:jc w:val="right"/>
              <w:rPr>
                <w:rFonts w:eastAsia="Times New Roman"/>
              </w:rPr>
            </w:pPr>
          </w:p>
        </w:tc>
      </w:tr>
      <w:tr w:rsidR="00000000" w14:paraId="52B849BC" w14:textId="77777777">
        <w:trPr>
          <w:divId w:val="1257322388"/>
        </w:trPr>
        <w:tc>
          <w:tcPr>
            <w:tcW w:w="0" w:type="auto"/>
            <w:gridSpan w:val="3"/>
            <w:shd w:val="clear" w:color="auto" w:fill="CCEEFF"/>
            <w:tcMar>
              <w:top w:w="30" w:type="dxa"/>
              <w:left w:w="20" w:type="dxa"/>
              <w:bottom w:w="30" w:type="dxa"/>
              <w:right w:w="20" w:type="dxa"/>
            </w:tcMar>
            <w:vAlign w:val="bottom"/>
            <w:hideMark/>
          </w:tcPr>
          <w:p w14:paraId="5D642732" w14:textId="77777777" w:rsidR="00000000" w:rsidRDefault="00C01C43">
            <w:pPr>
              <w:rPr>
                <w:rFonts w:eastAsia="Times New Roman"/>
              </w:rPr>
            </w:pPr>
            <w:r>
              <w:rPr>
                <w:rFonts w:ascii="Arial" w:eastAsia="Times New Roman" w:hAnsi="Arial" w:cs="Arial"/>
                <w:color w:val="000000"/>
                <w:sz w:val="20"/>
                <w:szCs w:val="20"/>
              </w:rPr>
              <w:t>2023</w:t>
            </w:r>
          </w:p>
        </w:tc>
        <w:tc>
          <w:tcPr>
            <w:tcW w:w="0" w:type="auto"/>
            <w:gridSpan w:val="2"/>
            <w:shd w:val="clear" w:color="auto" w:fill="CCEEFF"/>
            <w:tcMar>
              <w:top w:w="30" w:type="dxa"/>
              <w:left w:w="20" w:type="dxa"/>
              <w:bottom w:w="30" w:type="dxa"/>
              <w:right w:w="0" w:type="dxa"/>
            </w:tcMar>
            <w:vAlign w:val="bottom"/>
            <w:hideMark/>
          </w:tcPr>
          <w:p w14:paraId="66408194" w14:textId="77777777" w:rsidR="00000000" w:rsidRDefault="00C01C43">
            <w:pPr>
              <w:jc w:val="right"/>
              <w:rPr>
                <w:rFonts w:eastAsia="Times New Roman"/>
              </w:rPr>
            </w:pPr>
            <w:r>
              <w:rPr>
                <w:rFonts w:ascii="Arial" w:eastAsia="Times New Roman" w:hAnsi="Arial" w:cs="Arial"/>
                <w:color w:val="000000"/>
                <w:sz w:val="20"/>
                <w:szCs w:val="20"/>
              </w:rPr>
              <w:t>29.2 </w:t>
            </w:r>
          </w:p>
        </w:tc>
        <w:tc>
          <w:tcPr>
            <w:tcW w:w="0" w:type="auto"/>
            <w:shd w:val="clear" w:color="auto" w:fill="CCEEFF"/>
            <w:tcMar>
              <w:top w:w="30" w:type="dxa"/>
              <w:left w:w="0" w:type="dxa"/>
              <w:bottom w:w="30" w:type="dxa"/>
              <w:right w:w="20" w:type="dxa"/>
            </w:tcMar>
            <w:vAlign w:val="bottom"/>
            <w:hideMark/>
          </w:tcPr>
          <w:p w14:paraId="53B7F17E" w14:textId="77777777" w:rsidR="00000000" w:rsidRDefault="00C01C43">
            <w:pPr>
              <w:jc w:val="right"/>
              <w:rPr>
                <w:rFonts w:eastAsia="Times New Roman"/>
              </w:rPr>
            </w:pPr>
          </w:p>
        </w:tc>
      </w:tr>
      <w:tr w:rsidR="00000000" w14:paraId="4B8B7767" w14:textId="77777777">
        <w:trPr>
          <w:divId w:val="1257322388"/>
        </w:trPr>
        <w:tc>
          <w:tcPr>
            <w:tcW w:w="0" w:type="auto"/>
            <w:gridSpan w:val="3"/>
            <w:shd w:val="clear" w:color="auto" w:fill="FFFFFF"/>
            <w:tcMar>
              <w:top w:w="30" w:type="dxa"/>
              <w:left w:w="20" w:type="dxa"/>
              <w:bottom w:w="30" w:type="dxa"/>
              <w:right w:w="20" w:type="dxa"/>
            </w:tcMar>
            <w:vAlign w:val="bottom"/>
            <w:hideMark/>
          </w:tcPr>
          <w:p w14:paraId="02F19EC5" w14:textId="77777777" w:rsidR="00000000" w:rsidRDefault="00C01C43">
            <w:pPr>
              <w:rPr>
                <w:rFonts w:eastAsia="Times New Roman"/>
              </w:rPr>
            </w:pPr>
            <w:r>
              <w:rPr>
                <w:rFonts w:ascii="Arial" w:eastAsia="Times New Roman" w:hAnsi="Arial" w:cs="Arial"/>
                <w:color w:val="000000"/>
                <w:sz w:val="20"/>
                <w:szCs w:val="20"/>
              </w:rPr>
              <w:t>2024</w:t>
            </w:r>
          </w:p>
        </w:tc>
        <w:tc>
          <w:tcPr>
            <w:tcW w:w="0" w:type="auto"/>
            <w:gridSpan w:val="2"/>
            <w:shd w:val="clear" w:color="auto" w:fill="FFFFFF"/>
            <w:tcMar>
              <w:top w:w="30" w:type="dxa"/>
              <w:left w:w="20" w:type="dxa"/>
              <w:bottom w:w="30" w:type="dxa"/>
              <w:right w:w="0" w:type="dxa"/>
            </w:tcMar>
            <w:vAlign w:val="bottom"/>
            <w:hideMark/>
          </w:tcPr>
          <w:p w14:paraId="0A64AD82" w14:textId="77777777" w:rsidR="00000000" w:rsidRDefault="00C01C43">
            <w:pPr>
              <w:jc w:val="right"/>
              <w:rPr>
                <w:rFonts w:eastAsia="Times New Roman"/>
              </w:rPr>
            </w:pPr>
            <w:r>
              <w:rPr>
                <w:rFonts w:ascii="Arial" w:eastAsia="Times New Roman" w:hAnsi="Arial" w:cs="Arial"/>
                <w:color w:val="000000"/>
                <w:sz w:val="20"/>
                <w:szCs w:val="20"/>
              </w:rPr>
              <w:t>15.3 </w:t>
            </w:r>
          </w:p>
        </w:tc>
        <w:tc>
          <w:tcPr>
            <w:tcW w:w="0" w:type="auto"/>
            <w:shd w:val="clear" w:color="auto" w:fill="FFFFFF"/>
            <w:tcMar>
              <w:top w:w="30" w:type="dxa"/>
              <w:left w:w="0" w:type="dxa"/>
              <w:bottom w:w="30" w:type="dxa"/>
              <w:right w:w="20" w:type="dxa"/>
            </w:tcMar>
            <w:vAlign w:val="bottom"/>
            <w:hideMark/>
          </w:tcPr>
          <w:p w14:paraId="536101B6" w14:textId="77777777" w:rsidR="00000000" w:rsidRDefault="00C01C43">
            <w:pPr>
              <w:jc w:val="right"/>
              <w:rPr>
                <w:rFonts w:eastAsia="Times New Roman"/>
              </w:rPr>
            </w:pPr>
          </w:p>
        </w:tc>
      </w:tr>
      <w:tr w:rsidR="00000000" w14:paraId="410CEB6A" w14:textId="77777777">
        <w:trPr>
          <w:divId w:val="1257322388"/>
        </w:trPr>
        <w:tc>
          <w:tcPr>
            <w:tcW w:w="0" w:type="auto"/>
            <w:gridSpan w:val="3"/>
            <w:shd w:val="clear" w:color="auto" w:fill="CCEEFF"/>
            <w:tcMar>
              <w:top w:w="30" w:type="dxa"/>
              <w:left w:w="20" w:type="dxa"/>
              <w:bottom w:w="30" w:type="dxa"/>
              <w:right w:w="20" w:type="dxa"/>
            </w:tcMar>
            <w:vAlign w:val="bottom"/>
            <w:hideMark/>
          </w:tcPr>
          <w:p w14:paraId="4070823C" w14:textId="77777777" w:rsidR="00000000" w:rsidRDefault="00C01C43">
            <w:pPr>
              <w:rPr>
                <w:rFonts w:eastAsia="Times New Roman"/>
              </w:rPr>
            </w:pPr>
            <w:r>
              <w:rPr>
                <w:rFonts w:ascii="Arial" w:eastAsia="Times New Roman" w:hAnsi="Arial" w:cs="Arial"/>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14:paraId="37410D24" w14:textId="77777777" w:rsidR="00000000" w:rsidRDefault="00C01C43">
            <w:pPr>
              <w:jc w:val="right"/>
              <w:rPr>
                <w:rFonts w:eastAsia="Times New Roman"/>
              </w:rPr>
            </w:pPr>
            <w:r>
              <w:rPr>
                <w:rFonts w:ascii="Arial" w:eastAsia="Times New Roman" w:hAnsi="Arial" w:cs="Arial"/>
                <w:color w:val="000000"/>
                <w:sz w:val="20"/>
                <w:szCs w:val="20"/>
              </w:rPr>
              <w:t>422.2 </w:t>
            </w:r>
          </w:p>
        </w:tc>
        <w:tc>
          <w:tcPr>
            <w:tcW w:w="0" w:type="auto"/>
            <w:shd w:val="clear" w:color="auto" w:fill="CCEEFF"/>
            <w:tcMar>
              <w:top w:w="30" w:type="dxa"/>
              <w:left w:w="0" w:type="dxa"/>
              <w:bottom w:w="30" w:type="dxa"/>
              <w:right w:w="20" w:type="dxa"/>
            </w:tcMar>
            <w:vAlign w:val="bottom"/>
            <w:hideMark/>
          </w:tcPr>
          <w:p w14:paraId="55A1F3A5" w14:textId="77777777" w:rsidR="00000000" w:rsidRDefault="00C01C43">
            <w:pPr>
              <w:jc w:val="right"/>
              <w:rPr>
                <w:rFonts w:eastAsia="Times New Roman"/>
              </w:rPr>
            </w:pPr>
          </w:p>
        </w:tc>
      </w:tr>
      <w:tr w:rsidR="00000000" w14:paraId="245427E6" w14:textId="77777777">
        <w:trPr>
          <w:divId w:val="1257322388"/>
        </w:trPr>
        <w:tc>
          <w:tcPr>
            <w:tcW w:w="0" w:type="auto"/>
            <w:gridSpan w:val="3"/>
            <w:shd w:val="clear" w:color="auto" w:fill="FFFFFF"/>
            <w:tcMar>
              <w:top w:w="30" w:type="dxa"/>
              <w:left w:w="20" w:type="dxa"/>
              <w:bottom w:w="30" w:type="dxa"/>
              <w:right w:w="20" w:type="dxa"/>
            </w:tcMar>
            <w:vAlign w:val="bottom"/>
            <w:hideMark/>
          </w:tcPr>
          <w:p w14:paraId="27B01F9F" w14:textId="77777777" w:rsidR="00000000" w:rsidRDefault="00C01C43">
            <w:pPr>
              <w:rPr>
                <w:rFonts w:eastAsia="Times New Roman"/>
              </w:rPr>
            </w:pPr>
            <w:r>
              <w:rPr>
                <w:rFonts w:ascii="Arial" w:eastAsia="Times New Roman" w:hAnsi="Arial" w:cs="Arial"/>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2AB9CFA2" w14:textId="77777777" w:rsidR="00000000" w:rsidRDefault="00C01C43">
            <w:pPr>
              <w:jc w:val="right"/>
              <w:rPr>
                <w:rFonts w:eastAsia="Times New Roman"/>
              </w:rPr>
            </w:pPr>
            <w:r>
              <w:rPr>
                <w:rFonts w:ascii="Arial" w:eastAsia="Times New Roman" w:hAnsi="Arial" w:cs="Arial"/>
                <w:color w:val="000000"/>
                <w:sz w:val="20"/>
                <w:szCs w:val="20"/>
              </w:rPr>
              <w:t>3.5 </w:t>
            </w:r>
          </w:p>
        </w:tc>
        <w:tc>
          <w:tcPr>
            <w:tcW w:w="0" w:type="auto"/>
            <w:shd w:val="clear" w:color="auto" w:fill="FFFFFF"/>
            <w:tcMar>
              <w:top w:w="30" w:type="dxa"/>
              <w:left w:w="0" w:type="dxa"/>
              <w:bottom w:w="30" w:type="dxa"/>
              <w:right w:w="20" w:type="dxa"/>
            </w:tcMar>
            <w:vAlign w:val="bottom"/>
            <w:hideMark/>
          </w:tcPr>
          <w:p w14:paraId="355F4E86" w14:textId="77777777" w:rsidR="00000000" w:rsidRDefault="00C01C43">
            <w:pPr>
              <w:jc w:val="right"/>
              <w:rPr>
                <w:rFonts w:eastAsia="Times New Roman"/>
              </w:rPr>
            </w:pPr>
          </w:p>
        </w:tc>
      </w:tr>
      <w:tr w:rsidR="00000000" w14:paraId="307F39E0" w14:textId="77777777">
        <w:trPr>
          <w:divId w:val="1257322388"/>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B8B6564"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DBD881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19CCBE" w14:textId="77777777" w:rsidR="00000000" w:rsidRDefault="00C01C43">
            <w:pPr>
              <w:jc w:val="right"/>
              <w:rPr>
                <w:rFonts w:eastAsia="Times New Roman"/>
              </w:rPr>
            </w:pPr>
            <w:r>
              <w:rPr>
                <w:rFonts w:ascii="Arial" w:eastAsia="Times New Roman" w:hAnsi="Arial" w:cs="Arial"/>
                <w:color w:val="000000"/>
                <w:sz w:val="20"/>
                <w:szCs w:val="20"/>
              </w:rPr>
              <w:t>524.7 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D06354" w14:textId="77777777" w:rsidR="00000000" w:rsidRDefault="00C01C43">
            <w:pPr>
              <w:jc w:val="right"/>
              <w:rPr>
                <w:rFonts w:eastAsia="Times New Roman"/>
              </w:rPr>
            </w:pPr>
          </w:p>
        </w:tc>
      </w:tr>
    </w:tbl>
    <w:p w14:paraId="1BDC0E3C" w14:textId="77777777" w:rsidR="00000000" w:rsidRDefault="00C01C43">
      <w:pPr>
        <w:jc w:val="both"/>
        <w:divId w:val="1403404970"/>
        <w:rPr>
          <w:rFonts w:eastAsia="Times New Roman"/>
        </w:rPr>
      </w:pPr>
    </w:p>
    <w:p w14:paraId="641ACEB0" w14:textId="77777777" w:rsidR="00000000" w:rsidRDefault="00C01C43">
      <w:pPr>
        <w:jc w:val="both"/>
        <w:rPr>
          <w:rFonts w:eastAsia="Times New Roman"/>
        </w:rPr>
      </w:pPr>
      <w:r>
        <w:rPr>
          <w:rFonts w:ascii="Arial" w:eastAsia="Times New Roman" w:hAnsi="Arial" w:cs="Arial"/>
          <w:color w:val="000000"/>
          <w:sz w:val="20"/>
          <w:szCs w:val="20"/>
        </w:rPr>
        <w:t>The following table provides additional information about our interest income, interest expense and other financing costs, net (in millions):</w:t>
      </w:r>
    </w:p>
    <w:tbl>
      <w:tblPr>
        <w:tblW w:w="4978" w:type="pct"/>
        <w:tblCellMar>
          <w:top w:w="15" w:type="dxa"/>
          <w:left w:w="15" w:type="dxa"/>
          <w:bottom w:w="15" w:type="dxa"/>
          <w:right w:w="15" w:type="dxa"/>
        </w:tblCellMar>
        <w:tblLook w:val="04A0" w:firstRow="1" w:lastRow="0" w:firstColumn="1" w:lastColumn="0" w:noHBand="0" w:noVBand="1"/>
      </w:tblPr>
      <w:tblGrid>
        <w:gridCol w:w="38"/>
        <w:gridCol w:w="4609"/>
        <w:gridCol w:w="37"/>
        <w:gridCol w:w="132"/>
        <w:gridCol w:w="985"/>
        <w:gridCol w:w="36"/>
        <w:gridCol w:w="36"/>
        <w:gridCol w:w="36"/>
        <w:gridCol w:w="36"/>
        <w:gridCol w:w="132"/>
        <w:gridCol w:w="940"/>
        <w:gridCol w:w="36"/>
        <w:gridCol w:w="36"/>
        <w:gridCol w:w="36"/>
        <w:gridCol w:w="36"/>
        <w:gridCol w:w="132"/>
        <w:gridCol w:w="940"/>
        <w:gridCol w:w="36"/>
      </w:tblGrid>
      <w:tr w:rsidR="00000000" w14:paraId="03EE9064" w14:textId="77777777">
        <w:trPr>
          <w:divId w:val="501550898"/>
        </w:trPr>
        <w:tc>
          <w:tcPr>
            <w:tcW w:w="50" w:type="pct"/>
            <w:vAlign w:val="center"/>
            <w:hideMark/>
          </w:tcPr>
          <w:p w14:paraId="73782D4C" w14:textId="77777777" w:rsidR="00000000" w:rsidRDefault="00C01C43">
            <w:pPr>
              <w:jc w:val="both"/>
              <w:rPr>
                <w:rFonts w:eastAsia="Times New Roman"/>
              </w:rPr>
            </w:pPr>
          </w:p>
        </w:tc>
        <w:tc>
          <w:tcPr>
            <w:tcW w:w="2823" w:type="pct"/>
            <w:vAlign w:val="center"/>
            <w:hideMark/>
          </w:tcPr>
          <w:p w14:paraId="646EA402" w14:textId="77777777" w:rsidR="00000000" w:rsidRDefault="00C01C43">
            <w:pPr>
              <w:rPr>
                <w:rFonts w:eastAsia="Times New Roman"/>
                <w:sz w:val="20"/>
                <w:szCs w:val="20"/>
              </w:rPr>
            </w:pPr>
          </w:p>
        </w:tc>
        <w:tc>
          <w:tcPr>
            <w:tcW w:w="5" w:type="pct"/>
            <w:vAlign w:val="center"/>
            <w:hideMark/>
          </w:tcPr>
          <w:p w14:paraId="0396D40C" w14:textId="77777777" w:rsidR="00000000" w:rsidRDefault="00C01C43">
            <w:pPr>
              <w:rPr>
                <w:rFonts w:eastAsia="Times New Roman"/>
                <w:sz w:val="20"/>
                <w:szCs w:val="20"/>
              </w:rPr>
            </w:pPr>
          </w:p>
        </w:tc>
        <w:tc>
          <w:tcPr>
            <w:tcW w:w="50" w:type="pct"/>
            <w:vAlign w:val="center"/>
            <w:hideMark/>
          </w:tcPr>
          <w:p w14:paraId="4C517260" w14:textId="77777777" w:rsidR="00000000" w:rsidRDefault="00C01C43">
            <w:pPr>
              <w:rPr>
                <w:rFonts w:eastAsia="Times New Roman"/>
                <w:sz w:val="20"/>
                <w:szCs w:val="20"/>
              </w:rPr>
            </w:pPr>
          </w:p>
        </w:tc>
        <w:tc>
          <w:tcPr>
            <w:tcW w:w="627" w:type="pct"/>
            <w:vAlign w:val="center"/>
            <w:hideMark/>
          </w:tcPr>
          <w:p w14:paraId="6B9DB88B" w14:textId="77777777" w:rsidR="00000000" w:rsidRDefault="00C01C43">
            <w:pPr>
              <w:rPr>
                <w:rFonts w:eastAsia="Times New Roman"/>
                <w:sz w:val="20"/>
                <w:szCs w:val="20"/>
              </w:rPr>
            </w:pPr>
          </w:p>
        </w:tc>
        <w:tc>
          <w:tcPr>
            <w:tcW w:w="5" w:type="pct"/>
            <w:vAlign w:val="center"/>
            <w:hideMark/>
          </w:tcPr>
          <w:p w14:paraId="1CBDAD60" w14:textId="77777777" w:rsidR="00000000" w:rsidRDefault="00C01C43">
            <w:pPr>
              <w:rPr>
                <w:rFonts w:eastAsia="Times New Roman"/>
                <w:sz w:val="20"/>
                <w:szCs w:val="20"/>
              </w:rPr>
            </w:pPr>
          </w:p>
        </w:tc>
        <w:tc>
          <w:tcPr>
            <w:tcW w:w="5" w:type="pct"/>
            <w:vAlign w:val="center"/>
            <w:hideMark/>
          </w:tcPr>
          <w:p w14:paraId="33B0FF89" w14:textId="77777777" w:rsidR="00000000" w:rsidRDefault="00C01C43">
            <w:pPr>
              <w:rPr>
                <w:rFonts w:eastAsia="Times New Roman"/>
                <w:sz w:val="20"/>
                <w:szCs w:val="20"/>
              </w:rPr>
            </w:pPr>
          </w:p>
        </w:tc>
        <w:tc>
          <w:tcPr>
            <w:tcW w:w="26" w:type="pct"/>
            <w:vAlign w:val="center"/>
            <w:hideMark/>
          </w:tcPr>
          <w:p w14:paraId="2848056F" w14:textId="77777777" w:rsidR="00000000" w:rsidRDefault="00C01C43">
            <w:pPr>
              <w:rPr>
                <w:rFonts w:eastAsia="Times New Roman"/>
                <w:sz w:val="20"/>
                <w:szCs w:val="20"/>
              </w:rPr>
            </w:pPr>
          </w:p>
        </w:tc>
        <w:tc>
          <w:tcPr>
            <w:tcW w:w="5" w:type="pct"/>
            <w:vAlign w:val="center"/>
            <w:hideMark/>
          </w:tcPr>
          <w:p w14:paraId="6E0544EB" w14:textId="77777777" w:rsidR="00000000" w:rsidRDefault="00C01C43">
            <w:pPr>
              <w:rPr>
                <w:rFonts w:eastAsia="Times New Roman"/>
                <w:sz w:val="20"/>
                <w:szCs w:val="20"/>
              </w:rPr>
            </w:pPr>
          </w:p>
        </w:tc>
        <w:tc>
          <w:tcPr>
            <w:tcW w:w="50" w:type="pct"/>
            <w:vAlign w:val="center"/>
            <w:hideMark/>
          </w:tcPr>
          <w:p w14:paraId="5B31E427" w14:textId="77777777" w:rsidR="00000000" w:rsidRDefault="00C01C43">
            <w:pPr>
              <w:rPr>
                <w:rFonts w:eastAsia="Times New Roman"/>
                <w:sz w:val="20"/>
                <w:szCs w:val="20"/>
              </w:rPr>
            </w:pPr>
          </w:p>
        </w:tc>
        <w:tc>
          <w:tcPr>
            <w:tcW w:w="627" w:type="pct"/>
            <w:vAlign w:val="center"/>
            <w:hideMark/>
          </w:tcPr>
          <w:p w14:paraId="240AA4E1" w14:textId="77777777" w:rsidR="00000000" w:rsidRDefault="00C01C43">
            <w:pPr>
              <w:rPr>
                <w:rFonts w:eastAsia="Times New Roman"/>
                <w:sz w:val="20"/>
                <w:szCs w:val="20"/>
              </w:rPr>
            </w:pPr>
          </w:p>
        </w:tc>
        <w:tc>
          <w:tcPr>
            <w:tcW w:w="5" w:type="pct"/>
            <w:vAlign w:val="center"/>
            <w:hideMark/>
          </w:tcPr>
          <w:p w14:paraId="4764171E" w14:textId="77777777" w:rsidR="00000000" w:rsidRDefault="00C01C43">
            <w:pPr>
              <w:rPr>
                <w:rFonts w:eastAsia="Times New Roman"/>
                <w:sz w:val="20"/>
                <w:szCs w:val="20"/>
              </w:rPr>
            </w:pPr>
          </w:p>
        </w:tc>
        <w:tc>
          <w:tcPr>
            <w:tcW w:w="5" w:type="pct"/>
            <w:vAlign w:val="center"/>
            <w:hideMark/>
          </w:tcPr>
          <w:p w14:paraId="65D7A965" w14:textId="77777777" w:rsidR="00000000" w:rsidRDefault="00C01C43">
            <w:pPr>
              <w:rPr>
                <w:rFonts w:eastAsia="Times New Roman"/>
                <w:sz w:val="20"/>
                <w:szCs w:val="20"/>
              </w:rPr>
            </w:pPr>
          </w:p>
        </w:tc>
        <w:tc>
          <w:tcPr>
            <w:tcW w:w="26" w:type="pct"/>
            <w:vAlign w:val="center"/>
            <w:hideMark/>
          </w:tcPr>
          <w:p w14:paraId="1D8A7D2E" w14:textId="77777777" w:rsidR="00000000" w:rsidRDefault="00C01C43">
            <w:pPr>
              <w:rPr>
                <w:rFonts w:eastAsia="Times New Roman"/>
                <w:sz w:val="20"/>
                <w:szCs w:val="20"/>
              </w:rPr>
            </w:pPr>
          </w:p>
        </w:tc>
        <w:tc>
          <w:tcPr>
            <w:tcW w:w="5" w:type="pct"/>
            <w:vAlign w:val="center"/>
            <w:hideMark/>
          </w:tcPr>
          <w:p w14:paraId="64F1205B" w14:textId="77777777" w:rsidR="00000000" w:rsidRDefault="00C01C43">
            <w:pPr>
              <w:rPr>
                <w:rFonts w:eastAsia="Times New Roman"/>
                <w:sz w:val="20"/>
                <w:szCs w:val="20"/>
              </w:rPr>
            </w:pPr>
          </w:p>
        </w:tc>
        <w:tc>
          <w:tcPr>
            <w:tcW w:w="50" w:type="pct"/>
            <w:vAlign w:val="center"/>
            <w:hideMark/>
          </w:tcPr>
          <w:p w14:paraId="11732A50" w14:textId="77777777" w:rsidR="00000000" w:rsidRDefault="00C01C43">
            <w:pPr>
              <w:rPr>
                <w:rFonts w:eastAsia="Times New Roman"/>
                <w:sz w:val="20"/>
                <w:szCs w:val="20"/>
              </w:rPr>
            </w:pPr>
          </w:p>
        </w:tc>
        <w:tc>
          <w:tcPr>
            <w:tcW w:w="627" w:type="pct"/>
            <w:vAlign w:val="center"/>
            <w:hideMark/>
          </w:tcPr>
          <w:p w14:paraId="0A2AFE15" w14:textId="77777777" w:rsidR="00000000" w:rsidRDefault="00C01C43">
            <w:pPr>
              <w:rPr>
                <w:rFonts w:eastAsia="Times New Roman"/>
                <w:sz w:val="20"/>
                <w:szCs w:val="20"/>
              </w:rPr>
            </w:pPr>
          </w:p>
        </w:tc>
        <w:tc>
          <w:tcPr>
            <w:tcW w:w="5" w:type="pct"/>
            <w:vAlign w:val="center"/>
            <w:hideMark/>
          </w:tcPr>
          <w:p w14:paraId="2E6215E4" w14:textId="77777777" w:rsidR="00000000" w:rsidRDefault="00C01C43">
            <w:pPr>
              <w:rPr>
                <w:rFonts w:eastAsia="Times New Roman"/>
                <w:sz w:val="20"/>
                <w:szCs w:val="20"/>
              </w:rPr>
            </w:pPr>
          </w:p>
        </w:tc>
      </w:tr>
      <w:tr w:rsidR="00000000" w14:paraId="4B608AA4" w14:textId="77777777">
        <w:trPr>
          <w:divId w:val="501550898"/>
        </w:trPr>
        <w:tc>
          <w:tcPr>
            <w:tcW w:w="0" w:type="auto"/>
            <w:gridSpan w:val="3"/>
            <w:tcMar>
              <w:top w:w="0" w:type="dxa"/>
              <w:left w:w="20" w:type="dxa"/>
              <w:bottom w:w="0" w:type="dxa"/>
              <w:right w:w="20" w:type="dxa"/>
            </w:tcMar>
            <w:vAlign w:val="center"/>
            <w:hideMark/>
          </w:tcPr>
          <w:p w14:paraId="72260785"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37FB6630"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428C166E"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13454F62"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650318C6"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42DA4A48"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7588C057" w14:textId="77777777">
        <w:trPr>
          <w:divId w:val="50155089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1B3914A" w14:textId="77777777" w:rsidR="00000000" w:rsidRDefault="00C01C43">
            <w:pPr>
              <w:rPr>
                <w:rFonts w:eastAsia="Times New Roman"/>
              </w:rPr>
            </w:pPr>
            <w:r>
              <w:rPr>
                <w:rFonts w:ascii="Arial" w:eastAsia="Times New Roman" w:hAnsi="Arial" w:cs="Arial"/>
                <w:color w:val="000000"/>
                <w:sz w:val="20"/>
                <w:szCs w:val="20"/>
              </w:rPr>
              <w:t>Interest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D9AA4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677E26" w14:textId="77777777" w:rsidR="00000000" w:rsidRDefault="00C01C43">
            <w:pPr>
              <w:jc w:val="right"/>
              <w:rPr>
                <w:rFonts w:eastAsia="Times New Roman"/>
              </w:rPr>
            </w:pPr>
            <w:r>
              <w:rPr>
                <w:rFonts w:ascii="Arial" w:eastAsia="Times New Roman" w:hAnsi="Arial" w:cs="Arial"/>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5F75E9"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3B3A05"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2DAB8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195DF6" w14:textId="77777777" w:rsidR="00000000" w:rsidRDefault="00C01C43">
            <w:pPr>
              <w:jc w:val="right"/>
              <w:rPr>
                <w:rFonts w:eastAsia="Times New Roman"/>
              </w:rPr>
            </w:pPr>
            <w:r>
              <w:rPr>
                <w:rFonts w:ascii="Arial" w:eastAsia="Times New Roman" w:hAnsi="Arial" w:cs="Arial"/>
                <w:color w:val="000000"/>
                <w:sz w:val="20"/>
                <w:szCs w:val="20"/>
              </w:rPr>
              <w:t>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368800"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0C357B"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6C5C1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16B9B9" w14:textId="77777777" w:rsidR="00000000" w:rsidRDefault="00C01C43">
            <w:pPr>
              <w:jc w:val="right"/>
              <w:rPr>
                <w:rFonts w:eastAsia="Times New Roman"/>
              </w:rPr>
            </w:pPr>
            <w:r>
              <w:rPr>
                <w:rFonts w:ascii="Arial" w:eastAsia="Times New Roman" w:hAnsi="Arial" w:cs="Arial"/>
                <w:color w:val="000000"/>
                <w:sz w:val="20"/>
                <w:szCs w:val="20"/>
              </w:rPr>
              <w:t>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DFCB59" w14:textId="77777777" w:rsidR="00000000" w:rsidRDefault="00C01C43">
            <w:pPr>
              <w:jc w:val="right"/>
              <w:rPr>
                <w:rFonts w:eastAsia="Times New Roman"/>
              </w:rPr>
            </w:pPr>
          </w:p>
        </w:tc>
      </w:tr>
      <w:tr w:rsidR="00000000" w14:paraId="66F4C0D7" w14:textId="77777777">
        <w:trPr>
          <w:divId w:val="501550898"/>
        </w:trPr>
        <w:tc>
          <w:tcPr>
            <w:tcW w:w="0" w:type="auto"/>
            <w:gridSpan w:val="3"/>
            <w:shd w:val="clear" w:color="auto" w:fill="FFFFFF"/>
            <w:tcMar>
              <w:top w:w="30" w:type="dxa"/>
              <w:left w:w="20" w:type="dxa"/>
              <w:bottom w:w="30" w:type="dxa"/>
              <w:right w:w="20" w:type="dxa"/>
            </w:tcMar>
            <w:vAlign w:val="bottom"/>
            <w:hideMark/>
          </w:tcPr>
          <w:p w14:paraId="1A47AD7D" w14:textId="77777777" w:rsidR="00000000" w:rsidRDefault="00C01C43">
            <w:pPr>
              <w:rPr>
                <w:rFonts w:eastAsia="Times New Roman"/>
              </w:rPr>
            </w:pPr>
            <w:r>
              <w:rPr>
                <w:rFonts w:ascii="Arial" w:eastAsia="Times New Roman" w:hAnsi="Arial" w:cs="Arial"/>
                <w:color w:val="000000"/>
                <w:sz w:val="20"/>
                <w:szCs w:val="20"/>
              </w:rPr>
              <w:t>Interest expense and other financing costs</w:t>
            </w:r>
          </w:p>
        </w:tc>
        <w:tc>
          <w:tcPr>
            <w:tcW w:w="0" w:type="auto"/>
            <w:gridSpan w:val="2"/>
            <w:shd w:val="clear" w:color="auto" w:fill="FFFFFF"/>
            <w:tcMar>
              <w:top w:w="30" w:type="dxa"/>
              <w:left w:w="20" w:type="dxa"/>
              <w:bottom w:w="30" w:type="dxa"/>
              <w:right w:w="0" w:type="dxa"/>
            </w:tcMar>
            <w:vAlign w:val="bottom"/>
            <w:hideMark/>
          </w:tcPr>
          <w:p w14:paraId="4AD74CD5" w14:textId="77777777" w:rsidR="00000000" w:rsidRDefault="00C01C43">
            <w:pPr>
              <w:jc w:val="right"/>
              <w:rPr>
                <w:rFonts w:eastAsia="Times New Roman"/>
              </w:rPr>
            </w:pPr>
            <w:r>
              <w:rPr>
                <w:rFonts w:ascii="Arial" w:eastAsia="Times New Roman" w:hAnsi="Arial" w:cs="Arial"/>
                <w:color w:val="000000"/>
                <w:sz w:val="20"/>
                <w:szCs w:val="20"/>
              </w:rPr>
              <w:t>(48.6)</w:t>
            </w:r>
          </w:p>
        </w:tc>
        <w:tc>
          <w:tcPr>
            <w:tcW w:w="0" w:type="auto"/>
            <w:shd w:val="clear" w:color="auto" w:fill="FFFFFF"/>
            <w:tcMar>
              <w:top w:w="30" w:type="dxa"/>
              <w:left w:w="0" w:type="dxa"/>
              <w:bottom w:w="30" w:type="dxa"/>
              <w:right w:w="20" w:type="dxa"/>
            </w:tcMar>
            <w:vAlign w:val="bottom"/>
            <w:hideMark/>
          </w:tcPr>
          <w:p w14:paraId="40AB589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2E1E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50A86B" w14:textId="77777777" w:rsidR="00000000" w:rsidRDefault="00C01C43">
            <w:pPr>
              <w:jc w:val="right"/>
              <w:rPr>
                <w:rFonts w:eastAsia="Times New Roman"/>
              </w:rPr>
            </w:pPr>
            <w:r>
              <w:rPr>
                <w:rFonts w:ascii="Arial" w:eastAsia="Times New Roman" w:hAnsi="Arial" w:cs="Arial"/>
                <w:color w:val="000000"/>
                <w:sz w:val="20"/>
                <w:szCs w:val="20"/>
              </w:rPr>
              <w:t>(80.0)</w:t>
            </w:r>
          </w:p>
        </w:tc>
        <w:tc>
          <w:tcPr>
            <w:tcW w:w="0" w:type="auto"/>
            <w:shd w:val="clear" w:color="auto" w:fill="FFFFFF"/>
            <w:tcMar>
              <w:top w:w="30" w:type="dxa"/>
              <w:left w:w="0" w:type="dxa"/>
              <w:bottom w:w="30" w:type="dxa"/>
              <w:right w:w="20" w:type="dxa"/>
            </w:tcMar>
            <w:vAlign w:val="bottom"/>
            <w:hideMark/>
          </w:tcPr>
          <w:p w14:paraId="4359DA6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1B75F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8A079B" w14:textId="77777777" w:rsidR="00000000" w:rsidRDefault="00C01C43">
            <w:pPr>
              <w:jc w:val="right"/>
              <w:rPr>
                <w:rFonts w:eastAsia="Times New Roman"/>
              </w:rPr>
            </w:pPr>
            <w:r>
              <w:rPr>
                <w:rFonts w:ascii="Arial" w:eastAsia="Times New Roman" w:hAnsi="Arial" w:cs="Arial"/>
                <w:color w:val="000000"/>
                <w:sz w:val="20"/>
                <w:szCs w:val="20"/>
              </w:rPr>
              <w:t>(74.8)</w:t>
            </w:r>
          </w:p>
        </w:tc>
        <w:tc>
          <w:tcPr>
            <w:tcW w:w="0" w:type="auto"/>
            <w:shd w:val="clear" w:color="auto" w:fill="FFFFFF"/>
            <w:tcMar>
              <w:top w:w="30" w:type="dxa"/>
              <w:left w:w="0" w:type="dxa"/>
              <w:bottom w:w="30" w:type="dxa"/>
              <w:right w:w="20" w:type="dxa"/>
            </w:tcMar>
            <w:vAlign w:val="bottom"/>
            <w:hideMark/>
          </w:tcPr>
          <w:p w14:paraId="1352B4F4" w14:textId="77777777" w:rsidR="00000000" w:rsidRDefault="00C01C43">
            <w:pPr>
              <w:jc w:val="right"/>
              <w:rPr>
                <w:rFonts w:eastAsia="Times New Roman"/>
              </w:rPr>
            </w:pPr>
          </w:p>
        </w:tc>
      </w:tr>
      <w:tr w:rsidR="00000000" w14:paraId="59990DBB" w14:textId="77777777">
        <w:trPr>
          <w:divId w:val="501550898"/>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696EDE4"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31325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565571A" w14:textId="77777777" w:rsidR="00000000" w:rsidRDefault="00C01C43">
            <w:pPr>
              <w:jc w:val="right"/>
              <w:rPr>
                <w:rFonts w:eastAsia="Times New Roman"/>
              </w:rPr>
            </w:pPr>
            <w:r>
              <w:rPr>
                <w:rFonts w:ascii="Arial" w:eastAsia="Times New Roman" w:hAnsi="Arial" w:cs="Arial"/>
                <w:color w:val="000000"/>
                <w:sz w:val="20"/>
                <w:szCs w:val="20"/>
              </w:rPr>
              <w:t>(44.9)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CB411D"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F8D9FA6"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3259E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B0C2E5" w14:textId="77777777" w:rsidR="00000000" w:rsidRDefault="00C01C43">
            <w:pPr>
              <w:jc w:val="right"/>
              <w:rPr>
                <w:rFonts w:eastAsia="Times New Roman"/>
              </w:rPr>
            </w:pPr>
            <w:r>
              <w:rPr>
                <w:rFonts w:ascii="Arial" w:eastAsia="Times New Roman" w:hAnsi="Arial" w:cs="Arial"/>
                <w:color w:val="000000"/>
                <w:sz w:val="20"/>
                <w:szCs w:val="20"/>
              </w:rPr>
              <w:t>(73.9)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31B751"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F525618"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BDD55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AE9045" w14:textId="77777777" w:rsidR="00000000" w:rsidRDefault="00C01C43">
            <w:pPr>
              <w:jc w:val="right"/>
              <w:rPr>
                <w:rFonts w:eastAsia="Times New Roman"/>
              </w:rPr>
            </w:pPr>
            <w:r>
              <w:rPr>
                <w:rFonts w:ascii="Arial" w:eastAsia="Times New Roman" w:hAnsi="Arial" w:cs="Arial"/>
                <w:color w:val="000000"/>
                <w:sz w:val="20"/>
                <w:szCs w:val="20"/>
              </w:rPr>
              <w:t>(71.0)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E19836" w14:textId="77777777" w:rsidR="00000000" w:rsidRDefault="00C01C43">
            <w:pPr>
              <w:jc w:val="right"/>
              <w:rPr>
                <w:rFonts w:eastAsia="Times New Roman"/>
              </w:rPr>
            </w:pPr>
          </w:p>
        </w:tc>
      </w:tr>
    </w:tbl>
    <w:p w14:paraId="5FB0AF06" w14:textId="77777777" w:rsidR="00000000" w:rsidRDefault="00C01C43">
      <w:pPr>
        <w:divId w:val="200558324"/>
        <w:rPr>
          <w:rFonts w:eastAsia="Times New Roman"/>
        </w:rPr>
      </w:pPr>
    </w:p>
    <w:p w14:paraId="18376F32" w14:textId="77777777" w:rsidR="00000000" w:rsidRDefault="00C01C43">
      <w:pPr>
        <w:divId w:val="259222348"/>
        <w:rPr>
          <w:rFonts w:eastAsia="Times New Roman"/>
        </w:rPr>
      </w:pPr>
    </w:p>
    <w:p w14:paraId="21B187DD" w14:textId="77777777" w:rsidR="00000000" w:rsidRDefault="00C01C43">
      <w:pPr>
        <w:jc w:val="both"/>
        <w:divId w:val="1678652208"/>
        <w:rPr>
          <w:rFonts w:eastAsia="Times New Roman"/>
        </w:rPr>
      </w:pPr>
      <w:r>
        <w:rPr>
          <w:rFonts w:ascii="Arial" w:eastAsia="Times New Roman" w:hAnsi="Arial" w:cs="Arial"/>
          <w:b/>
          <w:bCs/>
          <w:color w:val="000000"/>
          <w:sz w:val="20"/>
          <w:szCs w:val="20"/>
        </w:rPr>
        <w:t>9. Commitments and Contingencies</w:t>
      </w:r>
    </w:p>
    <w:p w14:paraId="32B5F3B1" w14:textId="77777777" w:rsidR="00000000" w:rsidRDefault="00C01C43">
      <w:pPr>
        <w:jc w:val="both"/>
        <w:divId w:val="1060863720"/>
        <w:rPr>
          <w:rFonts w:eastAsia="Times New Roman"/>
        </w:rPr>
      </w:pPr>
      <w:r>
        <w:rPr>
          <w:rFonts w:ascii="Arial" w:eastAsia="Times New Roman" w:hAnsi="Arial" w:cs="Arial"/>
          <w:b/>
          <w:bCs/>
          <w:color w:val="000000"/>
          <w:sz w:val="20"/>
          <w:szCs w:val="20"/>
        </w:rPr>
        <w:t>Surety Bonds</w:t>
      </w:r>
    </w:p>
    <w:p w14:paraId="09528EF1" w14:textId="77777777" w:rsidR="00000000" w:rsidRDefault="00C01C43">
      <w:pPr>
        <w:jc w:val="both"/>
        <w:divId w:val="713844779"/>
        <w:rPr>
          <w:rFonts w:eastAsia="Times New Roman"/>
        </w:rPr>
      </w:pPr>
      <w:r>
        <w:rPr>
          <w:rFonts w:ascii="Arial" w:eastAsia="Times New Roman" w:hAnsi="Arial" w:cs="Arial"/>
          <w:color w:val="000000"/>
          <w:sz w:val="20"/>
          <w:szCs w:val="20"/>
        </w:rPr>
        <w:t>In the normal course of business, we are required to post bid, performance and other surety-related bonds. The majority of the surety bonds posted relate to our aviation and land segments. We had outstanding bonds that were executed in order to satisfy var</w:t>
      </w:r>
      <w:r>
        <w:rPr>
          <w:rFonts w:ascii="Arial" w:eastAsia="Times New Roman" w:hAnsi="Arial" w:cs="Arial"/>
          <w:color w:val="000000"/>
          <w:sz w:val="20"/>
          <w:szCs w:val="20"/>
        </w:rPr>
        <w:t>ious security requirements of $50.6 million and $53.1 million, as of December 31, 2020 and 2019, respectively.</w:t>
      </w:r>
    </w:p>
    <w:p w14:paraId="3F426B86" w14:textId="77777777" w:rsidR="00000000" w:rsidRDefault="00C01C43">
      <w:pPr>
        <w:jc w:val="both"/>
        <w:divId w:val="1937402128"/>
        <w:rPr>
          <w:rFonts w:eastAsia="Times New Roman"/>
        </w:rPr>
      </w:pPr>
      <w:r>
        <w:rPr>
          <w:rFonts w:ascii="Arial" w:eastAsia="Times New Roman" w:hAnsi="Arial" w:cs="Arial"/>
          <w:b/>
          <w:bCs/>
          <w:color w:val="000000"/>
          <w:sz w:val="20"/>
          <w:szCs w:val="20"/>
        </w:rPr>
        <w:t>Sales and Purchase Commitments</w:t>
      </w:r>
    </w:p>
    <w:p w14:paraId="7223C174" w14:textId="77777777" w:rsidR="00000000" w:rsidRDefault="00C01C43">
      <w:pPr>
        <w:jc w:val="both"/>
        <w:divId w:val="775709070"/>
        <w:rPr>
          <w:rFonts w:eastAsia="Times New Roman"/>
        </w:rPr>
      </w:pPr>
      <w:r>
        <w:rPr>
          <w:rFonts w:ascii="Arial" w:eastAsia="Times New Roman" w:hAnsi="Arial" w:cs="Arial"/>
          <w:color w:val="000000"/>
          <w:sz w:val="20"/>
          <w:szCs w:val="20"/>
        </w:rPr>
        <w:t>As of December 31, 2020, the notional value associated with fixed sales and purchase commitments under our derivat</w:t>
      </w:r>
      <w:r>
        <w:rPr>
          <w:rFonts w:ascii="Arial" w:eastAsia="Times New Roman" w:hAnsi="Arial" w:cs="Arial"/>
          <w:color w:val="000000"/>
          <w:sz w:val="20"/>
          <w:szCs w:val="20"/>
        </w:rPr>
        <w:t>ive programs amounted to $374.8 million and $88.4 million, respectively with delivery dates from 2021 through 2026. Additionally, we have certain purchase contracts that extend through 2026, under which we agreed to purchase annually between 1.83 million b</w:t>
      </w:r>
      <w:r>
        <w:rPr>
          <w:rFonts w:ascii="Arial" w:eastAsia="Times New Roman" w:hAnsi="Arial" w:cs="Arial"/>
          <w:color w:val="000000"/>
          <w:sz w:val="20"/>
          <w:szCs w:val="20"/>
        </w:rPr>
        <w:t>arrels and 2.02 million barrels of aviation fuel at future market prices.</w:t>
      </w:r>
    </w:p>
    <w:p w14:paraId="60C16DCF" w14:textId="77777777" w:rsidR="00000000" w:rsidRDefault="00C01C43">
      <w:pPr>
        <w:jc w:val="center"/>
        <w:divId w:val="668017810"/>
        <w:rPr>
          <w:rFonts w:eastAsia="Times New Roman"/>
        </w:rPr>
      </w:pPr>
      <w:r>
        <w:rPr>
          <w:rFonts w:ascii="Arial" w:eastAsia="Times New Roman" w:hAnsi="Arial" w:cs="Arial"/>
          <w:color w:val="000000"/>
          <w:sz w:val="16"/>
          <w:szCs w:val="16"/>
        </w:rPr>
        <w:t>71</w:t>
      </w:r>
    </w:p>
    <w:p w14:paraId="779E82FA" w14:textId="77777777" w:rsidR="00000000" w:rsidRDefault="00C01C43">
      <w:pPr>
        <w:rPr>
          <w:rFonts w:eastAsia="Times New Roman"/>
        </w:rPr>
      </w:pPr>
      <w:r>
        <w:rPr>
          <w:rFonts w:eastAsia="Times New Roman"/>
        </w:rPr>
        <w:pict w14:anchorId="542C11E9">
          <v:rect id="_x0000_i1100" style="width:0;height:1.5pt" o:hralign="center" o:hrstd="t" o:hr="t" fillcolor="#a0a0a0" stroked="f"/>
        </w:pict>
      </w:r>
    </w:p>
    <w:p w14:paraId="1713966D" w14:textId="77777777" w:rsidR="00000000" w:rsidRDefault="00C01C43">
      <w:pPr>
        <w:divId w:val="1674723182"/>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657E92C3" w14:textId="77777777" w:rsidR="00000000" w:rsidRDefault="00C01C43">
      <w:pPr>
        <w:jc w:val="both"/>
        <w:divId w:val="1755933959"/>
        <w:rPr>
          <w:rFonts w:eastAsia="Times New Roman"/>
        </w:rPr>
      </w:pPr>
      <w:r>
        <w:rPr>
          <w:rFonts w:ascii="Arial" w:eastAsia="Times New Roman" w:hAnsi="Arial" w:cs="Arial"/>
          <w:b/>
          <w:bCs/>
          <w:color w:val="000000"/>
          <w:sz w:val="20"/>
          <w:szCs w:val="20"/>
        </w:rPr>
        <w:t>Agreements with Executive Officers and Key Employees</w:t>
      </w:r>
    </w:p>
    <w:p w14:paraId="43D12166" w14:textId="77777777" w:rsidR="00000000" w:rsidRDefault="00C01C43">
      <w:pPr>
        <w:jc w:val="both"/>
        <w:divId w:val="1516378427"/>
        <w:rPr>
          <w:rFonts w:eastAsia="Times New Roman"/>
        </w:rPr>
      </w:pPr>
      <w:r>
        <w:rPr>
          <w:rFonts w:ascii="Arial" w:eastAsia="Times New Roman" w:hAnsi="Arial" w:cs="Arial"/>
          <w:color w:val="000000"/>
          <w:sz w:val="20"/>
          <w:szCs w:val="20"/>
        </w:rPr>
        <w:t>We have an agreement with our Chairman, President and Chief Executive Officer, Michael J. Kasbar (“Mr. Kasbar”), for his continued employment with us which provides for an annual base salary as determine</w:t>
      </w:r>
      <w:r>
        <w:rPr>
          <w:rFonts w:ascii="Arial" w:eastAsia="Times New Roman" w:hAnsi="Arial" w:cs="Arial"/>
          <w:color w:val="000000"/>
          <w:sz w:val="20"/>
          <w:szCs w:val="20"/>
        </w:rPr>
        <w:t>d by our Compensation Committee in its sole discretion (currently $900,000), termination severance benefits, and such incentives and other compensation and amounts as our Compensation Committee may determine from time to time in its sole discretion. Mr. Ka</w:t>
      </w:r>
      <w:r>
        <w:rPr>
          <w:rFonts w:ascii="Arial" w:eastAsia="Times New Roman" w:hAnsi="Arial" w:cs="Arial"/>
          <w:color w:val="000000"/>
          <w:sz w:val="20"/>
          <w:szCs w:val="20"/>
        </w:rPr>
        <w:t xml:space="preserve">sbar's employment agreement, as amended, expires each year on December 31st and automatically extends for successive one-year terms unless either party provides written notice to the other at least one year prior to the expiration of the current term that </w:t>
      </w:r>
      <w:r>
        <w:rPr>
          <w:rFonts w:ascii="Arial" w:eastAsia="Times New Roman" w:hAnsi="Arial" w:cs="Arial"/>
          <w:color w:val="000000"/>
          <w:sz w:val="20"/>
          <w:szCs w:val="20"/>
        </w:rPr>
        <w:t>such party does not want to extend the term. Pursuant to the terms of his agreement, Mr. Kasbar is entitled to receive cash severance payments if: (a) we terminate his employment without cause following a change of control or for any reason other than deat</w:t>
      </w:r>
      <w:r>
        <w:rPr>
          <w:rFonts w:ascii="Arial" w:eastAsia="Times New Roman" w:hAnsi="Arial" w:cs="Arial"/>
          <w:color w:val="000000"/>
          <w:sz w:val="20"/>
          <w:szCs w:val="20"/>
        </w:rPr>
        <w:t>h, disability or cause; (b) he resigns for good reason (generally a reduction in his responsibilities or compensation, or a breach by us), or resigns following a change of control; or (c) either he elects or we elect not to extend the term of the agreement</w:t>
      </w:r>
      <w:r>
        <w:rPr>
          <w:rFonts w:ascii="Arial" w:eastAsia="Times New Roman" w:hAnsi="Arial" w:cs="Arial"/>
          <w:color w:val="000000"/>
          <w:sz w:val="20"/>
          <w:szCs w:val="20"/>
        </w:rPr>
        <w:t xml:space="preserve">, as amended. The severance payments are generally equal to $5.0 million for a termination following a change of control and $3.0 million in the other scenarios described above, a portion of which is payable two years after the termination of Mr. Kasbar’s </w:t>
      </w:r>
      <w:r>
        <w:rPr>
          <w:rFonts w:ascii="Arial" w:eastAsia="Times New Roman" w:hAnsi="Arial" w:cs="Arial"/>
          <w:color w:val="000000"/>
          <w:sz w:val="20"/>
          <w:szCs w:val="20"/>
        </w:rPr>
        <w:t>employment.</w:t>
      </w:r>
    </w:p>
    <w:p w14:paraId="48FB28BC" w14:textId="77777777" w:rsidR="00000000" w:rsidRDefault="00C01C43">
      <w:pPr>
        <w:jc w:val="both"/>
        <w:divId w:val="161818809"/>
        <w:rPr>
          <w:rFonts w:eastAsia="Times New Roman"/>
        </w:rPr>
      </w:pPr>
      <w:r>
        <w:rPr>
          <w:rFonts w:ascii="Arial" w:eastAsia="Times New Roman" w:hAnsi="Arial" w:cs="Arial"/>
          <w:color w:val="000000"/>
          <w:sz w:val="20"/>
          <w:szCs w:val="20"/>
        </w:rPr>
        <w:t>Subject to the terms of the applicable equity awards, all of Mr. Kasbar’s outstanding SSAR Awards and RSUs (collectively, “outstanding equity awards”) will immediately vest in each scenario described in (a) and (b) above following a change of c</w:t>
      </w:r>
      <w:r>
        <w:rPr>
          <w:rFonts w:ascii="Arial" w:eastAsia="Times New Roman" w:hAnsi="Arial" w:cs="Arial"/>
          <w:color w:val="000000"/>
          <w:sz w:val="20"/>
          <w:szCs w:val="20"/>
        </w:rPr>
        <w:t>ontrol, except for awards assumed or substituted by a successor company, in which case, such awards shall continue to vest in accordance with their applicable terms. In each scenario described in (a), (b) or (c) above where there has not been a change of c</w:t>
      </w:r>
      <w:r>
        <w:rPr>
          <w:rFonts w:ascii="Arial" w:eastAsia="Times New Roman" w:hAnsi="Arial" w:cs="Arial"/>
          <w:color w:val="000000"/>
          <w:sz w:val="20"/>
          <w:szCs w:val="20"/>
        </w:rPr>
        <w:t>ontrol, Mr. Kasbar’s outstanding equity awards will generally vest over a two-year period following termination of his employment, with any remaining unvested awards vesting on the last day of such two-year period. For each scenario described above, awards</w:t>
      </w:r>
      <w:r>
        <w:rPr>
          <w:rFonts w:ascii="Arial" w:eastAsia="Times New Roman" w:hAnsi="Arial" w:cs="Arial"/>
          <w:color w:val="000000"/>
          <w:sz w:val="20"/>
          <w:szCs w:val="20"/>
        </w:rPr>
        <w:t xml:space="preserve"> with multiple annual performance conditions must satisfy certain other requirements in order to have their vesting terms accelerated.</w:t>
      </w:r>
    </w:p>
    <w:p w14:paraId="6656969A" w14:textId="77777777" w:rsidR="00000000" w:rsidRDefault="00C01C43">
      <w:pPr>
        <w:jc w:val="both"/>
        <w:divId w:val="1129321916"/>
        <w:rPr>
          <w:rFonts w:eastAsia="Times New Roman"/>
        </w:rPr>
      </w:pPr>
      <w:r>
        <w:rPr>
          <w:rFonts w:ascii="Arial" w:eastAsia="Times New Roman" w:hAnsi="Arial" w:cs="Arial"/>
          <w:color w:val="000000"/>
          <w:sz w:val="20"/>
          <w:szCs w:val="20"/>
        </w:rPr>
        <w:t>Our other executive officers either participate in our Executive Severance Plan or are parties to a separation agreement.</w:t>
      </w:r>
      <w:r>
        <w:rPr>
          <w:rFonts w:ascii="Arial" w:eastAsia="Times New Roman" w:hAnsi="Arial" w:cs="Arial"/>
          <w:color w:val="000000"/>
          <w:sz w:val="20"/>
          <w:szCs w:val="20"/>
        </w:rPr>
        <w:t xml:space="preserve"> These arrangements provide for severance benefits payable upon termination under certain circumstances.  In addition, the applicable equity awards generally vest similarly to Mr. Kasbar's equity awards following a change of control.</w:t>
      </w:r>
    </w:p>
    <w:p w14:paraId="22DC77C6" w14:textId="77777777" w:rsidR="00000000" w:rsidRDefault="00C01C43">
      <w:pPr>
        <w:jc w:val="both"/>
        <w:divId w:val="1561669190"/>
        <w:rPr>
          <w:rFonts w:eastAsia="Times New Roman"/>
        </w:rPr>
      </w:pPr>
      <w:r>
        <w:rPr>
          <w:rFonts w:ascii="Arial" w:eastAsia="Times New Roman" w:hAnsi="Arial" w:cs="Arial"/>
          <w:color w:val="000000"/>
          <w:sz w:val="20"/>
          <w:szCs w:val="20"/>
        </w:rPr>
        <w:t>As of December 31, 202</w:t>
      </w:r>
      <w:r>
        <w:rPr>
          <w:rFonts w:ascii="Arial" w:eastAsia="Times New Roman" w:hAnsi="Arial" w:cs="Arial"/>
          <w:color w:val="000000"/>
          <w:sz w:val="20"/>
          <w:szCs w:val="20"/>
        </w:rPr>
        <w:t>0, the approximate future minimum commitments under these agreements, excluding discretionary and performance bonuses, are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8"/>
        <w:gridCol w:w="7512"/>
        <w:gridCol w:w="36"/>
        <w:gridCol w:w="132"/>
        <w:gridCol w:w="517"/>
        <w:gridCol w:w="36"/>
      </w:tblGrid>
      <w:tr w:rsidR="00000000" w14:paraId="4134F71C" w14:textId="77777777">
        <w:trPr>
          <w:divId w:val="1919512847"/>
        </w:trPr>
        <w:tc>
          <w:tcPr>
            <w:tcW w:w="50" w:type="pct"/>
            <w:vAlign w:val="center"/>
            <w:hideMark/>
          </w:tcPr>
          <w:p w14:paraId="7EEBBAFF" w14:textId="77777777" w:rsidR="00000000" w:rsidRDefault="00C01C43">
            <w:pPr>
              <w:jc w:val="both"/>
              <w:rPr>
                <w:rFonts w:eastAsia="Times New Roman"/>
              </w:rPr>
            </w:pPr>
          </w:p>
        </w:tc>
        <w:tc>
          <w:tcPr>
            <w:tcW w:w="4556" w:type="pct"/>
            <w:vAlign w:val="center"/>
            <w:hideMark/>
          </w:tcPr>
          <w:p w14:paraId="3471C133" w14:textId="77777777" w:rsidR="00000000" w:rsidRDefault="00C01C43">
            <w:pPr>
              <w:rPr>
                <w:rFonts w:eastAsia="Times New Roman"/>
                <w:sz w:val="20"/>
                <w:szCs w:val="20"/>
              </w:rPr>
            </w:pPr>
          </w:p>
        </w:tc>
        <w:tc>
          <w:tcPr>
            <w:tcW w:w="5" w:type="pct"/>
            <w:vAlign w:val="center"/>
            <w:hideMark/>
          </w:tcPr>
          <w:p w14:paraId="0B0D7F0C" w14:textId="77777777" w:rsidR="00000000" w:rsidRDefault="00C01C43">
            <w:pPr>
              <w:rPr>
                <w:rFonts w:eastAsia="Times New Roman"/>
                <w:sz w:val="20"/>
                <w:szCs w:val="20"/>
              </w:rPr>
            </w:pPr>
          </w:p>
        </w:tc>
        <w:tc>
          <w:tcPr>
            <w:tcW w:w="50" w:type="pct"/>
            <w:vAlign w:val="center"/>
            <w:hideMark/>
          </w:tcPr>
          <w:p w14:paraId="1FCFA7B5" w14:textId="77777777" w:rsidR="00000000" w:rsidRDefault="00C01C43">
            <w:pPr>
              <w:rPr>
                <w:rFonts w:eastAsia="Times New Roman"/>
                <w:sz w:val="20"/>
                <w:szCs w:val="20"/>
              </w:rPr>
            </w:pPr>
          </w:p>
        </w:tc>
        <w:tc>
          <w:tcPr>
            <w:tcW w:w="333" w:type="pct"/>
            <w:vAlign w:val="center"/>
            <w:hideMark/>
          </w:tcPr>
          <w:p w14:paraId="7C619501" w14:textId="77777777" w:rsidR="00000000" w:rsidRDefault="00C01C43">
            <w:pPr>
              <w:rPr>
                <w:rFonts w:eastAsia="Times New Roman"/>
                <w:sz w:val="20"/>
                <w:szCs w:val="20"/>
              </w:rPr>
            </w:pPr>
          </w:p>
        </w:tc>
        <w:tc>
          <w:tcPr>
            <w:tcW w:w="5" w:type="pct"/>
            <w:vAlign w:val="center"/>
            <w:hideMark/>
          </w:tcPr>
          <w:p w14:paraId="469E47CA" w14:textId="77777777" w:rsidR="00000000" w:rsidRDefault="00C01C43">
            <w:pPr>
              <w:rPr>
                <w:rFonts w:eastAsia="Times New Roman"/>
                <w:sz w:val="20"/>
                <w:szCs w:val="20"/>
              </w:rPr>
            </w:pPr>
          </w:p>
        </w:tc>
      </w:tr>
      <w:tr w:rsidR="00000000" w14:paraId="67CD9BAE" w14:textId="77777777">
        <w:trPr>
          <w:divId w:val="1919512847"/>
        </w:trPr>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27F8C823" w14:textId="77777777" w:rsidR="00000000" w:rsidRDefault="00C01C43">
            <w:pPr>
              <w:rPr>
                <w:rFonts w:eastAsia="Times New Roman"/>
              </w:rPr>
            </w:pPr>
            <w:r>
              <w:rPr>
                <w:rFonts w:ascii="Arial" w:eastAsia="Times New Roman" w:hAnsi="Arial" w:cs="Arial"/>
                <w:color w:val="000000"/>
                <w:sz w:val="20"/>
                <w:szCs w:val="20"/>
              </w:rPr>
              <w:t>2021</w:t>
            </w: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0E22ADD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63733996" w14:textId="77777777" w:rsidR="00000000" w:rsidRDefault="00C01C43">
            <w:pPr>
              <w:jc w:val="right"/>
              <w:rPr>
                <w:rFonts w:eastAsia="Times New Roman"/>
              </w:rPr>
            </w:pPr>
            <w:r>
              <w:rPr>
                <w:rFonts w:ascii="Arial" w:eastAsia="Times New Roman" w:hAnsi="Arial" w:cs="Arial"/>
                <w:color w:val="000000"/>
                <w:sz w:val="20"/>
                <w:szCs w:val="20"/>
              </w:rPr>
              <w:t>0.9 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567529B3" w14:textId="77777777" w:rsidR="00000000" w:rsidRDefault="00C01C43">
            <w:pPr>
              <w:jc w:val="right"/>
              <w:rPr>
                <w:rFonts w:eastAsia="Times New Roman"/>
              </w:rPr>
            </w:pPr>
          </w:p>
        </w:tc>
      </w:tr>
    </w:tbl>
    <w:p w14:paraId="55DA5261" w14:textId="77777777" w:rsidR="00000000" w:rsidRDefault="00C01C43">
      <w:pPr>
        <w:jc w:val="both"/>
        <w:divId w:val="1698971306"/>
        <w:rPr>
          <w:rFonts w:eastAsia="Times New Roman"/>
        </w:rPr>
      </w:pPr>
      <w:r>
        <w:rPr>
          <w:rFonts w:ascii="Arial" w:eastAsia="Times New Roman" w:hAnsi="Arial" w:cs="Arial"/>
          <w:b/>
          <w:bCs/>
          <w:color w:val="000000"/>
          <w:sz w:val="20"/>
          <w:szCs w:val="20"/>
        </w:rPr>
        <w:t>Deferred Compensation Plans</w:t>
      </w:r>
    </w:p>
    <w:p w14:paraId="339729DB" w14:textId="77777777" w:rsidR="00000000" w:rsidRDefault="00C01C43">
      <w:pPr>
        <w:jc w:val="both"/>
        <w:divId w:val="718170349"/>
        <w:rPr>
          <w:rFonts w:eastAsia="Times New Roman"/>
        </w:rPr>
      </w:pPr>
      <w:r>
        <w:rPr>
          <w:rFonts w:ascii="Arial" w:eastAsia="Times New Roman" w:hAnsi="Arial" w:cs="Arial"/>
          <w:color w:val="000000"/>
          <w:sz w:val="20"/>
          <w:szCs w:val="20"/>
        </w:rPr>
        <w:t>We maintain a 401(k) defined contribution plan which covers all U.S. employees who meet minimum requirements and elect to participate. We are currently making a match contribution of 50% for each 1% of the participants' contributions up to 6% of the partic</w:t>
      </w:r>
      <w:r>
        <w:rPr>
          <w:rFonts w:ascii="Arial" w:eastAsia="Times New Roman" w:hAnsi="Arial" w:cs="Arial"/>
          <w:color w:val="000000"/>
          <w:sz w:val="20"/>
          <w:szCs w:val="20"/>
        </w:rPr>
        <w:t xml:space="preserve">ipants' contributions. Annual contributions by us are made at our sole discretion, as approved by the Compensation Committee. Additionally, certain of our foreign subsidiaries have defined contribution plans, which allow for voluntary contributions by the </w:t>
      </w:r>
      <w:r>
        <w:rPr>
          <w:rFonts w:ascii="Arial" w:eastAsia="Times New Roman" w:hAnsi="Arial" w:cs="Arial"/>
          <w:color w:val="000000"/>
          <w:sz w:val="20"/>
          <w:szCs w:val="20"/>
        </w:rPr>
        <w:t>employees. In some cases, we make employer contributions on behalf of the employees. The expenses for our contributions under these plans were not material during each of the years presented on the Consolidated Statements of Income and Comprehensive Income</w:t>
      </w:r>
      <w:r>
        <w:rPr>
          <w:rFonts w:ascii="Arial" w:eastAsia="Times New Roman" w:hAnsi="Arial" w:cs="Arial"/>
          <w:color w:val="000000"/>
          <w:sz w:val="20"/>
          <w:szCs w:val="20"/>
        </w:rPr>
        <w:t>.</w:t>
      </w:r>
    </w:p>
    <w:p w14:paraId="492D8F80" w14:textId="77777777" w:rsidR="00000000" w:rsidRDefault="00C01C43">
      <w:pPr>
        <w:jc w:val="both"/>
        <w:rPr>
          <w:rFonts w:eastAsia="Times New Roman"/>
        </w:rPr>
      </w:pPr>
      <w:r>
        <w:rPr>
          <w:rFonts w:ascii="Arial" w:eastAsia="Times New Roman" w:hAnsi="Arial" w:cs="Arial"/>
          <w:color w:val="000000"/>
          <w:sz w:val="20"/>
          <w:szCs w:val="20"/>
        </w:rPr>
        <w:t>We offer a non-qualified deferred compensation (“NQDC”) plan to certain eligible employees, whereby the participants may defer a portion of their compensation. We do not match any participant deferrals under the NQDC plan. Participants can elect from a v</w:t>
      </w:r>
      <w:r>
        <w:rPr>
          <w:rFonts w:ascii="Arial" w:eastAsia="Times New Roman" w:hAnsi="Arial" w:cs="Arial"/>
          <w:color w:val="000000"/>
          <w:sz w:val="20"/>
          <w:szCs w:val="20"/>
        </w:rPr>
        <w:t>ariety of investment choices for their deferred compensation and gains and losses on these investments are credited to their respective accounts. The deferred compensation payable amount under this NQDC plan is subject to the claims of our general creditor</w:t>
      </w:r>
      <w:r>
        <w:rPr>
          <w:rFonts w:ascii="Arial" w:eastAsia="Times New Roman" w:hAnsi="Arial" w:cs="Arial"/>
          <w:color w:val="000000"/>
          <w:sz w:val="20"/>
          <w:szCs w:val="20"/>
        </w:rPr>
        <w:t>s and was $14.5 million and $9.7 million as of December 31, 2020 and December 31, 2019, respectively, which was included in Other long-term liabilities within our Consolidated Balance Sheets.</w:t>
      </w:r>
    </w:p>
    <w:p w14:paraId="73E6EC47" w14:textId="77777777" w:rsidR="00000000" w:rsidRDefault="00C01C43">
      <w:pPr>
        <w:jc w:val="both"/>
        <w:divId w:val="1898275079"/>
        <w:rPr>
          <w:rFonts w:eastAsia="Times New Roman"/>
        </w:rPr>
      </w:pPr>
    </w:p>
    <w:p w14:paraId="7D034445" w14:textId="77777777" w:rsidR="00000000" w:rsidRDefault="00C01C43">
      <w:pPr>
        <w:jc w:val="center"/>
        <w:divId w:val="1763062214"/>
        <w:rPr>
          <w:rFonts w:eastAsia="Times New Roman"/>
        </w:rPr>
      </w:pPr>
      <w:r>
        <w:rPr>
          <w:rFonts w:ascii="Arial" w:eastAsia="Times New Roman" w:hAnsi="Arial" w:cs="Arial"/>
          <w:color w:val="000000"/>
          <w:sz w:val="16"/>
          <w:szCs w:val="16"/>
        </w:rPr>
        <w:t>72</w:t>
      </w:r>
    </w:p>
    <w:p w14:paraId="015EFB3D" w14:textId="77777777" w:rsidR="00000000" w:rsidRDefault="00C01C43">
      <w:pPr>
        <w:rPr>
          <w:rFonts w:eastAsia="Times New Roman"/>
        </w:rPr>
      </w:pPr>
      <w:r>
        <w:rPr>
          <w:rFonts w:eastAsia="Times New Roman"/>
        </w:rPr>
        <w:pict w14:anchorId="39B7EB1E">
          <v:rect id="_x0000_i1101" style="width:0;height:1.5pt" o:hralign="center" o:hrstd="t" o:hr="t" fillcolor="#a0a0a0" stroked="f"/>
        </w:pict>
      </w:r>
    </w:p>
    <w:p w14:paraId="33D9037D" w14:textId="77777777" w:rsidR="00000000" w:rsidRDefault="00C01C43">
      <w:pPr>
        <w:divId w:val="1477842689"/>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2767B252" w14:textId="77777777" w:rsidR="00000000" w:rsidRDefault="00C01C43">
      <w:pPr>
        <w:jc w:val="both"/>
        <w:divId w:val="339938686"/>
        <w:rPr>
          <w:rFonts w:eastAsia="Times New Roman"/>
        </w:rPr>
      </w:pPr>
      <w:r>
        <w:rPr>
          <w:rFonts w:ascii="Arial" w:eastAsia="Times New Roman" w:hAnsi="Arial" w:cs="Arial"/>
          <w:b/>
          <w:bCs/>
          <w:color w:val="000000"/>
          <w:sz w:val="20"/>
          <w:szCs w:val="20"/>
        </w:rPr>
        <w:t>Environmental and Other Liabilities; Uninsured Risks</w:t>
      </w:r>
    </w:p>
    <w:p w14:paraId="5030C5F3" w14:textId="77777777" w:rsidR="00000000" w:rsidRDefault="00C01C43">
      <w:pPr>
        <w:jc w:val="both"/>
        <w:rPr>
          <w:rFonts w:eastAsia="Times New Roman"/>
        </w:rPr>
      </w:pPr>
      <w:r>
        <w:rPr>
          <w:rFonts w:ascii="Arial" w:eastAsia="Times New Roman" w:hAnsi="Arial" w:cs="Arial"/>
          <w:color w:val="000000"/>
          <w:sz w:val="20"/>
          <w:szCs w:val="20"/>
        </w:rPr>
        <w:t>Our business is subject to numerous federal, state</w:t>
      </w:r>
      <w:r>
        <w:rPr>
          <w:rFonts w:eastAsia="Times New Roman"/>
          <w:color w:val="000000"/>
          <w:sz w:val="20"/>
          <w:szCs w:val="20"/>
        </w:rPr>
        <w:t>,</w:t>
      </w:r>
      <w:r>
        <w:rPr>
          <w:rFonts w:ascii="Arial" w:eastAsia="Times New Roman" w:hAnsi="Arial" w:cs="Arial"/>
          <w:color w:val="000000"/>
          <w:sz w:val="20"/>
          <w:szCs w:val="20"/>
        </w:rPr>
        <w:t xml:space="preserve"> </w:t>
      </w:r>
      <w:r>
        <w:rPr>
          <w:rFonts w:ascii="Arial" w:eastAsia="Times New Roman" w:hAnsi="Arial" w:cs="Arial"/>
          <w:color w:val="000000"/>
          <w:sz w:val="20"/>
          <w:szCs w:val="20"/>
        </w:rPr>
        <w:t>local and foreign environmental laws and regulations, including those relating to fuel storage and distribution, terminals, underground storage tanks, the release or discharge of regulated materials into the air, water and soil, the generation, storage, ha</w:t>
      </w:r>
      <w:r>
        <w:rPr>
          <w:rFonts w:ascii="Arial" w:eastAsia="Times New Roman" w:hAnsi="Arial" w:cs="Arial"/>
          <w:color w:val="000000"/>
          <w:sz w:val="20"/>
          <w:szCs w:val="20"/>
        </w:rPr>
        <w:t>ndling, use, transportation and disposal of hazardous materials, and the exposure of persons to regulated materials. A violation of, liability under, or noncompliance with these laws and regulations, or any future environmental law or regulation, could res</w:t>
      </w:r>
      <w:r>
        <w:rPr>
          <w:rFonts w:ascii="Arial" w:eastAsia="Times New Roman" w:hAnsi="Arial" w:cs="Arial"/>
          <w:color w:val="000000"/>
          <w:sz w:val="20"/>
          <w:szCs w:val="20"/>
        </w:rPr>
        <w:t>ult in material liabilities, including administrative, civil or criminal penalties, remediation costs as well as third-party damages. From time to time, we may be responsible for remediating contamination at properties we own or lease and can be entitled t</w:t>
      </w:r>
      <w:r>
        <w:rPr>
          <w:rFonts w:ascii="Arial" w:eastAsia="Times New Roman" w:hAnsi="Arial" w:cs="Arial"/>
          <w:color w:val="000000"/>
          <w:sz w:val="20"/>
          <w:szCs w:val="20"/>
        </w:rPr>
        <w:t>o reimbursement for certain of these costs from state trust funds, as well as various third-party contractual indemnities and insurance policies, subject to eligibility requirements, deductibles, and aggregate caps. Although we continuously review the adeq</w:t>
      </w:r>
      <w:r>
        <w:rPr>
          <w:rFonts w:ascii="Arial" w:eastAsia="Times New Roman" w:hAnsi="Arial" w:cs="Arial"/>
          <w:color w:val="000000"/>
          <w:sz w:val="20"/>
          <w:szCs w:val="20"/>
        </w:rPr>
        <w:t>uacy of our insurance coverage, we may lack adequate coverage for various risks, including environmental claims. If we are uninsured or under</w:t>
      </w:r>
      <w:r>
        <w:rPr>
          <w:rFonts w:ascii="Arial" w:eastAsia="Times New Roman" w:hAnsi="Arial" w:cs="Arial"/>
          <w:color w:val="000000"/>
          <w:sz w:val="20"/>
          <w:szCs w:val="20"/>
        </w:rPr>
        <w:noBreakHyphen/>
        <w:t>insured for a claim or claims of sufficient magnitude arising out of our activities, it will have a material adver</w:t>
      </w:r>
      <w:r>
        <w:rPr>
          <w:rFonts w:ascii="Arial" w:eastAsia="Times New Roman" w:hAnsi="Arial" w:cs="Arial"/>
          <w:color w:val="000000"/>
          <w:sz w:val="20"/>
          <w:szCs w:val="20"/>
        </w:rPr>
        <w:t>se effect on our financial position, results of operations and cash flows.</w:t>
      </w:r>
    </w:p>
    <w:p w14:paraId="7A26C86A" w14:textId="77777777" w:rsidR="00000000" w:rsidRDefault="00C01C43">
      <w:pPr>
        <w:jc w:val="both"/>
        <w:rPr>
          <w:rFonts w:eastAsia="Times New Roman"/>
        </w:rPr>
      </w:pPr>
    </w:p>
    <w:p w14:paraId="3CE37774" w14:textId="77777777" w:rsidR="00000000" w:rsidRDefault="00C01C43">
      <w:pPr>
        <w:jc w:val="both"/>
        <w:rPr>
          <w:rFonts w:eastAsia="Times New Roman"/>
        </w:rPr>
      </w:pPr>
      <w:r>
        <w:rPr>
          <w:rFonts w:ascii="Arial" w:eastAsia="Times New Roman" w:hAnsi="Arial" w:cs="Arial"/>
          <w:color w:val="000000"/>
          <w:sz w:val="20"/>
          <w:szCs w:val="20"/>
        </w:rPr>
        <w:t>We accrue for environmental assessment and remediation expenses when the future costs are probable and reasonably estimable. At December 31, 2020 and 2019, accrued liabilities for</w:t>
      </w:r>
      <w:r>
        <w:rPr>
          <w:rFonts w:ascii="Arial" w:eastAsia="Times New Roman" w:hAnsi="Arial" w:cs="Arial"/>
          <w:color w:val="000000"/>
          <w:sz w:val="20"/>
          <w:szCs w:val="20"/>
        </w:rPr>
        <w:t xml:space="preserve"> remediation were not material. It is not presently possible to estimate the ultimate amount of all remediation costs that might be incurred or the penalties that may be imposed.</w:t>
      </w:r>
    </w:p>
    <w:p w14:paraId="7D6A7B2C" w14:textId="77777777" w:rsidR="00000000" w:rsidRDefault="00C01C43">
      <w:pPr>
        <w:divId w:val="674117096"/>
        <w:rPr>
          <w:rFonts w:eastAsia="Times New Roman"/>
        </w:rPr>
      </w:pPr>
    </w:p>
    <w:p w14:paraId="7904459C" w14:textId="77777777" w:rsidR="00000000" w:rsidRDefault="00C01C43">
      <w:pPr>
        <w:jc w:val="both"/>
        <w:divId w:val="663701098"/>
        <w:rPr>
          <w:rFonts w:eastAsia="Times New Roman"/>
        </w:rPr>
      </w:pPr>
      <w:r>
        <w:rPr>
          <w:rFonts w:ascii="Arial" w:eastAsia="Times New Roman" w:hAnsi="Arial" w:cs="Arial"/>
          <w:b/>
          <w:bCs/>
          <w:color w:val="000000"/>
          <w:sz w:val="20"/>
          <w:szCs w:val="20"/>
        </w:rPr>
        <w:t>Tax Matters</w:t>
      </w:r>
    </w:p>
    <w:p w14:paraId="33EF70FA" w14:textId="77777777" w:rsidR="00000000" w:rsidRDefault="00C01C43">
      <w:pPr>
        <w:jc w:val="both"/>
        <w:divId w:val="1928727345"/>
        <w:rPr>
          <w:rFonts w:eastAsia="Times New Roman"/>
        </w:rPr>
      </w:pPr>
      <w:r>
        <w:rPr>
          <w:rFonts w:ascii="Arial" w:eastAsia="Times New Roman" w:hAnsi="Arial" w:cs="Arial"/>
          <w:color w:val="000000"/>
          <w:sz w:val="20"/>
          <w:szCs w:val="20"/>
        </w:rPr>
        <w:t>From time to time, we are under review by various domestic and foreign tax authorities with regard to indirect tax matters and are involved in various challenges and litigation in a number of countries, including, in particular, Brazil and South Korea, whe</w:t>
      </w:r>
      <w:r>
        <w:rPr>
          <w:rFonts w:ascii="Arial" w:eastAsia="Times New Roman" w:hAnsi="Arial" w:cs="Arial"/>
          <w:color w:val="000000"/>
          <w:sz w:val="20"/>
          <w:szCs w:val="20"/>
        </w:rPr>
        <w:t>re the amounts under controversy may be material. We believe that these assessments are without merit and are currently appealing the actions.</w:t>
      </w:r>
    </w:p>
    <w:p w14:paraId="03CDF1AD" w14:textId="77777777" w:rsidR="00000000" w:rsidRDefault="00C01C43">
      <w:pPr>
        <w:jc w:val="both"/>
        <w:divId w:val="1438595746"/>
        <w:rPr>
          <w:rFonts w:eastAsia="Times New Roman"/>
        </w:rPr>
      </w:pPr>
      <w:r>
        <w:rPr>
          <w:rFonts w:ascii="Arial" w:eastAsia="Times New Roman" w:hAnsi="Arial" w:cs="Arial"/>
          <w:color w:val="000000"/>
          <w:sz w:val="20"/>
          <w:szCs w:val="20"/>
        </w:rPr>
        <w:t xml:space="preserve">During the quarter ended December 31, 2016, the Korean branch of one of our subsidiaries received assessments of </w:t>
      </w:r>
      <w:r>
        <w:rPr>
          <w:rFonts w:ascii="Arial" w:eastAsia="Times New Roman" w:hAnsi="Arial" w:cs="Arial"/>
          <w:color w:val="000000"/>
          <w:sz w:val="20"/>
          <w:szCs w:val="20"/>
        </w:rPr>
        <w:t xml:space="preserve">approximately $10.4 million (KRW 11.7 billion) and during the quarter ended June 30, 2017, an assessment for an additional $18.5 million (KRW 20.1 billion) from the regional tax authorities of Seoul, South Korea. The assessments primarily consist of fines </w:t>
      </w:r>
      <w:r>
        <w:rPr>
          <w:rFonts w:ascii="Arial" w:eastAsia="Times New Roman" w:hAnsi="Arial" w:cs="Arial"/>
          <w:color w:val="000000"/>
          <w:sz w:val="20"/>
          <w:szCs w:val="20"/>
        </w:rPr>
        <w:t>and penalties for allegedly failing to issue Value Added Tax ("VAT") invoices and report certain transactions during the period 2011-2014. These assessments do not involve failure to pay or collect VAT. We believe that these assessments are without merit a</w:t>
      </w:r>
      <w:r>
        <w:rPr>
          <w:rFonts w:ascii="Arial" w:eastAsia="Times New Roman" w:hAnsi="Arial" w:cs="Arial"/>
          <w:color w:val="000000"/>
          <w:sz w:val="20"/>
          <w:szCs w:val="20"/>
        </w:rPr>
        <w:t>nd are currently appealing the actions.</w:t>
      </w:r>
    </w:p>
    <w:p w14:paraId="0EBD3EEF" w14:textId="77777777" w:rsidR="00000000" w:rsidRDefault="00C01C43">
      <w:pPr>
        <w:jc w:val="both"/>
        <w:divId w:val="1780828718"/>
        <w:rPr>
          <w:rFonts w:eastAsia="Times New Roman"/>
        </w:rPr>
      </w:pPr>
      <w:r>
        <w:rPr>
          <w:rFonts w:ascii="Arial" w:eastAsia="Times New Roman" w:hAnsi="Arial" w:cs="Arial"/>
          <w:color w:val="000000"/>
          <w:sz w:val="20"/>
          <w:szCs w:val="20"/>
        </w:rPr>
        <w:t xml:space="preserve">We are also involved in a number of tax disputes with federal, state and municipal tax authorities in Brazil, relating primarily to a VAT tax known as ICMS. These disputes are at various stages of the legal process, </w:t>
      </w:r>
      <w:r>
        <w:rPr>
          <w:rFonts w:ascii="Arial" w:eastAsia="Times New Roman" w:hAnsi="Arial" w:cs="Arial"/>
          <w:color w:val="000000"/>
          <w:sz w:val="20"/>
          <w:szCs w:val="20"/>
        </w:rPr>
        <w:t>including the administrative review phase and the collection action phase, and include assessments of fixed amounts of principal and penalties, plus interest. One of our Brazilian subsidiaries is currently appealing an assessment of approximately $11.0 mil</w:t>
      </w:r>
      <w:r>
        <w:rPr>
          <w:rFonts w:ascii="Arial" w:eastAsia="Times New Roman" w:hAnsi="Arial" w:cs="Arial"/>
          <w:color w:val="000000"/>
          <w:sz w:val="20"/>
          <w:szCs w:val="20"/>
        </w:rPr>
        <w:t>lion (BRL 57.0 million) from the Brazilian tax authorities relating to the ICMS rate used for certain transactions.  The assessment primarily consists of interest and penalties.  We believe that the assessment is without merit and are pursuing our remedies</w:t>
      </w:r>
      <w:r>
        <w:rPr>
          <w:rFonts w:ascii="Arial" w:eastAsia="Times New Roman" w:hAnsi="Arial" w:cs="Arial"/>
          <w:color w:val="000000"/>
          <w:sz w:val="20"/>
          <w:szCs w:val="20"/>
        </w:rPr>
        <w:t xml:space="preserve"> in the judicial court system.</w:t>
      </w:r>
    </w:p>
    <w:p w14:paraId="0D241C70" w14:textId="77777777" w:rsidR="00000000" w:rsidRDefault="00C01C43">
      <w:pPr>
        <w:jc w:val="both"/>
        <w:rPr>
          <w:rFonts w:eastAsia="Times New Roman"/>
        </w:rPr>
      </w:pPr>
      <w:r>
        <w:rPr>
          <w:rFonts w:ascii="Arial" w:eastAsia="Times New Roman" w:hAnsi="Arial" w:cs="Arial"/>
          <w:color w:val="000000"/>
          <w:sz w:val="20"/>
          <w:szCs w:val="20"/>
        </w:rPr>
        <w:t>When we deem it appropriate and the amounts are reasonably estimable, we establish reserves for potential adjustments to our provision for the accrual of indirect taxes that may result from examinations or other actions by ta</w:t>
      </w:r>
      <w:r>
        <w:rPr>
          <w:rFonts w:ascii="Arial" w:eastAsia="Times New Roman" w:hAnsi="Arial" w:cs="Arial"/>
          <w:color w:val="000000"/>
          <w:sz w:val="20"/>
          <w:szCs w:val="20"/>
        </w:rPr>
        <w:t>x authorities. If events occur which indicate payment of these amounts is unnecessary, the reversal of the liabilities will result in the recognition of benefits in the period we determine the liabilities are no longer necessary. If our estimates of any of</w:t>
      </w:r>
      <w:r>
        <w:rPr>
          <w:rFonts w:ascii="Arial" w:eastAsia="Times New Roman" w:hAnsi="Arial" w:cs="Arial"/>
          <w:color w:val="000000"/>
          <w:sz w:val="20"/>
          <w:szCs w:val="20"/>
        </w:rPr>
        <w:t xml:space="preserve"> our federal, state, and foreign indirect tax liabilities are less than the ultimate assessment, it could result in a further charge to expense. Except with respect to the matters described above, we believe that the final outcome of any pending examinatio</w:t>
      </w:r>
      <w:r>
        <w:rPr>
          <w:rFonts w:ascii="Arial" w:eastAsia="Times New Roman" w:hAnsi="Arial" w:cs="Arial"/>
          <w:color w:val="000000"/>
          <w:sz w:val="20"/>
          <w:szCs w:val="20"/>
        </w:rPr>
        <w:t>ns, agreements, administrative or judicial proceedings will not have a material effect on our results of operations or cash flows.</w:t>
      </w:r>
    </w:p>
    <w:p w14:paraId="3D639E59" w14:textId="77777777" w:rsidR="00000000" w:rsidRDefault="00C01C43">
      <w:pPr>
        <w:jc w:val="both"/>
        <w:rPr>
          <w:rFonts w:eastAsia="Times New Roman"/>
        </w:rPr>
      </w:pPr>
    </w:p>
    <w:p w14:paraId="31BE95DF" w14:textId="77777777" w:rsidR="00000000" w:rsidRDefault="00C01C43">
      <w:pPr>
        <w:jc w:val="center"/>
        <w:divId w:val="1886943780"/>
        <w:rPr>
          <w:rFonts w:eastAsia="Times New Roman"/>
        </w:rPr>
      </w:pPr>
      <w:r>
        <w:rPr>
          <w:rFonts w:ascii="Arial" w:eastAsia="Times New Roman" w:hAnsi="Arial" w:cs="Arial"/>
          <w:color w:val="000000"/>
          <w:sz w:val="16"/>
          <w:szCs w:val="16"/>
        </w:rPr>
        <w:t>73</w:t>
      </w:r>
    </w:p>
    <w:p w14:paraId="7788682C" w14:textId="77777777" w:rsidR="00000000" w:rsidRDefault="00C01C43">
      <w:pPr>
        <w:rPr>
          <w:rFonts w:eastAsia="Times New Roman"/>
        </w:rPr>
      </w:pPr>
      <w:r>
        <w:rPr>
          <w:rFonts w:eastAsia="Times New Roman"/>
        </w:rPr>
        <w:pict w14:anchorId="5FC39EB6">
          <v:rect id="_x0000_i1102" style="width:0;height:1.5pt" o:hralign="center" o:hrstd="t" o:hr="t" fillcolor="#a0a0a0" stroked="f"/>
        </w:pict>
      </w:r>
    </w:p>
    <w:p w14:paraId="471149DC" w14:textId="77777777" w:rsidR="00000000" w:rsidRDefault="00C01C43">
      <w:pPr>
        <w:divId w:val="1663772581"/>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D4B49B8" w14:textId="77777777" w:rsidR="00000000" w:rsidRDefault="00C01C43">
      <w:pPr>
        <w:jc w:val="both"/>
        <w:divId w:val="55322024"/>
        <w:rPr>
          <w:rFonts w:eastAsia="Times New Roman"/>
        </w:rPr>
      </w:pPr>
      <w:r>
        <w:rPr>
          <w:rFonts w:ascii="Arial" w:eastAsia="Times New Roman" w:hAnsi="Arial" w:cs="Arial"/>
          <w:b/>
          <w:bCs/>
          <w:color w:val="000000"/>
          <w:sz w:val="20"/>
          <w:szCs w:val="20"/>
        </w:rPr>
        <w:t>Other Ma</w:t>
      </w:r>
      <w:r>
        <w:rPr>
          <w:rFonts w:ascii="Arial" w:eastAsia="Times New Roman" w:hAnsi="Arial" w:cs="Arial"/>
          <w:b/>
          <w:bCs/>
          <w:color w:val="000000"/>
          <w:sz w:val="20"/>
          <w:szCs w:val="20"/>
        </w:rPr>
        <w:t>tters</w:t>
      </w:r>
    </w:p>
    <w:p w14:paraId="4C581F04" w14:textId="77777777" w:rsidR="00000000" w:rsidRDefault="00C01C43">
      <w:pPr>
        <w:jc w:val="both"/>
        <w:divId w:val="831868759"/>
        <w:rPr>
          <w:rFonts w:eastAsia="Times New Roman"/>
        </w:rPr>
      </w:pPr>
      <w:r>
        <w:rPr>
          <w:rFonts w:ascii="Arial" w:eastAsia="Times New Roman" w:hAnsi="Arial" w:cs="Arial"/>
          <w:color w:val="000000"/>
          <w:sz w:val="20"/>
          <w:szCs w:val="20"/>
        </w:rPr>
        <w:t>We are also a party to various claims, complaints and proceedings arising in the ordinary course of our business including, but not limited to, environmental claims, commercial and governmental contract claims, such as property damage, demurrage, per</w:t>
      </w:r>
      <w:r>
        <w:rPr>
          <w:rFonts w:ascii="Arial" w:eastAsia="Times New Roman" w:hAnsi="Arial" w:cs="Arial"/>
          <w:color w:val="000000"/>
          <w:sz w:val="20"/>
          <w:szCs w:val="20"/>
        </w:rPr>
        <w:t xml:space="preserve">sonal injury, billing and fuel quality claims, as well as bankruptcy preference claims and tax and administrative claims. We have established loss provisions for these ordinary course claims as well as other matters in which losses are probable and can be </w:t>
      </w:r>
      <w:r>
        <w:rPr>
          <w:rFonts w:ascii="Arial" w:eastAsia="Times New Roman" w:hAnsi="Arial" w:cs="Arial"/>
          <w:color w:val="000000"/>
          <w:sz w:val="20"/>
          <w:szCs w:val="20"/>
        </w:rPr>
        <w:t>reasonably estimated. As of December 31, 2020, we had recorded certain reserves that were not material. For those matters where a reserve has not been established and for which we believe a loss is reasonably possible, as well as for matters where a reserv</w:t>
      </w:r>
      <w:r>
        <w:rPr>
          <w:rFonts w:ascii="Arial" w:eastAsia="Times New Roman" w:hAnsi="Arial" w:cs="Arial"/>
          <w:color w:val="000000"/>
          <w:sz w:val="20"/>
          <w:szCs w:val="20"/>
        </w:rPr>
        <w:t xml:space="preserve">e has been recorded but for which exposure to loss in excess of the amount accrued is reasonably possible, we believe that such losses will not have a material adverse effect on our Consolidated Financial Statements. However, any adverse resolution of one </w:t>
      </w:r>
      <w:r>
        <w:rPr>
          <w:rFonts w:ascii="Arial" w:eastAsia="Times New Roman" w:hAnsi="Arial" w:cs="Arial"/>
          <w:color w:val="000000"/>
          <w:sz w:val="20"/>
          <w:szCs w:val="20"/>
        </w:rPr>
        <w:t>or more such claims, complaints or proceedings during a particular period could have a material adverse effect on our Consolidated Financial Statements or disclosures for that period. </w:t>
      </w:r>
    </w:p>
    <w:p w14:paraId="6BAAAA00" w14:textId="77777777" w:rsidR="00000000" w:rsidRDefault="00C01C43">
      <w:pPr>
        <w:jc w:val="both"/>
        <w:divId w:val="1391264706"/>
        <w:rPr>
          <w:rFonts w:eastAsia="Times New Roman"/>
        </w:rPr>
      </w:pPr>
      <w:r>
        <w:rPr>
          <w:rFonts w:ascii="Arial" w:eastAsia="Times New Roman" w:hAnsi="Arial" w:cs="Arial"/>
          <w:color w:val="000000"/>
          <w:sz w:val="20"/>
          <w:szCs w:val="20"/>
        </w:rPr>
        <w:t>Our estimates regarding potential losses and materiality are based on o</w:t>
      </w:r>
      <w:r>
        <w:rPr>
          <w:rFonts w:ascii="Arial" w:eastAsia="Times New Roman" w:hAnsi="Arial" w:cs="Arial"/>
          <w:color w:val="000000"/>
          <w:sz w:val="20"/>
          <w:szCs w:val="20"/>
        </w:rPr>
        <w:t>ur judgment and assessment of the claims utilizing currently available information. Although we will continue to reassess our reserves and estimates based on future developments, our objective assessment of the legal merits of such claims may not always be</w:t>
      </w:r>
      <w:r>
        <w:rPr>
          <w:rFonts w:ascii="Arial" w:eastAsia="Times New Roman" w:hAnsi="Arial" w:cs="Arial"/>
          <w:color w:val="000000"/>
          <w:sz w:val="20"/>
          <w:szCs w:val="20"/>
        </w:rPr>
        <w:t xml:space="preserve"> predictive of the outcome and actual results may vary from our current estimates.</w:t>
      </w:r>
    </w:p>
    <w:p w14:paraId="0D48C221" w14:textId="77777777" w:rsidR="00000000" w:rsidRDefault="00C01C43">
      <w:pPr>
        <w:jc w:val="both"/>
        <w:divId w:val="889725033"/>
        <w:rPr>
          <w:rFonts w:eastAsia="Times New Roman"/>
        </w:rPr>
      </w:pPr>
    </w:p>
    <w:p w14:paraId="3B4C36D8" w14:textId="77777777" w:rsidR="00000000" w:rsidRDefault="00C01C43">
      <w:pPr>
        <w:jc w:val="both"/>
        <w:divId w:val="1743017095"/>
        <w:rPr>
          <w:rFonts w:eastAsia="Times New Roman"/>
        </w:rPr>
      </w:pPr>
      <w:r>
        <w:rPr>
          <w:rFonts w:ascii="Arial" w:eastAsia="Times New Roman" w:hAnsi="Arial" w:cs="Arial"/>
          <w:b/>
          <w:bCs/>
          <w:color w:val="000000"/>
          <w:sz w:val="20"/>
          <w:szCs w:val="20"/>
        </w:rPr>
        <w:t>10. Shareholders’ Equity</w:t>
      </w:r>
    </w:p>
    <w:p w14:paraId="75E0C18D" w14:textId="77777777" w:rsidR="00000000" w:rsidRDefault="00C01C43">
      <w:pPr>
        <w:jc w:val="both"/>
        <w:divId w:val="1484856499"/>
        <w:rPr>
          <w:rFonts w:eastAsia="Times New Roman"/>
        </w:rPr>
      </w:pPr>
      <w:r>
        <w:rPr>
          <w:rFonts w:ascii="Arial" w:eastAsia="Times New Roman" w:hAnsi="Arial" w:cs="Arial"/>
          <w:b/>
          <w:bCs/>
          <w:color w:val="000000"/>
          <w:sz w:val="20"/>
          <w:szCs w:val="20"/>
        </w:rPr>
        <w:t>Cash Dividends</w:t>
      </w:r>
    </w:p>
    <w:p w14:paraId="4A6E2A32" w14:textId="77777777" w:rsidR="00000000" w:rsidRDefault="00C01C43">
      <w:pPr>
        <w:jc w:val="both"/>
        <w:divId w:val="416951056"/>
        <w:rPr>
          <w:rFonts w:eastAsia="Times New Roman"/>
        </w:rPr>
      </w:pPr>
      <w:r>
        <w:rPr>
          <w:rFonts w:ascii="Arial" w:eastAsia="Times New Roman" w:hAnsi="Arial" w:cs="Arial"/>
          <w:color w:val="000000"/>
          <w:sz w:val="20"/>
          <w:szCs w:val="20"/>
        </w:rPr>
        <w:t>During the years ended December 31, 2020, 2019 and 2018, the Company's Board of Directors declared aggregate cash dividends of $0.4</w:t>
      </w:r>
      <w:r>
        <w:rPr>
          <w:rFonts w:ascii="Arial" w:eastAsia="Times New Roman" w:hAnsi="Arial" w:cs="Arial"/>
          <w:color w:val="000000"/>
          <w:sz w:val="20"/>
          <w:szCs w:val="20"/>
        </w:rPr>
        <w:t>0, $0.36, and $0.24 per common share, representing $25.5 million, $23.6 million, and $16.1 million in total dividends, respectively. Our Credit Facility and Term Loans have restrictions regarding the maximum amount of cash dividends allowed to be paid. The</w:t>
      </w:r>
      <w:r>
        <w:rPr>
          <w:rFonts w:ascii="Arial" w:eastAsia="Times New Roman" w:hAnsi="Arial" w:cs="Arial"/>
          <w:color w:val="000000"/>
          <w:sz w:val="20"/>
          <w:szCs w:val="20"/>
        </w:rPr>
        <w:t xml:space="preserve"> payments associated with the above referenced cash dividends were in compliance with our Credit Facility and Term Loans.</w:t>
      </w:r>
    </w:p>
    <w:p w14:paraId="7F559042" w14:textId="77777777" w:rsidR="00000000" w:rsidRDefault="00C01C43">
      <w:pPr>
        <w:jc w:val="both"/>
        <w:divId w:val="250819696"/>
        <w:rPr>
          <w:rFonts w:eastAsia="Times New Roman"/>
        </w:rPr>
      </w:pPr>
      <w:r>
        <w:rPr>
          <w:rFonts w:ascii="Arial" w:eastAsia="Times New Roman" w:hAnsi="Arial" w:cs="Arial"/>
          <w:b/>
          <w:bCs/>
          <w:color w:val="000000"/>
          <w:sz w:val="20"/>
          <w:szCs w:val="20"/>
        </w:rPr>
        <w:t>Stock Repurchase Programs</w:t>
      </w:r>
    </w:p>
    <w:p w14:paraId="108C3ADA" w14:textId="77777777" w:rsidR="00000000" w:rsidRDefault="00C01C43">
      <w:pPr>
        <w:jc w:val="both"/>
        <w:divId w:val="1070269090"/>
        <w:rPr>
          <w:rFonts w:eastAsia="Times New Roman"/>
        </w:rPr>
      </w:pPr>
      <w:r>
        <w:rPr>
          <w:rFonts w:ascii="Arial" w:eastAsia="Times New Roman" w:hAnsi="Arial" w:cs="Arial"/>
          <w:color w:val="000000"/>
          <w:sz w:val="20"/>
          <w:szCs w:val="20"/>
        </w:rPr>
        <w:t>In October 2017, our Board of Directors (the "Board") approved a new common stock repurchase program (the “R</w:t>
      </w:r>
      <w:r>
        <w:rPr>
          <w:rFonts w:ascii="Arial" w:eastAsia="Times New Roman" w:hAnsi="Arial" w:cs="Arial"/>
          <w:color w:val="000000"/>
          <w:sz w:val="20"/>
          <w:szCs w:val="20"/>
        </w:rPr>
        <w:t>epurchase Program”), which replaced the program in place at that time, authorizing $100.0 million in common stock repurchases. In May 2019, the Board authorized an increase to the October 2017 repurchase authorization by $100.0 million, bringing the author</w:t>
      </w:r>
      <w:r>
        <w:rPr>
          <w:rFonts w:ascii="Arial" w:eastAsia="Times New Roman" w:hAnsi="Arial" w:cs="Arial"/>
          <w:color w:val="000000"/>
          <w:sz w:val="20"/>
          <w:szCs w:val="20"/>
        </w:rPr>
        <w:t>ized repurchases at that time to $200.0 million. In March 2020, the Board approved a new stock repurchase program authorizing $200.0 million in common stock repurchases to begin upon the completion of the October 2017 Repurchase Program. Our repurchase pro</w:t>
      </w:r>
      <w:r>
        <w:rPr>
          <w:rFonts w:ascii="Arial" w:eastAsia="Times New Roman" w:hAnsi="Arial" w:cs="Arial"/>
          <w:color w:val="000000"/>
          <w:sz w:val="20"/>
          <w:szCs w:val="20"/>
        </w:rPr>
        <w:t>grams do not require a minimum number of shares of common stock to be purchased, have no expiration date and may be suspended or discontinued at any time. As of December 31, 2020, approximately $246.3 million remains available for purchase under our repurc</w:t>
      </w:r>
      <w:r>
        <w:rPr>
          <w:rFonts w:ascii="Arial" w:eastAsia="Times New Roman" w:hAnsi="Arial" w:cs="Arial"/>
          <w:color w:val="000000"/>
          <w:sz w:val="20"/>
          <w:szCs w:val="20"/>
        </w:rPr>
        <w:t>hase programs. The timing and amount of shares of common stock to be repurchased under the repurchase programs will depend on market conditions, share price, securities law and other legal requirements and factors.</w:t>
      </w:r>
    </w:p>
    <w:p w14:paraId="6EBA6EDF" w14:textId="77777777" w:rsidR="00000000" w:rsidRDefault="00C01C43">
      <w:pPr>
        <w:jc w:val="both"/>
        <w:divId w:val="255748362"/>
        <w:rPr>
          <w:rFonts w:eastAsia="Times New Roman"/>
        </w:rPr>
      </w:pPr>
      <w:r>
        <w:rPr>
          <w:rFonts w:ascii="Arial" w:eastAsia="Times New Roman" w:hAnsi="Arial" w:cs="Arial"/>
          <w:color w:val="000000"/>
          <w:sz w:val="20"/>
          <w:szCs w:val="20"/>
        </w:rPr>
        <w:t>In 2020, 2019, and 2018, we repurchased 2</w:t>
      </w:r>
      <w:r>
        <w:rPr>
          <w:rFonts w:ascii="Arial" w:eastAsia="Times New Roman" w:hAnsi="Arial" w:cs="Arial"/>
          <w:color w:val="000000"/>
          <w:sz w:val="20"/>
          <w:szCs w:val="20"/>
        </w:rPr>
        <w:t xml:space="preserve">.6 million, 2.1 million, and 0.7 million shares of common stock for an aggregate value of $68.3 million, $65.4 million, and $20.0 million, respectively. </w:t>
      </w:r>
    </w:p>
    <w:p w14:paraId="013C4B44" w14:textId="77777777" w:rsidR="00000000" w:rsidRDefault="00C01C43">
      <w:pPr>
        <w:jc w:val="center"/>
        <w:divId w:val="1115296352"/>
        <w:rPr>
          <w:rFonts w:eastAsia="Times New Roman"/>
        </w:rPr>
      </w:pPr>
      <w:r>
        <w:rPr>
          <w:rFonts w:ascii="Arial" w:eastAsia="Times New Roman" w:hAnsi="Arial" w:cs="Arial"/>
          <w:color w:val="000000"/>
          <w:sz w:val="16"/>
          <w:szCs w:val="16"/>
        </w:rPr>
        <w:t>74</w:t>
      </w:r>
    </w:p>
    <w:p w14:paraId="012012B3" w14:textId="77777777" w:rsidR="00000000" w:rsidRDefault="00C01C43">
      <w:pPr>
        <w:rPr>
          <w:rFonts w:eastAsia="Times New Roman"/>
        </w:rPr>
      </w:pPr>
      <w:r>
        <w:rPr>
          <w:rFonts w:eastAsia="Times New Roman"/>
        </w:rPr>
        <w:pict w14:anchorId="6EAC8A86">
          <v:rect id="_x0000_i1103" style="width:0;height:1.5pt" o:hralign="center" o:hrstd="t" o:hr="t" fillcolor="#a0a0a0" stroked="f"/>
        </w:pict>
      </w:r>
    </w:p>
    <w:p w14:paraId="467A09D6" w14:textId="77777777" w:rsidR="00000000" w:rsidRDefault="00C01C43">
      <w:pPr>
        <w:divId w:val="1393963799"/>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52D82D8B" w14:textId="77777777" w:rsidR="00000000" w:rsidRDefault="00C01C43">
      <w:pPr>
        <w:jc w:val="both"/>
        <w:divId w:val="1205672986"/>
        <w:rPr>
          <w:rFonts w:eastAsia="Times New Roman"/>
        </w:rPr>
      </w:pPr>
      <w:r>
        <w:rPr>
          <w:rFonts w:ascii="Arial" w:eastAsia="Times New Roman" w:hAnsi="Arial" w:cs="Arial"/>
          <w:b/>
          <w:bCs/>
          <w:color w:val="000000"/>
          <w:sz w:val="20"/>
          <w:szCs w:val="20"/>
        </w:rPr>
        <w:t>Share-Based Payment Plans</w:t>
      </w:r>
    </w:p>
    <w:p w14:paraId="4A581413" w14:textId="77777777" w:rsidR="00000000" w:rsidRDefault="00C01C43">
      <w:pPr>
        <w:jc w:val="both"/>
        <w:divId w:val="619534701"/>
        <w:rPr>
          <w:rFonts w:eastAsia="Times New Roman"/>
        </w:rPr>
      </w:pPr>
      <w:r>
        <w:rPr>
          <w:rFonts w:ascii="Arial" w:eastAsia="Times New Roman" w:hAnsi="Arial" w:cs="Arial"/>
          <w:b/>
          <w:bCs/>
          <w:color w:val="000000"/>
          <w:sz w:val="20"/>
          <w:szCs w:val="20"/>
        </w:rPr>
        <w:t>Plan Summary and Description</w:t>
      </w:r>
    </w:p>
    <w:p w14:paraId="3006E9EE" w14:textId="77777777" w:rsidR="00000000" w:rsidRDefault="00C01C43">
      <w:pPr>
        <w:jc w:val="both"/>
        <w:divId w:val="1486780741"/>
        <w:rPr>
          <w:rFonts w:eastAsia="Times New Roman"/>
        </w:rPr>
      </w:pPr>
      <w:r>
        <w:rPr>
          <w:rFonts w:ascii="Arial" w:eastAsia="Times New Roman" w:hAnsi="Arial" w:cs="Arial"/>
          <w:color w:val="000000"/>
          <w:sz w:val="20"/>
          <w:szCs w:val="20"/>
        </w:rPr>
        <w:t>In May 2016, our shareholders approved the 2016 Omnibus Plan (the “2016 Plan”), which replaced our previously adopted 2006 Om</w:t>
      </w:r>
      <w:r>
        <w:rPr>
          <w:rFonts w:ascii="Arial" w:eastAsia="Times New Roman" w:hAnsi="Arial" w:cs="Arial"/>
          <w:color w:val="000000"/>
          <w:sz w:val="20"/>
          <w:szCs w:val="20"/>
        </w:rPr>
        <w:t xml:space="preserve">nibus Plan, as amended and restated in 2009 (the “2006 Plan”). The 2016 Plan is administered by the Compensation Committee of the Board of Directors (the “Compensation Committee”). The purpose of the 2016 Plan is to (i) attract and retain persons eligible </w:t>
      </w:r>
      <w:r>
        <w:rPr>
          <w:rFonts w:ascii="Arial" w:eastAsia="Times New Roman" w:hAnsi="Arial" w:cs="Arial"/>
          <w:color w:val="000000"/>
          <w:sz w:val="20"/>
          <w:szCs w:val="20"/>
        </w:rPr>
        <w:t>to participate in the 2016 Plan; (ii) motivate participants, by means of appropriate incentives, to achieve long-range goals; (iii) provide incentive compensation opportunities that are competitive with those of other similar companies; and (iv) further al</w:t>
      </w:r>
      <w:r>
        <w:rPr>
          <w:rFonts w:ascii="Arial" w:eastAsia="Times New Roman" w:hAnsi="Arial" w:cs="Arial"/>
          <w:color w:val="000000"/>
          <w:sz w:val="20"/>
          <w:szCs w:val="20"/>
        </w:rPr>
        <w:t xml:space="preserve">ign participants’ interests with those of our other shareholders through compensation that is based on the value of our common stock. The goal is to promote the long-term financial interest of World Fuel and its subsidiaries, including the growth in value </w:t>
      </w:r>
      <w:r>
        <w:rPr>
          <w:rFonts w:ascii="Arial" w:eastAsia="Times New Roman" w:hAnsi="Arial" w:cs="Arial"/>
          <w:color w:val="000000"/>
          <w:sz w:val="20"/>
          <w:szCs w:val="20"/>
        </w:rPr>
        <w:t>of our equity and enhancement of long-term shareholder return. The persons eligible to receive awards under the 2016 Plan are our employees, officers, and members of the Board of Directors, or any consultant or other person who performs services for us.</w:t>
      </w:r>
    </w:p>
    <w:p w14:paraId="14491ED0" w14:textId="77777777" w:rsidR="00000000" w:rsidRDefault="00C01C43">
      <w:pPr>
        <w:jc w:val="both"/>
        <w:divId w:val="1728802980"/>
        <w:rPr>
          <w:rFonts w:eastAsia="Times New Roman"/>
        </w:rPr>
      </w:pPr>
      <w:r>
        <w:rPr>
          <w:rFonts w:ascii="Arial" w:eastAsia="Times New Roman" w:hAnsi="Arial" w:cs="Arial"/>
          <w:color w:val="000000"/>
          <w:sz w:val="20"/>
          <w:szCs w:val="20"/>
        </w:rPr>
        <w:t>Th</w:t>
      </w:r>
      <w:r>
        <w:rPr>
          <w:rFonts w:ascii="Arial" w:eastAsia="Times New Roman" w:hAnsi="Arial" w:cs="Arial"/>
          <w:color w:val="000000"/>
          <w:sz w:val="20"/>
          <w:szCs w:val="20"/>
        </w:rPr>
        <w:t>e provisions of the 2016 Plan authorize the grant of stock options which can be “qualified” or “nonqualified” under the Internal Revenue Code of 1986, as amended, restricted stock, RSUs, SSAR Awards, performance shares and performance units and other share</w:t>
      </w:r>
      <w:r>
        <w:rPr>
          <w:rFonts w:ascii="Arial" w:eastAsia="Times New Roman" w:hAnsi="Arial" w:cs="Arial"/>
          <w:color w:val="000000"/>
          <w:sz w:val="20"/>
          <w:szCs w:val="20"/>
        </w:rPr>
        <w:t>-based awards. The 2016 Plan is unlimited in duration and, in the event of its termination, the 2016 Plan will remain in effect as long as any awards granted under it remain outstanding. No awards may be granted under the 2016 Plan after May 2026. The term</w:t>
      </w:r>
      <w:r>
        <w:rPr>
          <w:rFonts w:ascii="Arial" w:eastAsia="Times New Roman" w:hAnsi="Arial" w:cs="Arial"/>
          <w:color w:val="000000"/>
          <w:sz w:val="20"/>
          <w:szCs w:val="20"/>
        </w:rPr>
        <w:t xml:space="preserve"> and vesting period of awards granted under the 2016 Plan are established on a per grant basis, but options and SSAR Awards may not remain exercisable after the seven-year anniversary of the date of grant.</w:t>
      </w:r>
    </w:p>
    <w:p w14:paraId="542FD2C0" w14:textId="77777777" w:rsidR="00000000" w:rsidRDefault="00C01C43">
      <w:pPr>
        <w:jc w:val="both"/>
        <w:divId w:val="1874729841"/>
        <w:rPr>
          <w:rFonts w:eastAsia="Times New Roman"/>
        </w:rPr>
      </w:pPr>
      <w:r>
        <w:rPr>
          <w:rFonts w:ascii="Arial" w:eastAsia="Times New Roman" w:hAnsi="Arial" w:cs="Arial"/>
          <w:color w:val="000000"/>
          <w:sz w:val="20"/>
          <w:szCs w:val="20"/>
        </w:rPr>
        <w:t xml:space="preserve">Under the 2016 Plan, 2.5 million shares of common </w:t>
      </w:r>
      <w:r>
        <w:rPr>
          <w:rFonts w:ascii="Arial" w:eastAsia="Times New Roman" w:hAnsi="Arial" w:cs="Arial"/>
          <w:color w:val="000000"/>
          <w:sz w:val="20"/>
          <w:szCs w:val="20"/>
        </w:rPr>
        <w:t>stock are authorized for issuance plus any shares of common stock with respect to awards that were granted under the 2006 Plan but are forfeited or canceled (e.g., due to the recipient's failure to satisfy applicable service or performance conditions) afte</w:t>
      </w:r>
      <w:r>
        <w:rPr>
          <w:rFonts w:ascii="Arial" w:eastAsia="Times New Roman" w:hAnsi="Arial" w:cs="Arial"/>
          <w:color w:val="000000"/>
          <w:sz w:val="20"/>
          <w:szCs w:val="20"/>
        </w:rPr>
        <w:t>r May 2016. As of December 31, 2020, approximately 4.2 million shares of common stock were subject to outstanding awards under the 2016 and 2006 Plans (assuming maximum achievement of performance goals for restricted stock and target achievement of perform</w:t>
      </w:r>
      <w:r>
        <w:rPr>
          <w:rFonts w:ascii="Arial" w:eastAsia="Times New Roman" w:hAnsi="Arial" w:cs="Arial"/>
          <w:color w:val="000000"/>
          <w:sz w:val="20"/>
          <w:szCs w:val="20"/>
        </w:rPr>
        <w:t xml:space="preserve">ance goals for RSUs, where applicable). </w:t>
      </w:r>
    </w:p>
    <w:p w14:paraId="49B4EAA3" w14:textId="77777777" w:rsidR="00000000" w:rsidRDefault="00C01C43">
      <w:pPr>
        <w:jc w:val="both"/>
        <w:rPr>
          <w:rFonts w:eastAsia="Times New Roman"/>
        </w:rPr>
      </w:pPr>
      <w:r>
        <w:rPr>
          <w:rFonts w:ascii="Arial" w:eastAsia="Times New Roman" w:hAnsi="Arial" w:cs="Arial"/>
          <w:color w:val="000000"/>
          <w:sz w:val="20"/>
          <w:szCs w:val="20"/>
        </w:rPr>
        <w:t>The following table summarizes the outstanding awards issued pursuant to the 2016 Plan described above as of December 31, 2020 and the remaining shares of common stock available for future issuance (in millions):</w:t>
      </w:r>
    </w:p>
    <w:tbl>
      <w:tblPr>
        <w:tblW w:w="4992" w:type="pct"/>
        <w:tblCellMar>
          <w:top w:w="15" w:type="dxa"/>
          <w:left w:w="15" w:type="dxa"/>
          <w:bottom w:w="15" w:type="dxa"/>
          <w:right w:w="15" w:type="dxa"/>
        </w:tblCellMar>
        <w:tblLook w:val="04A0" w:firstRow="1" w:lastRow="0" w:firstColumn="1" w:lastColumn="0" w:noHBand="0" w:noVBand="1"/>
      </w:tblPr>
      <w:tblGrid>
        <w:gridCol w:w="59"/>
        <w:gridCol w:w="3773"/>
        <w:gridCol w:w="36"/>
        <w:gridCol w:w="65"/>
        <w:gridCol w:w="935"/>
        <w:gridCol w:w="36"/>
        <w:gridCol w:w="36"/>
        <w:gridCol w:w="36"/>
        <w:gridCol w:w="36"/>
        <w:gridCol w:w="42"/>
        <w:gridCol w:w="941"/>
        <w:gridCol w:w="36"/>
        <w:gridCol w:w="36"/>
        <w:gridCol w:w="36"/>
        <w:gridCol w:w="36"/>
        <w:gridCol w:w="49"/>
        <w:gridCol w:w="937"/>
        <w:gridCol w:w="36"/>
        <w:gridCol w:w="36"/>
        <w:gridCol w:w="36"/>
        <w:gridCol w:w="36"/>
        <w:gridCol w:w="68"/>
        <w:gridCol w:w="920"/>
        <w:gridCol w:w="36"/>
      </w:tblGrid>
      <w:tr w:rsidR="00000000" w14:paraId="6FD1D61D" w14:textId="77777777">
        <w:trPr>
          <w:divId w:val="1683967784"/>
        </w:trPr>
        <w:tc>
          <w:tcPr>
            <w:tcW w:w="50" w:type="pct"/>
            <w:vAlign w:val="center"/>
            <w:hideMark/>
          </w:tcPr>
          <w:p w14:paraId="3C9A55B8" w14:textId="77777777" w:rsidR="00000000" w:rsidRDefault="00C01C43">
            <w:pPr>
              <w:jc w:val="both"/>
              <w:rPr>
                <w:rFonts w:eastAsia="Times New Roman"/>
              </w:rPr>
            </w:pPr>
          </w:p>
        </w:tc>
        <w:tc>
          <w:tcPr>
            <w:tcW w:w="2287" w:type="pct"/>
            <w:vAlign w:val="center"/>
            <w:hideMark/>
          </w:tcPr>
          <w:p w14:paraId="07D739E8" w14:textId="77777777" w:rsidR="00000000" w:rsidRDefault="00C01C43">
            <w:pPr>
              <w:rPr>
                <w:rFonts w:eastAsia="Times New Roman"/>
                <w:sz w:val="20"/>
                <w:szCs w:val="20"/>
              </w:rPr>
            </w:pPr>
          </w:p>
        </w:tc>
        <w:tc>
          <w:tcPr>
            <w:tcW w:w="5" w:type="pct"/>
            <w:vAlign w:val="center"/>
            <w:hideMark/>
          </w:tcPr>
          <w:p w14:paraId="66D52663" w14:textId="77777777" w:rsidR="00000000" w:rsidRDefault="00C01C43">
            <w:pPr>
              <w:rPr>
                <w:rFonts w:eastAsia="Times New Roman"/>
                <w:sz w:val="20"/>
                <w:szCs w:val="20"/>
              </w:rPr>
            </w:pPr>
          </w:p>
        </w:tc>
        <w:tc>
          <w:tcPr>
            <w:tcW w:w="50" w:type="pct"/>
            <w:vAlign w:val="center"/>
            <w:hideMark/>
          </w:tcPr>
          <w:p w14:paraId="1A2E8B25" w14:textId="77777777" w:rsidR="00000000" w:rsidRDefault="00C01C43">
            <w:pPr>
              <w:rPr>
                <w:rFonts w:eastAsia="Times New Roman"/>
                <w:sz w:val="20"/>
                <w:szCs w:val="20"/>
              </w:rPr>
            </w:pPr>
          </w:p>
        </w:tc>
        <w:tc>
          <w:tcPr>
            <w:tcW w:w="581" w:type="pct"/>
            <w:vAlign w:val="center"/>
            <w:hideMark/>
          </w:tcPr>
          <w:p w14:paraId="069CC27E" w14:textId="77777777" w:rsidR="00000000" w:rsidRDefault="00C01C43">
            <w:pPr>
              <w:rPr>
                <w:rFonts w:eastAsia="Times New Roman"/>
                <w:sz w:val="20"/>
                <w:szCs w:val="20"/>
              </w:rPr>
            </w:pPr>
          </w:p>
        </w:tc>
        <w:tc>
          <w:tcPr>
            <w:tcW w:w="5" w:type="pct"/>
            <w:vAlign w:val="center"/>
            <w:hideMark/>
          </w:tcPr>
          <w:p w14:paraId="46DE0A27" w14:textId="77777777" w:rsidR="00000000" w:rsidRDefault="00C01C43">
            <w:pPr>
              <w:rPr>
                <w:rFonts w:eastAsia="Times New Roman"/>
                <w:sz w:val="20"/>
                <w:szCs w:val="20"/>
              </w:rPr>
            </w:pPr>
          </w:p>
        </w:tc>
        <w:tc>
          <w:tcPr>
            <w:tcW w:w="5" w:type="pct"/>
            <w:vAlign w:val="center"/>
            <w:hideMark/>
          </w:tcPr>
          <w:p w14:paraId="4F3864B7" w14:textId="77777777" w:rsidR="00000000" w:rsidRDefault="00C01C43">
            <w:pPr>
              <w:rPr>
                <w:rFonts w:eastAsia="Times New Roman"/>
                <w:sz w:val="20"/>
                <w:szCs w:val="20"/>
              </w:rPr>
            </w:pPr>
          </w:p>
        </w:tc>
        <w:tc>
          <w:tcPr>
            <w:tcW w:w="26" w:type="pct"/>
            <w:vAlign w:val="center"/>
            <w:hideMark/>
          </w:tcPr>
          <w:p w14:paraId="417CA58F" w14:textId="77777777" w:rsidR="00000000" w:rsidRDefault="00C01C43">
            <w:pPr>
              <w:rPr>
                <w:rFonts w:eastAsia="Times New Roman"/>
                <w:sz w:val="20"/>
                <w:szCs w:val="20"/>
              </w:rPr>
            </w:pPr>
          </w:p>
        </w:tc>
        <w:tc>
          <w:tcPr>
            <w:tcW w:w="5" w:type="pct"/>
            <w:vAlign w:val="center"/>
            <w:hideMark/>
          </w:tcPr>
          <w:p w14:paraId="65E83A0F" w14:textId="77777777" w:rsidR="00000000" w:rsidRDefault="00C01C43">
            <w:pPr>
              <w:rPr>
                <w:rFonts w:eastAsia="Times New Roman"/>
                <w:sz w:val="20"/>
                <w:szCs w:val="20"/>
              </w:rPr>
            </w:pPr>
          </w:p>
        </w:tc>
        <w:tc>
          <w:tcPr>
            <w:tcW w:w="50" w:type="pct"/>
            <w:vAlign w:val="center"/>
            <w:hideMark/>
          </w:tcPr>
          <w:p w14:paraId="19084CDC" w14:textId="77777777" w:rsidR="00000000" w:rsidRDefault="00C01C43">
            <w:pPr>
              <w:rPr>
                <w:rFonts w:eastAsia="Times New Roman"/>
                <w:sz w:val="20"/>
                <w:szCs w:val="20"/>
              </w:rPr>
            </w:pPr>
          </w:p>
        </w:tc>
        <w:tc>
          <w:tcPr>
            <w:tcW w:w="581" w:type="pct"/>
            <w:vAlign w:val="center"/>
            <w:hideMark/>
          </w:tcPr>
          <w:p w14:paraId="6E794D9D" w14:textId="77777777" w:rsidR="00000000" w:rsidRDefault="00C01C43">
            <w:pPr>
              <w:rPr>
                <w:rFonts w:eastAsia="Times New Roman"/>
                <w:sz w:val="20"/>
                <w:szCs w:val="20"/>
              </w:rPr>
            </w:pPr>
          </w:p>
        </w:tc>
        <w:tc>
          <w:tcPr>
            <w:tcW w:w="5" w:type="pct"/>
            <w:vAlign w:val="center"/>
            <w:hideMark/>
          </w:tcPr>
          <w:p w14:paraId="3EA37AFE" w14:textId="77777777" w:rsidR="00000000" w:rsidRDefault="00C01C43">
            <w:pPr>
              <w:rPr>
                <w:rFonts w:eastAsia="Times New Roman"/>
                <w:sz w:val="20"/>
                <w:szCs w:val="20"/>
              </w:rPr>
            </w:pPr>
          </w:p>
        </w:tc>
        <w:tc>
          <w:tcPr>
            <w:tcW w:w="5" w:type="pct"/>
            <w:vAlign w:val="center"/>
            <w:hideMark/>
          </w:tcPr>
          <w:p w14:paraId="20B23EF6" w14:textId="77777777" w:rsidR="00000000" w:rsidRDefault="00C01C43">
            <w:pPr>
              <w:rPr>
                <w:rFonts w:eastAsia="Times New Roman"/>
                <w:sz w:val="20"/>
                <w:szCs w:val="20"/>
              </w:rPr>
            </w:pPr>
          </w:p>
        </w:tc>
        <w:tc>
          <w:tcPr>
            <w:tcW w:w="26" w:type="pct"/>
            <w:vAlign w:val="center"/>
            <w:hideMark/>
          </w:tcPr>
          <w:p w14:paraId="7126314A" w14:textId="77777777" w:rsidR="00000000" w:rsidRDefault="00C01C43">
            <w:pPr>
              <w:rPr>
                <w:rFonts w:eastAsia="Times New Roman"/>
                <w:sz w:val="20"/>
                <w:szCs w:val="20"/>
              </w:rPr>
            </w:pPr>
          </w:p>
        </w:tc>
        <w:tc>
          <w:tcPr>
            <w:tcW w:w="5" w:type="pct"/>
            <w:vAlign w:val="center"/>
            <w:hideMark/>
          </w:tcPr>
          <w:p w14:paraId="613DE07D" w14:textId="77777777" w:rsidR="00000000" w:rsidRDefault="00C01C43">
            <w:pPr>
              <w:rPr>
                <w:rFonts w:eastAsia="Times New Roman"/>
                <w:sz w:val="20"/>
                <w:szCs w:val="20"/>
              </w:rPr>
            </w:pPr>
          </w:p>
        </w:tc>
        <w:tc>
          <w:tcPr>
            <w:tcW w:w="50" w:type="pct"/>
            <w:vAlign w:val="center"/>
            <w:hideMark/>
          </w:tcPr>
          <w:p w14:paraId="1DD9F7F3" w14:textId="77777777" w:rsidR="00000000" w:rsidRDefault="00C01C43">
            <w:pPr>
              <w:rPr>
                <w:rFonts w:eastAsia="Times New Roman"/>
                <w:sz w:val="20"/>
                <w:szCs w:val="20"/>
              </w:rPr>
            </w:pPr>
          </w:p>
        </w:tc>
        <w:tc>
          <w:tcPr>
            <w:tcW w:w="581" w:type="pct"/>
            <w:vAlign w:val="center"/>
            <w:hideMark/>
          </w:tcPr>
          <w:p w14:paraId="4E09E544" w14:textId="77777777" w:rsidR="00000000" w:rsidRDefault="00C01C43">
            <w:pPr>
              <w:rPr>
                <w:rFonts w:eastAsia="Times New Roman"/>
                <w:sz w:val="20"/>
                <w:szCs w:val="20"/>
              </w:rPr>
            </w:pPr>
          </w:p>
        </w:tc>
        <w:tc>
          <w:tcPr>
            <w:tcW w:w="5" w:type="pct"/>
            <w:vAlign w:val="center"/>
            <w:hideMark/>
          </w:tcPr>
          <w:p w14:paraId="6CAD402F" w14:textId="77777777" w:rsidR="00000000" w:rsidRDefault="00C01C43">
            <w:pPr>
              <w:rPr>
                <w:rFonts w:eastAsia="Times New Roman"/>
                <w:sz w:val="20"/>
                <w:szCs w:val="20"/>
              </w:rPr>
            </w:pPr>
          </w:p>
        </w:tc>
        <w:tc>
          <w:tcPr>
            <w:tcW w:w="5" w:type="pct"/>
            <w:vAlign w:val="center"/>
            <w:hideMark/>
          </w:tcPr>
          <w:p w14:paraId="4D844D26" w14:textId="77777777" w:rsidR="00000000" w:rsidRDefault="00C01C43">
            <w:pPr>
              <w:rPr>
                <w:rFonts w:eastAsia="Times New Roman"/>
                <w:sz w:val="20"/>
                <w:szCs w:val="20"/>
              </w:rPr>
            </w:pPr>
          </w:p>
        </w:tc>
        <w:tc>
          <w:tcPr>
            <w:tcW w:w="26" w:type="pct"/>
            <w:vAlign w:val="center"/>
            <w:hideMark/>
          </w:tcPr>
          <w:p w14:paraId="6790913B" w14:textId="77777777" w:rsidR="00000000" w:rsidRDefault="00C01C43">
            <w:pPr>
              <w:rPr>
                <w:rFonts w:eastAsia="Times New Roman"/>
                <w:sz w:val="20"/>
                <w:szCs w:val="20"/>
              </w:rPr>
            </w:pPr>
          </w:p>
        </w:tc>
        <w:tc>
          <w:tcPr>
            <w:tcW w:w="5" w:type="pct"/>
            <w:vAlign w:val="center"/>
            <w:hideMark/>
          </w:tcPr>
          <w:p w14:paraId="302069E3" w14:textId="77777777" w:rsidR="00000000" w:rsidRDefault="00C01C43">
            <w:pPr>
              <w:rPr>
                <w:rFonts w:eastAsia="Times New Roman"/>
                <w:sz w:val="20"/>
                <w:szCs w:val="20"/>
              </w:rPr>
            </w:pPr>
          </w:p>
        </w:tc>
        <w:tc>
          <w:tcPr>
            <w:tcW w:w="50" w:type="pct"/>
            <w:vAlign w:val="center"/>
            <w:hideMark/>
          </w:tcPr>
          <w:p w14:paraId="668B010E" w14:textId="77777777" w:rsidR="00000000" w:rsidRDefault="00C01C43">
            <w:pPr>
              <w:rPr>
                <w:rFonts w:eastAsia="Times New Roman"/>
                <w:sz w:val="20"/>
                <w:szCs w:val="20"/>
              </w:rPr>
            </w:pPr>
          </w:p>
        </w:tc>
        <w:tc>
          <w:tcPr>
            <w:tcW w:w="582" w:type="pct"/>
            <w:vAlign w:val="center"/>
            <w:hideMark/>
          </w:tcPr>
          <w:p w14:paraId="7DB45CE2" w14:textId="77777777" w:rsidR="00000000" w:rsidRDefault="00C01C43">
            <w:pPr>
              <w:rPr>
                <w:rFonts w:eastAsia="Times New Roman"/>
                <w:sz w:val="20"/>
                <w:szCs w:val="20"/>
              </w:rPr>
            </w:pPr>
          </w:p>
        </w:tc>
        <w:tc>
          <w:tcPr>
            <w:tcW w:w="5" w:type="pct"/>
            <w:vAlign w:val="center"/>
            <w:hideMark/>
          </w:tcPr>
          <w:p w14:paraId="0B5C5266" w14:textId="77777777" w:rsidR="00000000" w:rsidRDefault="00C01C43">
            <w:pPr>
              <w:rPr>
                <w:rFonts w:eastAsia="Times New Roman"/>
                <w:sz w:val="20"/>
                <w:szCs w:val="20"/>
              </w:rPr>
            </w:pPr>
          </w:p>
        </w:tc>
      </w:tr>
      <w:tr w:rsidR="00000000" w14:paraId="43FA81D0" w14:textId="77777777">
        <w:trPr>
          <w:divId w:val="1683967784"/>
        </w:trPr>
        <w:tc>
          <w:tcPr>
            <w:tcW w:w="0" w:type="auto"/>
            <w:gridSpan w:val="3"/>
            <w:tcMar>
              <w:top w:w="30" w:type="dxa"/>
              <w:left w:w="20" w:type="dxa"/>
              <w:bottom w:w="30" w:type="dxa"/>
              <w:right w:w="20" w:type="dxa"/>
            </w:tcMar>
            <w:vAlign w:val="bottom"/>
            <w:hideMark/>
          </w:tcPr>
          <w:p w14:paraId="6010062D" w14:textId="77777777" w:rsidR="00000000" w:rsidRDefault="00C01C43">
            <w:pPr>
              <w:jc w:val="center"/>
              <w:rPr>
                <w:rFonts w:eastAsia="Times New Roman"/>
              </w:rPr>
            </w:pPr>
            <w:r>
              <w:rPr>
                <w:rFonts w:ascii="Arial" w:eastAsia="Times New Roman" w:hAnsi="Arial" w:cs="Arial"/>
                <w:b/>
                <w:bCs/>
                <w:color w:val="000000"/>
                <w:sz w:val="16"/>
                <w:szCs w:val="16"/>
              </w:rPr>
              <w:t>Plan name</w:t>
            </w:r>
          </w:p>
        </w:tc>
        <w:tc>
          <w:tcPr>
            <w:tcW w:w="0" w:type="auto"/>
            <w:gridSpan w:val="3"/>
            <w:tcMar>
              <w:top w:w="30" w:type="dxa"/>
              <w:left w:w="20" w:type="dxa"/>
              <w:bottom w:w="30" w:type="dxa"/>
              <w:right w:w="20" w:type="dxa"/>
            </w:tcMar>
            <w:vAlign w:val="bottom"/>
            <w:hideMark/>
          </w:tcPr>
          <w:p w14:paraId="61C9DF10" w14:textId="77777777" w:rsidR="00000000" w:rsidRDefault="00C01C43">
            <w:pPr>
              <w:jc w:val="center"/>
              <w:rPr>
                <w:rFonts w:eastAsia="Times New Roman"/>
              </w:rPr>
            </w:pPr>
            <w:r>
              <w:rPr>
                <w:rFonts w:ascii="Arial" w:eastAsia="Times New Roman" w:hAnsi="Arial" w:cs="Arial"/>
                <w:b/>
                <w:bCs/>
                <w:color w:val="000000"/>
                <w:sz w:val="16"/>
                <w:szCs w:val="16"/>
              </w:rPr>
              <w:t>Restricted Stock</w:t>
            </w:r>
          </w:p>
        </w:tc>
        <w:tc>
          <w:tcPr>
            <w:tcW w:w="0" w:type="auto"/>
            <w:gridSpan w:val="3"/>
            <w:tcMar>
              <w:top w:w="0" w:type="dxa"/>
              <w:left w:w="20" w:type="dxa"/>
              <w:bottom w:w="0" w:type="dxa"/>
              <w:right w:w="20" w:type="dxa"/>
            </w:tcMar>
            <w:vAlign w:val="center"/>
            <w:hideMark/>
          </w:tcPr>
          <w:p w14:paraId="187F462D"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65B3EC42" w14:textId="77777777" w:rsidR="00000000" w:rsidRDefault="00C01C43">
            <w:pPr>
              <w:jc w:val="center"/>
              <w:rPr>
                <w:rFonts w:eastAsia="Times New Roman"/>
              </w:rPr>
            </w:pPr>
            <w:r>
              <w:rPr>
                <w:rFonts w:ascii="Arial" w:eastAsia="Times New Roman" w:hAnsi="Arial" w:cs="Arial"/>
                <w:b/>
                <w:bCs/>
                <w:color w:val="000000"/>
                <w:sz w:val="16"/>
                <w:szCs w:val="16"/>
              </w:rPr>
              <w:t>RSUs</w:t>
            </w:r>
          </w:p>
        </w:tc>
        <w:tc>
          <w:tcPr>
            <w:tcW w:w="0" w:type="auto"/>
            <w:gridSpan w:val="3"/>
            <w:tcMar>
              <w:top w:w="0" w:type="dxa"/>
              <w:left w:w="20" w:type="dxa"/>
              <w:bottom w:w="0" w:type="dxa"/>
              <w:right w:w="20" w:type="dxa"/>
            </w:tcMar>
            <w:vAlign w:val="center"/>
            <w:hideMark/>
          </w:tcPr>
          <w:p w14:paraId="427B9DDB"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1B63BA65" w14:textId="77777777" w:rsidR="00000000" w:rsidRDefault="00C01C43">
            <w:pPr>
              <w:jc w:val="center"/>
              <w:rPr>
                <w:rFonts w:eastAsia="Times New Roman"/>
              </w:rPr>
            </w:pPr>
            <w:r>
              <w:rPr>
                <w:rFonts w:ascii="Arial" w:eastAsia="Times New Roman" w:hAnsi="Arial" w:cs="Arial"/>
                <w:b/>
                <w:bCs/>
                <w:color w:val="000000"/>
                <w:sz w:val="16"/>
                <w:szCs w:val="16"/>
              </w:rPr>
              <w:t>SSAR Awards</w:t>
            </w:r>
          </w:p>
        </w:tc>
        <w:tc>
          <w:tcPr>
            <w:tcW w:w="0" w:type="auto"/>
            <w:gridSpan w:val="3"/>
            <w:tcMar>
              <w:top w:w="0" w:type="dxa"/>
              <w:left w:w="20" w:type="dxa"/>
              <w:bottom w:w="0" w:type="dxa"/>
              <w:right w:w="20" w:type="dxa"/>
            </w:tcMar>
            <w:vAlign w:val="center"/>
            <w:hideMark/>
          </w:tcPr>
          <w:p w14:paraId="5BF27461"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7F679636" w14:textId="77777777" w:rsidR="00000000" w:rsidRDefault="00C01C43">
            <w:pPr>
              <w:jc w:val="center"/>
              <w:rPr>
                <w:rFonts w:eastAsia="Times New Roman"/>
              </w:rPr>
            </w:pPr>
            <w:r>
              <w:rPr>
                <w:rFonts w:ascii="Arial" w:eastAsia="Times New Roman" w:hAnsi="Arial" w:cs="Arial"/>
                <w:b/>
                <w:bCs/>
                <w:color w:val="000000"/>
                <w:sz w:val="16"/>
                <w:szCs w:val="16"/>
              </w:rPr>
              <w:t>Remaining shares of common stock available for future issuance</w:t>
            </w:r>
          </w:p>
        </w:tc>
      </w:tr>
      <w:tr w:rsidR="00000000" w14:paraId="20242897" w14:textId="77777777">
        <w:trPr>
          <w:divId w:val="168396778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C52ED7D" w14:textId="77777777" w:rsidR="00000000" w:rsidRDefault="00C01C43">
            <w:pPr>
              <w:divId w:val="1042436530"/>
              <w:rPr>
                <w:rFonts w:eastAsia="Times New Roman"/>
              </w:rPr>
            </w:pPr>
            <w:r>
              <w:rPr>
                <w:rFonts w:ascii="Arial" w:eastAsia="Times New Roman" w:hAnsi="Arial" w:cs="Arial"/>
                <w:color w:val="000000"/>
                <w:sz w:val="20"/>
                <w:szCs w:val="20"/>
              </w:rPr>
              <w:t>2016 Plan</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6DC7F4"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9C92B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B53D5C"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FFEC2E" w14:textId="77777777" w:rsidR="00000000" w:rsidRDefault="00C01C43">
            <w:pPr>
              <w:jc w:val="right"/>
              <w:rPr>
                <w:rFonts w:eastAsia="Times New Roman"/>
              </w:rPr>
            </w:pPr>
            <w:r>
              <w:rPr>
                <w:rFonts w:ascii="Arial" w:eastAsia="Times New Roman" w:hAnsi="Arial" w:cs="Arial"/>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1480EB"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A299E8"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F70749" w14:textId="77777777" w:rsidR="00000000" w:rsidRDefault="00C01C43">
            <w:pPr>
              <w:jc w:val="right"/>
              <w:rPr>
                <w:rFonts w:eastAsia="Times New Roman"/>
              </w:rPr>
            </w:pPr>
            <w:r>
              <w:rPr>
                <w:rFonts w:ascii="Arial" w:eastAsia="Times New Roman" w:hAnsi="Arial" w:cs="Arial"/>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DF699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E2992D"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1B2C96" w14:textId="77777777" w:rsidR="00000000" w:rsidRDefault="00C01C43">
            <w:pPr>
              <w:jc w:val="right"/>
              <w:rPr>
                <w:rFonts w:eastAsia="Times New Roman"/>
              </w:rPr>
            </w:pPr>
            <w:r>
              <w:rPr>
                <w:rFonts w:ascii="Arial" w:eastAsia="Times New Roman" w:hAnsi="Arial" w:cs="Arial"/>
                <w:color w:val="000000"/>
                <w:sz w:val="20"/>
                <w:szCs w:val="20"/>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8A5D24" w14:textId="77777777" w:rsidR="00000000" w:rsidRDefault="00C01C43">
            <w:pPr>
              <w:jc w:val="right"/>
              <w:rPr>
                <w:rFonts w:eastAsia="Times New Roman"/>
              </w:rPr>
            </w:pPr>
          </w:p>
        </w:tc>
      </w:tr>
      <w:tr w:rsidR="00000000" w14:paraId="4E0F207B" w14:textId="77777777">
        <w:trPr>
          <w:divId w:val="1683967784"/>
        </w:trPr>
        <w:tc>
          <w:tcPr>
            <w:tcW w:w="0" w:type="auto"/>
            <w:gridSpan w:val="3"/>
            <w:tcBorders>
              <w:top w:val="double" w:sz="6" w:space="0" w:color="000000"/>
              <w:bottom w:val="double" w:sz="6" w:space="0" w:color="000000"/>
            </w:tcBorders>
            <w:shd w:val="clear" w:color="auto" w:fill="FFFFFF"/>
            <w:tcMar>
              <w:top w:w="30" w:type="dxa"/>
              <w:left w:w="20" w:type="dxa"/>
              <w:bottom w:w="30" w:type="dxa"/>
              <w:right w:w="20" w:type="dxa"/>
            </w:tcMar>
            <w:vAlign w:val="bottom"/>
            <w:hideMark/>
          </w:tcPr>
          <w:p w14:paraId="2635DBA9" w14:textId="77777777" w:rsidR="00000000" w:rsidRDefault="00C01C43">
            <w:pPr>
              <w:divId w:val="750273066"/>
              <w:rPr>
                <w:rFonts w:eastAsia="Times New Roman"/>
              </w:rPr>
            </w:pPr>
            <w:r>
              <w:rPr>
                <w:rFonts w:ascii="Arial" w:eastAsia="Times New Roman" w:hAnsi="Arial" w:cs="Arial"/>
                <w:color w:val="000000"/>
                <w:sz w:val="20"/>
                <w:szCs w:val="20"/>
              </w:rPr>
              <w:t>2006 Plan</w:t>
            </w:r>
            <w:r>
              <w:rPr>
                <w:rFonts w:ascii="Arial" w:eastAsia="Times New Roman" w:hAnsi="Arial" w:cs="Arial"/>
                <w:color w:val="000000"/>
                <w:sz w:val="20"/>
                <w:szCs w:val="20"/>
              </w:rPr>
              <w:t xml:space="preserve"> </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B389BB6"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45BA9399" w14:textId="77777777" w:rsidR="00000000" w:rsidRDefault="00C01C43">
            <w:pPr>
              <w:jc w:val="right"/>
              <w:rPr>
                <w:rFonts w:eastAsia="Times New Roman"/>
              </w:rPr>
            </w:pPr>
          </w:p>
        </w:tc>
        <w:tc>
          <w:tcPr>
            <w:tcW w:w="0" w:type="auto"/>
            <w:gridSpan w:val="3"/>
            <w:tcBorders>
              <w:top w:val="double" w:sz="6" w:space="0" w:color="000000"/>
              <w:bottom w:val="double" w:sz="6" w:space="0" w:color="000000"/>
            </w:tcBorders>
            <w:shd w:val="clear" w:color="auto" w:fill="FFFFFF"/>
            <w:tcMar>
              <w:top w:w="0" w:type="dxa"/>
              <w:left w:w="20" w:type="dxa"/>
              <w:bottom w:w="0" w:type="dxa"/>
              <w:right w:w="20" w:type="dxa"/>
            </w:tcMar>
            <w:vAlign w:val="center"/>
            <w:hideMark/>
          </w:tcPr>
          <w:p w14:paraId="21BD1F70" w14:textId="77777777" w:rsidR="00000000" w:rsidRDefault="00C01C43">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6F6BD0C5" w14:textId="77777777" w:rsidR="00000000" w:rsidRDefault="00C01C43">
            <w:pPr>
              <w:jc w:val="right"/>
              <w:rPr>
                <w:rFonts w:eastAsia="Times New Roman"/>
              </w:rPr>
            </w:pPr>
            <w:r>
              <w:rPr>
                <w:rFonts w:ascii="Arial" w:eastAsia="Times New Roman" w:hAnsi="Arial" w:cs="Arial"/>
                <w:color w:val="000000"/>
                <w:sz w:val="20"/>
                <w:szCs w:val="20"/>
              </w:rPr>
              <w:t>0.4 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1635018A" w14:textId="77777777" w:rsidR="00000000" w:rsidRDefault="00C01C43">
            <w:pPr>
              <w:jc w:val="right"/>
              <w:rPr>
                <w:rFonts w:eastAsia="Times New Roman"/>
              </w:rPr>
            </w:pPr>
          </w:p>
        </w:tc>
        <w:tc>
          <w:tcPr>
            <w:tcW w:w="0" w:type="auto"/>
            <w:gridSpan w:val="3"/>
            <w:tcBorders>
              <w:top w:val="double" w:sz="6" w:space="0" w:color="000000"/>
              <w:bottom w:val="double" w:sz="6" w:space="0" w:color="000000"/>
            </w:tcBorders>
            <w:shd w:val="clear" w:color="auto" w:fill="FFFFFF"/>
            <w:tcMar>
              <w:top w:w="0" w:type="dxa"/>
              <w:left w:w="20" w:type="dxa"/>
              <w:bottom w:w="0" w:type="dxa"/>
              <w:right w:w="20" w:type="dxa"/>
            </w:tcMar>
            <w:vAlign w:val="center"/>
            <w:hideMark/>
          </w:tcPr>
          <w:p w14:paraId="0A88DB3C" w14:textId="77777777" w:rsidR="00000000" w:rsidRDefault="00C01C43">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3F4F46F1" w14:textId="77777777" w:rsidR="00000000" w:rsidRDefault="00C01C43">
            <w:pPr>
              <w:jc w:val="right"/>
              <w:rPr>
                <w:rFonts w:eastAsia="Times New Roman"/>
              </w:rPr>
            </w:pPr>
            <w:r>
              <w:rPr>
                <w:rFonts w:ascii="Arial" w:eastAsia="Times New Roman" w:hAnsi="Arial" w:cs="Arial"/>
                <w:color w:val="000000"/>
                <w:sz w:val="20"/>
                <w:szCs w:val="20"/>
              </w:rPr>
              <w:t>0.1 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5F616397" w14:textId="77777777" w:rsidR="00000000" w:rsidRDefault="00C01C43">
            <w:pPr>
              <w:jc w:val="right"/>
              <w:rPr>
                <w:rFonts w:eastAsia="Times New Roman"/>
              </w:rPr>
            </w:pPr>
          </w:p>
        </w:tc>
        <w:tc>
          <w:tcPr>
            <w:tcW w:w="0" w:type="auto"/>
            <w:gridSpan w:val="3"/>
            <w:tcBorders>
              <w:top w:val="double" w:sz="6" w:space="0" w:color="000000"/>
              <w:bottom w:val="double" w:sz="6" w:space="0" w:color="000000"/>
            </w:tcBorders>
            <w:shd w:val="clear" w:color="auto" w:fill="FFFFFF"/>
            <w:tcMar>
              <w:top w:w="0" w:type="dxa"/>
              <w:left w:w="20" w:type="dxa"/>
              <w:bottom w:w="0" w:type="dxa"/>
              <w:right w:w="20" w:type="dxa"/>
            </w:tcMar>
            <w:vAlign w:val="center"/>
            <w:hideMark/>
          </w:tcPr>
          <w:p w14:paraId="3636821B" w14:textId="77777777" w:rsidR="00000000" w:rsidRDefault="00C01C43">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642A0F03"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3C8ED1B0" w14:textId="77777777" w:rsidR="00000000" w:rsidRDefault="00C01C43">
            <w:pPr>
              <w:jc w:val="right"/>
              <w:rPr>
                <w:rFonts w:eastAsia="Times New Roman"/>
              </w:rPr>
            </w:pPr>
          </w:p>
        </w:tc>
      </w:tr>
    </w:tbl>
    <w:p w14:paraId="355DFCD4" w14:textId="77777777" w:rsidR="00000000" w:rsidRDefault="00C01C43">
      <w:pPr>
        <w:jc w:val="both"/>
        <w:divId w:val="1112090960"/>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 xml:space="preserve">As of December 31, 2020, unvested RSUs will vest between August 2021 and November 2023 and the outstanding SSAR Awards will expire between March 2022 </w:t>
      </w:r>
      <w:r>
        <w:rPr>
          <w:rFonts w:ascii="Arial" w:eastAsia="Times New Roman" w:hAnsi="Arial" w:cs="Arial"/>
          <w:color w:val="000000"/>
          <w:sz w:val="20"/>
          <w:szCs w:val="20"/>
        </w:rPr>
        <w:t>and March 2025.</w:t>
      </w:r>
    </w:p>
    <w:p w14:paraId="71B92B4D" w14:textId="77777777" w:rsidR="00000000" w:rsidRDefault="00C01C43">
      <w:pPr>
        <w:jc w:val="both"/>
        <w:divId w:val="2085105969"/>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As of December 31, 2020, unvested restricted stock will vest February 2021, unvested RSUs will vest between March 2021 and May 2021 and the outstanding SSAR Awards will expire March 2021. RSUs granted to non</w:t>
      </w:r>
      <w:r>
        <w:rPr>
          <w:rFonts w:ascii="Arial" w:eastAsia="Times New Roman" w:hAnsi="Arial" w:cs="Arial"/>
          <w:color w:val="000000"/>
          <w:sz w:val="20"/>
          <w:szCs w:val="20"/>
        </w:rPr>
        <w:noBreakHyphen/>
        <w:t xml:space="preserve">employee directors under the </w:t>
      </w:r>
      <w:r>
        <w:rPr>
          <w:rFonts w:ascii="Arial" w:eastAsia="Times New Roman" w:hAnsi="Arial" w:cs="Arial"/>
          <w:color w:val="000000"/>
          <w:sz w:val="20"/>
          <w:szCs w:val="20"/>
        </w:rPr>
        <w:t>2006 Plan prior to 2011 remain outstanding until the date the non</w:t>
      </w:r>
      <w:r>
        <w:rPr>
          <w:rFonts w:ascii="Arial" w:eastAsia="Times New Roman" w:hAnsi="Arial" w:cs="Arial"/>
          <w:color w:val="000000"/>
          <w:sz w:val="20"/>
          <w:szCs w:val="20"/>
        </w:rPr>
        <w:noBreakHyphen/>
        <w:t>employee director ceases, for any reason, to be a member of the Board of Directors.</w:t>
      </w:r>
    </w:p>
    <w:p w14:paraId="67BF2474" w14:textId="77777777" w:rsidR="00000000" w:rsidRDefault="00C01C43">
      <w:pPr>
        <w:jc w:val="center"/>
        <w:divId w:val="1310088071"/>
        <w:rPr>
          <w:rFonts w:eastAsia="Times New Roman"/>
        </w:rPr>
      </w:pPr>
      <w:r>
        <w:rPr>
          <w:rFonts w:ascii="Arial" w:eastAsia="Times New Roman" w:hAnsi="Arial" w:cs="Arial"/>
          <w:color w:val="000000"/>
          <w:sz w:val="16"/>
          <w:szCs w:val="16"/>
        </w:rPr>
        <w:t>75</w:t>
      </w:r>
    </w:p>
    <w:p w14:paraId="2AE65D2B" w14:textId="77777777" w:rsidR="00000000" w:rsidRDefault="00C01C43">
      <w:pPr>
        <w:rPr>
          <w:rFonts w:eastAsia="Times New Roman"/>
        </w:rPr>
      </w:pPr>
      <w:r>
        <w:rPr>
          <w:rFonts w:eastAsia="Times New Roman"/>
        </w:rPr>
        <w:pict w14:anchorId="6C4B31C9">
          <v:rect id="_x0000_i1104" style="width:0;height:1.5pt" o:hralign="center" o:hrstd="t" o:hr="t" fillcolor="#a0a0a0" stroked="f"/>
        </w:pict>
      </w:r>
    </w:p>
    <w:p w14:paraId="62910B18" w14:textId="77777777" w:rsidR="00000000" w:rsidRDefault="00C01C43">
      <w:pPr>
        <w:divId w:val="1168716538"/>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16374B4" w14:textId="77777777" w:rsidR="00000000" w:rsidRDefault="00C01C43">
      <w:pPr>
        <w:jc w:val="both"/>
        <w:divId w:val="857233806"/>
        <w:rPr>
          <w:rFonts w:eastAsia="Times New Roman"/>
        </w:rPr>
      </w:pPr>
      <w:r>
        <w:rPr>
          <w:rFonts w:ascii="Arial" w:eastAsia="Times New Roman" w:hAnsi="Arial" w:cs="Arial"/>
          <w:b/>
          <w:bCs/>
          <w:color w:val="000000"/>
          <w:sz w:val="20"/>
          <w:szCs w:val="20"/>
        </w:rPr>
        <w:t>Restricted Stock Awards</w:t>
      </w:r>
    </w:p>
    <w:p w14:paraId="0F810731" w14:textId="77777777" w:rsidR="00000000" w:rsidRDefault="00C01C43">
      <w:pPr>
        <w:jc w:val="both"/>
        <w:rPr>
          <w:rFonts w:eastAsia="Times New Roman"/>
        </w:rPr>
      </w:pPr>
      <w:r>
        <w:rPr>
          <w:rFonts w:ascii="Arial" w:eastAsia="Times New Roman" w:hAnsi="Arial" w:cs="Arial"/>
          <w:color w:val="000000"/>
          <w:sz w:val="20"/>
          <w:szCs w:val="20"/>
        </w:rPr>
        <w:t>The following table summarizes the status of our unvested restricted stock outstanding and related transactions for each of the following years (in millions, except weighted average grant-date fair value price and weighted average remaining vesting term da</w:t>
      </w:r>
      <w:r>
        <w:rPr>
          <w:rFonts w:ascii="Arial" w:eastAsia="Times New Roman" w:hAnsi="Arial" w:cs="Arial"/>
          <w:color w:val="000000"/>
          <w:sz w:val="20"/>
          <w:szCs w:val="20"/>
        </w:rPr>
        <w:t>ta):</w:t>
      </w:r>
    </w:p>
    <w:tbl>
      <w:tblPr>
        <w:tblW w:w="4992" w:type="pct"/>
        <w:tblCellMar>
          <w:top w:w="15" w:type="dxa"/>
          <w:left w:w="15" w:type="dxa"/>
          <w:bottom w:w="15" w:type="dxa"/>
          <w:right w:w="15" w:type="dxa"/>
        </w:tblCellMar>
        <w:tblLook w:val="04A0" w:firstRow="1" w:lastRow="0" w:firstColumn="1" w:lastColumn="0" w:noHBand="0" w:noVBand="1"/>
      </w:tblPr>
      <w:tblGrid>
        <w:gridCol w:w="46"/>
        <w:gridCol w:w="3760"/>
        <w:gridCol w:w="36"/>
        <w:gridCol w:w="65"/>
        <w:gridCol w:w="909"/>
        <w:gridCol w:w="36"/>
        <w:gridCol w:w="36"/>
        <w:gridCol w:w="36"/>
        <w:gridCol w:w="36"/>
        <w:gridCol w:w="133"/>
        <w:gridCol w:w="898"/>
        <w:gridCol w:w="36"/>
        <w:gridCol w:w="36"/>
        <w:gridCol w:w="36"/>
        <w:gridCol w:w="36"/>
        <w:gridCol w:w="133"/>
        <w:gridCol w:w="898"/>
        <w:gridCol w:w="36"/>
        <w:gridCol w:w="36"/>
        <w:gridCol w:w="36"/>
        <w:gridCol w:w="36"/>
        <w:gridCol w:w="68"/>
        <w:gridCol w:w="879"/>
        <w:gridCol w:w="36"/>
      </w:tblGrid>
      <w:tr w:rsidR="00000000" w14:paraId="42ACC71D" w14:textId="77777777">
        <w:trPr>
          <w:divId w:val="1836267100"/>
        </w:trPr>
        <w:tc>
          <w:tcPr>
            <w:tcW w:w="50" w:type="pct"/>
            <w:vAlign w:val="center"/>
            <w:hideMark/>
          </w:tcPr>
          <w:p w14:paraId="63FDA88F" w14:textId="77777777" w:rsidR="00000000" w:rsidRDefault="00C01C43">
            <w:pPr>
              <w:jc w:val="both"/>
              <w:rPr>
                <w:rFonts w:eastAsia="Times New Roman"/>
              </w:rPr>
            </w:pPr>
          </w:p>
        </w:tc>
        <w:tc>
          <w:tcPr>
            <w:tcW w:w="2287" w:type="pct"/>
            <w:vAlign w:val="center"/>
            <w:hideMark/>
          </w:tcPr>
          <w:p w14:paraId="153853EA" w14:textId="77777777" w:rsidR="00000000" w:rsidRDefault="00C01C43">
            <w:pPr>
              <w:rPr>
                <w:rFonts w:eastAsia="Times New Roman"/>
                <w:sz w:val="20"/>
                <w:szCs w:val="20"/>
              </w:rPr>
            </w:pPr>
          </w:p>
        </w:tc>
        <w:tc>
          <w:tcPr>
            <w:tcW w:w="5" w:type="pct"/>
            <w:vAlign w:val="center"/>
            <w:hideMark/>
          </w:tcPr>
          <w:p w14:paraId="2CF7E2F1" w14:textId="77777777" w:rsidR="00000000" w:rsidRDefault="00C01C43">
            <w:pPr>
              <w:rPr>
                <w:rFonts w:eastAsia="Times New Roman"/>
                <w:sz w:val="20"/>
                <w:szCs w:val="20"/>
              </w:rPr>
            </w:pPr>
          </w:p>
        </w:tc>
        <w:tc>
          <w:tcPr>
            <w:tcW w:w="50" w:type="pct"/>
            <w:vAlign w:val="center"/>
            <w:hideMark/>
          </w:tcPr>
          <w:p w14:paraId="3CCA1476" w14:textId="77777777" w:rsidR="00000000" w:rsidRDefault="00C01C43">
            <w:pPr>
              <w:rPr>
                <w:rFonts w:eastAsia="Times New Roman"/>
                <w:sz w:val="20"/>
                <w:szCs w:val="20"/>
              </w:rPr>
            </w:pPr>
          </w:p>
        </w:tc>
        <w:tc>
          <w:tcPr>
            <w:tcW w:w="581" w:type="pct"/>
            <w:vAlign w:val="center"/>
            <w:hideMark/>
          </w:tcPr>
          <w:p w14:paraId="2F7FD5B3" w14:textId="77777777" w:rsidR="00000000" w:rsidRDefault="00C01C43">
            <w:pPr>
              <w:rPr>
                <w:rFonts w:eastAsia="Times New Roman"/>
                <w:sz w:val="20"/>
                <w:szCs w:val="20"/>
              </w:rPr>
            </w:pPr>
          </w:p>
        </w:tc>
        <w:tc>
          <w:tcPr>
            <w:tcW w:w="5" w:type="pct"/>
            <w:vAlign w:val="center"/>
            <w:hideMark/>
          </w:tcPr>
          <w:p w14:paraId="5635FDE8" w14:textId="77777777" w:rsidR="00000000" w:rsidRDefault="00C01C43">
            <w:pPr>
              <w:rPr>
                <w:rFonts w:eastAsia="Times New Roman"/>
                <w:sz w:val="20"/>
                <w:szCs w:val="20"/>
              </w:rPr>
            </w:pPr>
          </w:p>
        </w:tc>
        <w:tc>
          <w:tcPr>
            <w:tcW w:w="5" w:type="pct"/>
            <w:vAlign w:val="center"/>
            <w:hideMark/>
          </w:tcPr>
          <w:p w14:paraId="705A8ADD" w14:textId="77777777" w:rsidR="00000000" w:rsidRDefault="00C01C43">
            <w:pPr>
              <w:rPr>
                <w:rFonts w:eastAsia="Times New Roman"/>
                <w:sz w:val="20"/>
                <w:szCs w:val="20"/>
              </w:rPr>
            </w:pPr>
          </w:p>
        </w:tc>
        <w:tc>
          <w:tcPr>
            <w:tcW w:w="26" w:type="pct"/>
            <w:vAlign w:val="center"/>
            <w:hideMark/>
          </w:tcPr>
          <w:p w14:paraId="5C8E3B77" w14:textId="77777777" w:rsidR="00000000" w:rsidRDefault="00C01C43">
            <w:pPr>
              <w:rPr>
                <w:rFonts w:eastAsia="Times New Roman"/>
                <w:sz w:val="20"/>
                <w:szCs w:val="20"/>
              </w:rPr>
            </w:pPr>
          </w:p>
        </w:tc>
        <w:tc>
          <w:tcPr>
            <w:tcW w:w="5" w:type="pct"/>
            <w:vAlign w:val="center"/>
            <w:hideMark/>
          </w:tcPr>
          <w:p w14:paraId="578C35BF" w14:textId="77777777" w:rsidR="00000000" w:rsidRDefault="00C01C43">
            <w:pPr>
              <w:rPr>
                <w:rFonts w:eastAsia="Times New Roman"/>
                <w:sz w:val="20"/>
                <w:szCs w:val="20"/>
              </w:rPr>
            </w:pPr>
          </w:p>
        </w:tc>
        <w:tc>
          <w:tcPr>
            <w:tcW w:w="50" w:type="pct"/>
            <w:vAlign w:val="center"/>
            <w:hideMark/>
          </w:tcPr>
          <w:p w14:paraId="38F6C158" w14:textId="77777777" w:rsidR="00000000" w:rsidRDefault="00C01C43">
            <w:pPr>
              <w:rPr>
                <w:rFonts w:eastAsia="Times New Roman"/>
                <w:sz w:val="20"/>
                <w:szCs w:val="20"/>
              </w:rPr>
            </w:pPr>
          </w:p>
        </w:tc>
        <w:tc>
          <w:tcPr>
            <w:tcW w:w="581" w:type="pct"/>
            <w:vAlign w:val="center"/>
            <w:hideMark/>
          </w:tcPr>
          <w:p w14:paraId="6D642874" w14:textId="77777777" w:rsidR="00000000" w:rsidRDefault="00C01C43">
            <w:pPr>
              <w:rPr>
                <w:rFonts w:eastAsia="Times New Roman"/>
                <w:sz w:val="20"/>
                <w:szCs w:val="20"/>
              </w:rPr>
            </w:pPr>
          </w:p>
        </w:tc>
        <w:tc>
          <w:tcPr>
            <w:tcW w:w="5" w:type="pct"/>
            <w:vAlign w:val="center"/>
            <w:hideMark/>
          </w:tcPr>
          <w:p w14:paraId="3670E207" w14:textId="77777777" w:rsidR="00000000" w:rsidRDefault="00C01C43">
            <w:pPr>
              <w:rPr>
                <w:rFonts w:eastAsia="Times New Roman"/>
                <w:sz w:val="20"/>
                <w:szCs w:val="20"/>
              </w:rPr>
            </w:pPr>
          </w:p>
        </w:tc>
        <w:tc>
          <w:tcPr>
            <w:tcW w:w="5" w:type="pct"/>
            <w:vAlign w:val="center"/>
            <w:hideMark/>
          </w:tcPr>
          <w:p w14:paraId="239BF1FF" w14:textId="77777777" w:rsidR="00000000" w:rsidRDefault="00C01C43">
            <w:pPr>
              <w:rPr>
                <w:rFonts w:eastAsia="Times New Roman"/>
                <w:sz w:val="20"/>
                <w:szCs w:val="20"/>
              </w:rPr>
            </w:pPr>
          </w:p>
        </w:tc>
        <w:tc>
          <w:tcPr>
            <w:tcW w:w="26" w:type="pct"/>
            <w:vAlign w:val="center"/>
            <w:hideMark/>
          </w:tcPr>
          <w:p w14:paraId="309F9A1B" w14:textId="77777777" w:rsidR="00000000" w:rsidRDefault="00C01C43">
            <w:pPr>
              <w:rPr>
                <w:rFonts w:eastAsia="Times New Roman"/>
                <w:sz w:val="20"/>
                <w:szCs w:val="20"/>
              </w:rPr>
            </w:pPr>
          </w:p>
        </w:tc>
        <w:tc>
          <w:tcPr>
            <w:tcW w:w="5" w:type="pct"/>
            <w:vAlign w:val="center"/>
            <w:hideMark/>
          </w:tcPr>
          <w:p w14:paraId="75E7C8CF" w14:textId="77777777" w:rsidR="00000000" w:rsidRDefault="00C01C43">
            <w:pPr>
              <w:rPr>
                <w:rFonts w:eastAsia="Times New Roman"/>
                <w:sz w:val="20"/>
                <w:szCs w:val="20"/>
              </w:rPr>
            </w:pPr>
          </w:p>
        </w:tc>
        <w:tc>
          <w:tcPr>
            <w:tcW w:w="50" w:type="pct"/>
            <w:vAlign w:val="center"/>
            <w:hideMark/>
          </w:tcPr>
          <w:p w14:paraId="580FA695" w14:textId="77777777" w:rsidR="00000000" w:rsidRDefault="00C01C43">
            <w:pPr>
              <w:rPr>
                <w:rFonts w:eastAsia="Times New Roman"/>
                <w:sz w:val="20"/>
                <w:szCs w:val="20"/>
              </w:rPr>
            </w:pPr>
          </w:p>
        </w:tc>
        <w:tc>
          <w:tcPr>
            <w:tcW w:w="581" w:type="pct"/>
            <w:vAlign w:val="center"/>
            <w:hideMark/>
          </w:tcPr>
          <w:p w14:paraId="6B7685DB" w14:textId="77777777" w:rsidR="00000000" w:rsidRDefault="00C01C43">
            <w:pPr>
              <w:rPr>
                <w:rFonts w:eastAsia="Times New Roman"/>
                <w:sz w:val="20"/>
                <w:szCs w:val="20"/>
              </w:rPr>
            </w:pPr>
          </w:p>
        </w:tc>
        <w:tc>
          <w:tcPr>
            <w:tcW w:w="5" w:type="pct"/>
            <w:vAlign w:val="center"/>
            <w:hideMark/>
          </w:tcPr>
          <w:p w14:paraId="3CFA19B2" w14:textId="77777777" w:rsidR="00000000" w:rsidRDefault="00C01C43">
            <w:pPr>
              <w:rPr>
                <w:rFonts w:eastAsia="Times New Roman"/>
                <w:sz w:val="20"/>
                <w:szCs w:val="20"/>
              </w:rPr>
            </w:pPr>
          </w:p>
        </w:tc>
        <w:tc>
          <w:tcPr>
            <w:tcW w:w="5" w:type="pct"/>
            <w:vAlign w:val="center"/>
            <w:hideMark/>
          </w:tcPr>
          <w:p w14:paraId="61B8944F" w14:textId="77777777" w:rsidR="00000000" w:rsidRDefault="00C01C43">
            <w:pPr>
              <w:rPr>
                <w:rFonts w:eastAsia="Times New Roman"/>
                <w:sz w:val="20"/>
                <w:szCs w:val="20"/>
              </w:rPr>
            </w:pPr>
          </w:p>
        </w:tc>
        <w:tc>
          <w:tcPr>
            <w:tcW w:w="26" w:type="pct"/>
            <w:vAlign w:val="center"/>
            <w:hideMark/>
          </w:tcPr>
          <w:p w14:paraId="011E81F4" w14:textId="77777777" w:rsidR="00000000" w:rsidRDefault="00C01C43">
            <w:pPr>
              <w:rPr>
                <w:rFonts w:eastAsia="Times New Roman"/>
                <w:sz w:val="20"/>
                <w:szCs w:val="20"/>
              </w:rPr>
            </w:pPr>
          </w:p>
        </w:tc>
        <w:tc>
          <w:tcPr>
            <w:tcW w:w="5" w:type="pct"/>
            <w:vAlign w:val="center"/>
            <w:hideMark/>
          </w:tcPr>
          <w:p w14:paraId="0A6C2CA9" w14:textId="77777777" w:rsidR="00000000" w:rsidRDefault="00C01C43">
            <w:pPr>
              <w:rPr>
                <w:rFonts w:eastAsia="Times New Roman"/>
                <w:sz w:val="20"/>
                <w:szCs w:val="20"/>
              </w:rPr>
            </w:pPr>
          </w:p>
        </w:tc>
        <w:tc>
          <w:tcPr>
            <w:tcW w:w="50" w:type="pct"/>
            <w:vAlign w:val="center"/>
            <w:hideMark/>
          </w:tcPr>
          <w:p w14:paraId="72F9F9A7" w14:textId="77777777" w:rsidR="00000000" w:rsidRDefault="00C01C43">
            <w:pPr>
              <w:rPr>
                <w:rFonts w:eastAsia="Times New Roman"/>
                <w:sz w:val="20"/>
                <w:szCs w:val="20"/>
              </w:rPr>
            </w:pPr>
          </w:p>
        </w:tc>
        <w:tc>
          <w:tcPr>
            <w:tcW w:w="582" w:type="pct"/>
            <w:vAlign w:val="center"/>
            <w:hideMark/>
          </w:tcPr>
          <w:p w14:paraId="7AEB7217" w14:textId="77777777" w:rsidR="00000000" w:rsidRDefault="00C01C43">
            <w:pPr>
              <w:rPr>
                <w:rFonts w:eastAsia="Times New Roman"/>
                <w:sz w:val="20"/>
                <w:szCs w:val="20"/>
              </w:rPr>
            </w:pPr>
          </w:p>
        </w:tc>
        <w:tc>
          <w:tcPr>
            <w:tcW w:w="5" w:type="pct"/>
            <w:vAlign w:val="center"/>
            <w:hideMark/>
          </w:tcPr>
          <w:p w14:paraId="3584CCAD" w14:textId="77777777" w:rsidR="00000000" w:rsidRDefault="00C01C43">
            <w:pPr>
              <w:rPr>
                <w:rFonts w:eastAsia="Times New Roman"/>
                <w:sz w:val="20"/>
                <w:szCs w:val="20"/>
              </w:rPr>
            </w:pPr>
          </w:p>
        </w:tc>
      </w:tr>
      <w:tr w:rsidR="00000000" w14:paraId="43D055D1" w14:textId="77777777">
        <w:trPr>
          <w:divId w:val="1836267100"/>
        </w:trPr>
        <w:tc>
          <w:tcPr>
            <w:tcW w:w="0" w:type="auto"/>
            <w:gridSpan w:val="3"/>
            <w:tcMar>
              <w:top w:w="30" w:type="dxa"/>
              <w:left w:w="20" w:type="dxa"/>
              <w:bottom w:w="30" w:type="dxa"/>
              <w:right w:w="20" w:type="dxa"/>
            </w:tcMar>
            <w:vAlign w:val="bottom"/>
            <w:hideMark/>
          </w:tcPr>
          <w:p w14:paraId="795F7B33" w14:textId="77777777" w:rsidR="00000000" w:rsidRDefault="00C01C43">
            <w:pPr>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14:paraId="5F06414C" w14:textId="77777777" w:rsidR="00000000" w:rsidRDefault="00C01C43">
            <w:pPr>
              <w:jc w:val="center"/>
              <w:rPr>
                <w:rFonts w:eastAsia="Times New Roman"/>
              </w:rPr>
            </w:pPr>
            <w:r>
              <w:rPr>
                <w:rFonts w:ascii="Arial" w:eastAsia="Times New Roman" w:hAnsi="Arial" w:cs="Arial"/>
                <w:b/>
                <w:bCs/>
                <w:color w:val="000000"/>
                <w:sz w:val="16"/>
                <w:szCs w:val="16"/>
              </w:rPr>
              <w:t>Unvested Restricted Stock</w:t>
            </w:r>
          </w:p>
        </w:tc>
        <w:tc>
          <w:tcPr>
            <w:tcW w:w="0" w:type="auto"/>
            <w:gridSpan w:val="3"/>
            <w:tcMar>
              <w:top w:w="0" w:type="dxa"/>
              <w:left w:w="20" w:type="dxa"/>
              <w:bottom w:w="0" w:type="dxa"/>
              <w:right w:w="20" w:type="dxa"/>
            </w:tcMar>
            <w:vAlign w:val="center"/>
            <w:hideMark/>
          </w:tcPr>
          <w:p w14:paraId="0E03DE7F"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457B7877" w14:textId="77777777" w:rsidR="00000000" w:rsidRDefault="00C01C43">
            <w:pPr>
              <w:jc w:val="center"/>
              <w:rPr>
                <w:rFonts w:eastAsia="Times New Roman"/>
              </w:rPr>
            </w:pPr>
            <w:r>
              <w:rPr>
                <w:rFonts w:ascii="Arial" w:eastAsia="Times New Roman" w:hAnsi="Arial" w:cs="Arial"/>
                <w:b/>
                <w:bCs/>
                <w:color w:val="000000"/>
                <w:sz w:val="16"/>
                <w:szCs w:val="16"/>
              </w:rPr>
              <w:t>Weighted Average Grant date Fair Value Price</w:t>
            </w:r>
          </w:p>
        </w:tc>
        <w:tc>
          <w:tcPr>
            <w:tcW w:w="0" w:type="auto"/>
            <w:gridSpan w:val="3"/>
            <w:tcMar>
              <w:top w:w="0" w:type="dxa"/>
              <w:left w:w="20" w:type="dxa"/>
              <w:bottom w:w="0" w:type="dxa"/>
              <w:right w:w="20" w:type="dxa"/>
            </w:tcMar>
            <w:vAlign w:val="center"/>
            <w:hideMark/>
          </w:tcPr>
          <w:p w14:paraId="2CC94E44"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41CC42CC" w14:textId="77777777" w:rsidR="00000000" w:rsidRDefault="00C01C43">
            <w:pPr>
              <w:jc w:val="center"/>
              <w:rPr>
                <w:rFonts w:eastAsia="Times New Roman"/>
              </w:rPr>
            </w:pPr>
            <w:r>
              <w:rPr>
                <w:rFonts w:ascii="Arial" w:eastAsia="Times New Roman" w:hAnsi="Arial" w:cs="Arial"/>
                <w:b/>
                <w:bCs/>
                <w:color w:val="000000"/>
                <w:sz w:val="16"/>
                <w:szCs w:val="16"/>
              </w:rPr>
              <w:t>Aggregate Intrinsic Value</w:t>
            </w:r>
          </w:p>
        </w:tc>
        <w:tc>
          <w:tcPr>
            <w:tcW w:w="0" w:type="auto"/>
            <w:gridSpan w:val="3"/>
            <w:tcMar>
              <w:top w:w="0" w:type="dxa"/>
              <w:left w:w="20" w:type="dxa"/>
              <w:bottom w:w="0" w:type="dxa"/>
              <w:right w:w="20" w:type="dxa"/>
            </w:tcMar>
            <w:vAlign w:val="center"/>
            <w:hideMark/>
          </w:tcPr>
          <w:p w14:paraId="542B5982"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1E15C26B" w14:textId="77777777" w:rsidR="00000000" w:rsidRDefault="00C01C43">
            <w:pPr>
              <w:jc w:val="center"/>
              <w:rPr>
                <w:rFonts w:eastAsia="Times New Roman"/>
              </w:rPr>
            </w:pPr>
            <w:r>
              <w:rPr>
                <w:rFonts w:ascii="Arial" w:eastAsia="Times New Roman" w:hAnsi="Arial" w:cs="Arial"/>
                <w:b/>
                <w:bCs/>
                <w:color w:val="000000"/>
                <w:sz w:val="16"/>
                <w:szCs w:val="16"/>
              </w:rPr>
              <w:t>Weighted Average Remaining Vesting Term (in Years)</w:t>
            </w:r>
          </w:p>
        </w:tc>
      </w:tr>
      <w:tr w:rsidR="00000000" w14:paraId="413B4A9A" w14:textId="77777777">
        <w:trPr>
          <w:divId w:val="183626710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A790FB0" w14:textId="77777777" w:rsidR="00000000" w:rsidRDefault="00C01C43">
            <w:pPr>
              <w:rPr>
                <w:rFonts w:eastAsia="Times New Roman"/>
              </w:rPr>
            </w:pPr>
            <w:r>
              <w:rPr>
                <w:rFonts w:ascii="Arial" w:eastAsia="Times New Roman" w:hAnsi="Arial" w:cs="Arial"/>
                <w:color w:val="000000"/>
                <w:sz w:val="20"/>
                <w:szCs w:val="20"/>
              </w:rPr>
              <w:t>As of December 31, 2017</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5BA7D6" w14:textId="77777777" w:rsidR="00000000" w:rsidRDefault="00C01C43">
            <w:pPr>
              <w:jc w:val="center"/>
              <w:rPr>
                <w:rFonts w:eastAsia="Times New Roman"/>
              </w:rPr>
            </w:pPr>
            <w:r>
              <w:rPr>
                <w:rFonts w:ascii="Arial" w:eastAsia="Times New Roman" w:hAnsi="Arial" w:cs="Arial"/>
                <w:color w:val="000000"/>
                <w:sz w:val="20"/>
                <w:szCs w:val="20"/>
              </w:rPr>
              <w:t>0.3</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426880" w14:textId="77777777" w:rsidR="00000000" w:rsidRDefault="00C01C43">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AFD35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4B719B" w14:textId="77777777" w:rsidR="00000000" w:rsidRDefault="00C01C43">
            <w:pPr>
              <w:jc w:val="right"/>
              <w:rPr>
                <w:rFonts w:eastAsia="Times New Roman"/>
              </w:rPr>
            </w:pPr>
            <w:r>
              <w:rPr>
                <w:rFonts w:ascii="Arial" w:eastAsia="Times New Roman" w:hAnsi="Arial" w:cs="Arial"/>
                <w:color w:val="000000"/>
                <w:sz w:val="20"/>
                <w:szCs w:val="20"/>
              </w:rPr>
              <w:t>45.80 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522400"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3BBB90"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97598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53790C" w14:textId="77777777" w:rsidR="00000000" w:rsidRDefault="00C01C43">
            <w:pPr>
              <w:jc w:val="right"/>
              <w:rPr>
                <w:rFonts w:eastAsia="Times New Roman"/>
              </w:rPr>
            </w:pPr>
            <w:r>
              <w:rPr>
                <w:rFonts w:ascii="Arial" w:eastAsia="Times New Roman" w:hAnsi="Arial" w:cs="Arial"/>
                <w:color w:val="000000"/>
                <w:sz w:val="20"/>
                <w:szCs w:val="20"/>
              </w:rPr>
              <w:t>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57A0BE"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BE7BA1"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B99AAD4" w14:textId="77777777" w:rsidR="00000000" w:rsidRDefault="00C01C43">
            <w:pPr>
              <w:jc w:val="center"/>
              <w:rPr>
                <w:rFonts w:eastAsia="Times New Roman"/>
              </w:rPr>
            </w:pPr>
            <w:r>
              <w:rPr>
                <w:rFonts w:ascii="Arial" w:eastAsia="Times New Roman" w:hAnsi="Arial" w:cs="Arial"/>
                <w:color w:val="000000"/>
                <w:sz w:val="20"/>
                <w:szCs w:val="20"/>
              </w:rPr>
              <w:t>0.9</w:t>
            </w:r>
          </w:p>
        </w:tc>
      </w:tr>
      <w:tr w:rsidR="00000000" w14:paraId="0A7B42DE" w14:textId="77777777">
        <w:trPr>
          <w:divId w:val="1836267100"/>
        </w:trPr>
        <w:tc>
          <w:tcPr>
            <w:tcW w:w="0" w:type="auto"/>
            <w:gridSpan w:val="3"/>
            <w:tcMar>
              <w:top w:w="30" w:type="dxa"/>
              <w:left w:w="20" w:type="dxa"/>
              <w:bottom w:w="30" w:type="dxa"/>
              <w:right w:w="20" w:type="dxa"/>
            </w:tcMar>
            <w:vAlign w:val="bottom"/>
            <w:hideMark/>
          </w:tcPr>
          <w:p w14:paraId="1AA9C9A5" w14:textId="77777777" w:rsidR="00000000" w:rsidRDefault="00C01C43">
            <w:pPr>
              <w:rPr>
                <w:rFonts w:eastAsia="Times New Roman"/>
              </w:rPr>
            </w:pPr>
            <w:r>
              <w:rPr>
                <w:rFonts w:ascii="Arial" w:eastAsia="Times New Roman" w:hAnsi="Arial" w:cs="Arial"/>
                <w:color w:val="000000"/>
                <w:sz w:val="20"/>
                <w:szCs w:val="20"/>
              </w:rPr>
              <w:t>Granted</w:t>
            </w:r>
          </w:p>
        </w:tc>
        <w:tc>
          <w:tcPr>
            <w:tcW w:w="0" w:type="auto"/>
            <w:gridSpan w:val="3"/>
            <w:tcMar>
              <w:top w:w="30" w:type="dxa"/>
              <w:left w:w="20" w:type="dxa"/>
              <w:bottom w:w="30" w:type="dxa"/>
              <w:right w:w="20" w:type="dxa"/>
            </w:tcMar>
            <w:vAlign w:val="bottom"/>
            <w:hideMark/>
          </w:tcPr>
          <w:p w14:paraId="7EA96E4B"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14:paraId="44F92BA8" w14:textId="77777777" w:rsidR="00000000" w:rsidRDefault="00C01C43">
            <w:pPr>
              <w:jc w:val="center"/>
              <w:rPr>
                <w:rFonts w:eastAsia="Times New Roman"/>
              </w:rPr>
            </w:pPr>
          </w:p>
        </w:tc>
        <w:tc>
          <w:tcPr>
            <w:tcW w:w="0" w:type="auto"/>
            <w:gridSpan w:val="2"/>
            <w:tcMar>
              <w:top w:w="30" w:type="dxa"/>
              <w:left w:w="20" w:type="dxa"/>
              <w:bottom w:w="30" w:type="dxa"/>
              <w:right w:w="0" w:type="dxa"/>
            </w:tcMar>
            <w:vAlign w:val="bottom"/>
            <w:hideMark/>
          </w:tcPr>
          <w:p w14:paraId="260CA1FA"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14:paraId="4DAEB468"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424BE9A6" w14:textId="77777777" w:rsidR="00000000" w:rsidRDefault="00C01C43">
            <w:pPr>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754F6669"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218B393"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8ADB166" w14:textId="77777777" w:rsidR="00000000" w:rsidRDefault="00C01C43">
            <w:pPr>
              <w:rPr>
                <w:rFonts w:eastAsia="Times New Roman"/>
                <w:sz w:val="20"/>
                <w:szCs w:val="20"/>
              </w:rPr>
            </w:pPr>
          </w:p>
        </w:tc>
      </w:tr>
      <w:tr w:rsidR="00000000" w14:paraId="75634C13" w14:textId="77777777">
        <w:trPr>
          <w:divId w:val="1836267100"/>
        </w:trPr>
        <w:tc>
          <w:tcPr>
            <w:tcW w:w="0" w:type="auto"/>
            <w:gridSpan w:val="3"/>
            <w:shd w:val="clear" w:color="auto" w:fill="CCEEFF"/>
            <w:tcMar>
              <w:top w:w="30" w:type="dxa"/>
              <w:left w:w="20" w:type="dxa"/>
              <w:bottom w:w="30" w:type="dxa"/>
              <w:right w:w="20" w:type="dxa"/>
            </w:tcMar>
            <w:vAlign w:val="bottom"/>
            <w:hideMark/>
          </w:tcPr>
          <w:p w14:paraId="35C0FA95" w14:textId="77777777" w:rsidR="00000000" w:rsidRDefault="00C01C43">
            <w:pPr>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4759FCB3" w14:textId="77777777" w:rsidR="00000000" w:rsidRDefault="00C01C43">
            <w:pPr>
              <w:jc w:val="center"/>
              <w:rPr>
                <w:rFonts w:eastAsia="Times New Roman"/>
              </w:rPr>
            </w:pPr>
            <w:r>
              <w:rPr>
                <w:rFonts w:ascii="Arial" w:eastAsia="Times New Roman" w:hAnsi="Arial" w:cs="Arial"/>
                <w:color w:val="000000"/>
                <w:sz w:val="20"/>
                <w:szCs w:val="20"/>
              </w:rPr>
              <w:t>(0.2)</w:t>
            </w:r>
          </w:p>
        </w:tc>
        <w:tc>
          <w:tcPr>
            <w:tcW w:w="0" w:type="auto"/>
            <w:gridSpan w:val="3"/>
            <w:shd w:val="clear" w:color="auto" w:fill="CCEEFF"/>
            <w:tcMar>
              <w:top w:w="0" w:type="dxa"/>
              <w:left w:w="20" w:type="dxa"/>
              <w:bottom w:w="0" w:type="dxa"/>
              <w:right w:w="20" w:type="dxa"/>
            </w:tcMar>
            <w:vAlign w:val="center"/>
            <w:hideMark/>
          </w:tcPr>
          <w:p w14:paraId="6240386A" w14:textId="77777777" w:rsidR="00000000" w:rsidRDefault="00C01C4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C12F18" w14:textId="77777777" w:rsidR="00000000" w:rsidRDefault="00C01C43">
            <w:pPr>
              <w:jc w:val="right"/>
              <w:rPr>
                <w:rFonts w:eastAsia="Times New Roman"/>
              </w:rPr>
            </w:pPr>
            <w:r>
              <w:rPr>
                <w:rFonts w:ascii="Arial" w:eastAsia="Times New Roman" w:hAnsi="Arial" w:cs="Arial"/>
                <w:color w:val="000000"/>
                <w:sz w:val="20"/>
                <w:szCs w:val="20"/>
              </w:rPr>
              <w:t>47.48 </w:t>
            </w:r>
          </w:p>
        </w:tc>
        <w:tc>
          <w:tcPr>
            <w:tcW w:w="0" w:type="auto"/>
            <w:shd w:val="clear" w:color="auto" w:fill="CCEEFF"/>
            <w:tcMar>
              <w:top w:w="30" w:type="dxa"/>
              <w:left w:w="0" w:type="dxa"/>
              <w:bottom w:w="30" w:type="dxa"/>
              <w:right w:w="20" w:type="dxa"/>
            </w:tcMar>
            <w:vAlign w:val="bottom"/>
            <w:hideMark/>
          </w:tcPr>
          <w:p w14:paraId="12389DD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0BE6B9"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9F01B9"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121117"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267501" w14:textId="77777777" w:rsidR="00000000" w:rsidRDefault="00C01C43">
            <w:pPr>
              <w:rPr>
                <w:rFonts w:eastAsia="Times New Roman"/>
                <w:sz w:val="20"/>
                <w:szCs w:val="20"/>
              </w:rPr>
            </w:pPr>
          </w:p>
        </w:tc>
      </w:tr>
      <w:tr w:rsidR="00000000" w14:paraId="5881F4A8" w14:textId="77777777">
        <w:trPr>
          <w:divId w:val="1836267100"/>
        </w:trPr>
        <w:tc>
          <w:tcPr>
            <w:tcW w:w="0" w:type="auto"/>
            <w:gridSpan w:val="3"/>
            <w:tcMar>
              <w:top w:w="30" w:type="dxa"/>
              <w:left w:w="20" w:type="dxa"/>
              <w:bottom w:w="30" w:type="dxa"/>
              <w:right w:w="20" w:type="dxa"/>
            </w:tcMar>
            <w:vAlign w:val="bottom"/>
            <w:hideMark/>
          </w:tcPr>
          <w:p w14:paraId="7D6A7541" w14:textId="77777777" w:rsidR="00000000" w:rsidRDefault="00C01C43">
            <w:pPr>
              <w:rPr>
                <w:rFonts w:eastAsia="Times New Roman"/>
              </w:rPr>
            </w:pPr>
            <w:r>
              <w:rPr>
                <w:rFonts w:ascii="Arial" w:eastAsia="Times New Roman" w:hAnsi="Arial" w:cs="Arial"/>
                <w:color w:val="000000"/>
                <w:sz w:val="20"/>
                <w:szCs w:val="20"/>
              </w:rPr>
              <w:t>Forfeited</w:t>
            </w:r>
          </w:p>
        </w:tc>
        <w:tc>
          <w:tcPr>
            <w:tcW w:w="0" w:type="auto"/>
            <w:gridSpan w:val="3"/>
            <w:tcMar>
              <w:top w:w="30" w:type="dxa"/>
              <w:left w:w="20" w:type="dxa"/>
              <w:bottom w:w="30" w:type="dxa"/>
              <w:right w:w="20" w:type="dxa"/>
            </w:tcMar>
            <w:vAlign w:val="bottom"/>
            <w:hideMark/>
          </w:tcPr>
          <w:p w14:paraId="78213539" w14:textId="77777777" w:rsidR="00000000" w:rsidRDefault="00C01C43">
            <w:pPr>
              <w:jc w:val="center"/>
              <w:rPr>
                <w:rFonts w:eastAsia="Times New Roman"/>
              </w:rPr>
            </w:pPr>
            <w:r>
              <w:rPr>
                <w:rFonts w:ascii="Arial" w:eastAsia="Times New Roman" w:hAnsi="Arial" w:cs="Arial"/>
                <w:color w:val="000000"/>
                <w:sz w:val="20"/>
                <w:szCs w:val="20"/>
              </w:rPr>
              <w:t>(0.1)</w:t>
            </w:r>
          </w:p>
        </w:tc>
        <w:tc>
          <w:tcPr>
            <w:tcW w:w="0" w:type="auto"/>
            <w:gridSpan w:val="3"/>
            <w:tcMar>
              <w:top w:w="0" w:type="dxa"/>
              <w:left w:w="20" w:type="dxa"/>
              <w:bottom w:w="0" w:type="dxa"/>
              <w:right w:w="20" w:type="dxa"/>
            </w:tcMar>
            <w:vAlign w:val="center"/>
            <w:hideMark/>
          </w:tcPr>
          <w:p w14:paraId="2D03BA3A" w14:textId="77777777" w:rsidR="00000000" w:rsidRDefault="00C01C43">
            <w:pPr>
              <w:jc w:val="center"/>
              <w:rPr>
                <w:rFonts w:eastAsia="Times New Roman"/>
              </w:rPr>
            </w:pPr>
          </w:p>
        </w:tc>
        <w:tc>
          <w:tcPr>
            <w:tcW w:w="0" w:type="auto"/>
            <w:gridSpan w:val="2"/>
            <w:tcMar>
              <w:top w:w="30" w:type="dxa"/>
              <w:left w:w="20" w:type="dxa"/>
              <w:bottom w:w="30" w:type="dxa"/>
              <w:right w:w="0" w:type="dxa"/>
            </w:tcMar>
            <w:vAlign w:val="bottom"/>
            <w:hideMark/>
          </w:tcPr>
          <w:p w14:paraId="030C19EB" w14:textId="77777777" w:rsidR="00000000" w:rsidRDefault="00C01C43">
            <w:pPr>
              <w:jc w:val="right"/>
              <w:rPr>
                <w:rFonts w:eastAsia="Times New Roman"/>
              </w:rPr>
            </w:pPr>
            <w:r>
              <w:rPr>
                <w:rFonts w:ascii="Arial" w:eastAsia="Times New Roman" w:hAnsi="Arial" w:cs="Arial"/>
                <w:color w:val="000000"/>
                <w:sz w:val="20"/>
                <w:szCs w:val="20"/>
              </w:rPr>
              <w:t>44.77 </w:t>
            </w:r>
          </w:p>
        </w:tc>
        <w:tc>
          <w:tcPr>
            <w:tcW w:w="0" w:type="auto"/>
            <w:tcMar>
              <w:top w:w="30" w:type="dxa"/>
              <w:left w:w="0" w:type="dxa"/>
              <w:bottom w:w="30" w:type="dxa"/>
              <w:right w:w="20" w:type="dxa"/>
            </w:tcMar>
            <w:vAlign w:val="bottom"/>
            <w:hideMark/>
          </w:tcPr>
          <w:p w14:paraId="024AED7E"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0F85B932" w14:textId="77777777" w:rsidR="00000000" w:rsidRDefault="00C01C43">
            <w:pPr>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181E630B"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60CA4B78"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4BBE2443" w14:textId="77777777" w:rsidR="00000000" w:rsidRDefault="00C01C43">
            <w:pPr>
              <w:rPr>
                <w:rFonts w:eastAsia="Times New Roman"/>
                <w:sz w:val="20"/>
                <w:szCs w:val="20"/>
              </w:rPr>
            </w:pPr>
          </w:p>
        </w:tc>
      </w:tr>
      <w:tr w:rsidR="00000000" w14:paraId="277A8E17" w14:textId="77777777">
        <w:trPr>
          <w:divId w:val="1836267100"/>
        </w:trPr>
        <w:tc>
          <w:tcPr>
            <w:tcW w:w="0" w:type="auto"/>
            <w:gridSpan w:val="3"/>
            <w:shd w:val="clear" w:color="auto" w:fill="CCEEFF"/>
            <w:tcMar>
              <w:top w:w="30" w:type="dxa"/>
              <w:left w:w="20" w:type="dxa"/>
              <w:bottom w:w="30" w:type="dxa"/>
              <w:right w:w="20" w:type="dxa"/>
            </w:tcMar>
            <w:vAlign w:val="bottom"/>
            <w:hideMark/>
          </w:tcPr>
          <w:p w14:paraId="0C93B477" w14:textId="77777777" w:rsidR="00000000" w:rsidRDefault="00C01C43">
            <w:pPr>
              <w:rPr>
                <w:rFonts w:eastAsia="Times New Roman"/>
              </w:rPr>
            </w:pPr>
            <w:r>
              <w:rPr>
                <w:rFonts w:ascii="Arial" w:eastAsia="Times New Roman" w:hAnsi="Arial" w:cs="Arial"/>
                <w:color w:val="000000"/>
                <w:sz w:val="20"/>
                <w:szCs w:val="20"/>
              </w:rPr>
              <w:t>As of December 31, 2018</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97EEE22" w14:textId="77777777" w:rsidR="00000000" w:rsidRDefault="00C01C43">
            <w:pPr>
              <w:jc w:val="center"/>
              <w:rPr>
                <w:rFonts w:eastAsia="Times New Roman"/>
              </w:rPr>
            </w:pPr>
            <w:r>
              <w:rPr>
                <w:rFonts w:ascii="Arial" w:eastAsia="Times New Roman" w:hAnsi="Arial" w:cs="Arial"/>
                <w:color w:val="000000"/>
                <w:sz w:val="20"/>
                <w:szCs w:val="20"/>
              </w:rPr>
              <w:t>0.1</w:t>
            </w:r>
          </w:p>
        </w:tc>
        <w:tc>
          <w:tcPr>
            <w:tcW w:w="0" w:type="auto"/>
            <w:gridSpan w:val="3"/>
            <w:shd w:val="clear" w:color="auto" w:fill="CCEEFF"/>
            <w:tcMar>
              <w:top w:w="0" w:type="dxa"/>
              <w:left w:w="20" w:type="dxa"/>
              <w:bottom w:w="0" w:type="dxa"/>
              <w:right w:w="20" w:type="dxa"/>
            </w:tcMar>
            <w:vAlign w:val="center"/>
            <w:hideMark/>
          </w:tcPr>
          <w:p w14:paraId="35824AF8" w14:textId="77777777" w:rsidR="00000000" w:rsidRDefault="00C01C4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82E3E8" w14:textId="77777777" w:rsidR="00000000" w:rsidRDefault="00C01C43">
            <w:pPr>
              <w:jc w:val="right"/>
              <w:rPr>
                <w:rFonts w:eastAsia="Times New Roman"/>
              </w:rPr>
            </w:pPr>
            <w:r>
              <w:rPr>
                <w:rFonts w:ascii="Arial" w:eastAsia="Times New Roman" w:hAnsi="Arial" w:cs="Arial"/>
                <w:color w:val="000000"/>
                <w:sz w:val="20"/>
                <w:szCs w:val="20"/>
              </w:rPr>
              <w:t>43.63 </w:t>
            </w:r>
          </w:p>
        </w:tc>
        <w:tc>
          <w:tcPr>
            <w:tcW w:w="0" w:type="auto"/>
            <w:shd w:val="clear" w:color="auto" w:fill="CCEEFF"/>
            <w:tcMar>
              <w:top w:w="30" w:type="dxa"/>
              <w:left w:w="0" w:type="dxa"/>
              <w:bottom w:w="30" w:type="dxa"/>
              <w:right w:w="20" w:type="dxa"/>
            </w:tcMar>
            <w:vAlign w:val="bottom"/>
            <w:hideMark/>
          </w:tcPr>
          <w:p w14:paraId="526E36F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05D7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4EFBCB" w14:textId="77777777" w:rsidR="00000000" w:rsidRDefault="00C01C43">
            <w:pPr>
              <w:jc w:val="right"/>
              <w:rPr>
                <w:rFonts w:eastAsia="Times New Roman"/>
              </w:rPr>
            </w:pPr>
            <w:r>
              <w:rPr>
                <w:rFonts w:ascii="Arial" w:eastAsia="Times New Roman" w:hAnsi="Arial" w:cs="Arial"/>
                <w:color w:val="000000"/>
                <w:sz w:val="20"/>
                <w:szCs w:val="20"/>
              </w:rPr>
              <w:t>1.4 </w:t>
            </w:r>
          </w:p>
        </w:tc>
        <w:tc>
          <w:tcPr>
            <w:tcW w:w="0" w:type="auto"/>
            <w:shd w:val="clear" w:color="auto" w:fill="CCEEFF"/>
            <w:tcMar>
              <w:top w:w="30" w:type="dxa"/>
              <w:left w:w="0" w:type="dxa"/>
              <w:bottom w:w="30" w:type="dxa"/>
              <w:right w:w="20" w:type="dxa"/>
            </w:tcMar>
            <w:vAlign w:val="bottom"/>
            <w:hideMark/>
          </w:tcPr>
          <w:p w14:paraId="221E78D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0F48CC" w14:textId="77777777" w:rsidR="00000000" w:rsidRDefault="00C01C4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368686B" w14:textId="77777777" w:rsidR="00000000" w:rsidRDefault="00C01C43">
            <w:pPr>
              <w:jc w:val="center"/>
              <w:rPr>
                <w:rFonts w:eastAsia="Times New Roman"/>
              </w:rPr>
            </w:pPr>
            <w:r>
              <w:rPr>
                <w:rFonts w:ascii="Arial" w:eastAsia="Times New Roman" w:hAnsi="Arial" w:cs="Arial"/>
                <w:color w:val="000000"/>
                <w:sz w:val="20"/>
                <w:szCs w:val="20"/>
              </w:rPr>
              <w:t>1.0</w:t>
            </w:r>
          </w:p>
        </w:tc>
      </w:tr>
      <w:tr w:rsidR="00000000" w14:paraId="75722102" w14:textId="77777777">
        <w:trPr>
          <w:divId w:val="1836267100"/>
        </w:trPr>
        <w:tc>
          <w:tcPr>
            <w:tcW w:w="0" w:type="auto"/>
            <w:gridSpan w:val="3"/>
            <w:tcMar>
              <w:top w:w="30" w:type="dxa"/>
              <w:left w:w="20" w:type="dxa"/>
              <w:bottom w:w="30" w:type="dxa"/>
              <w:right w:w="20" w:type="dxa"/>
            </w:tcMar>
            <w:vAlign w:val="bottom"/>
            <w:hideMark/>
          </w:tcPr>
          <w:p w14:paraId="23A9CB32" w14:textId="77777777" w:rsidR="00000000" w:rsidRDefault="00C01C43">
            <w:pPr>
              <w:rPr>
                <w:rFonts w:eastAsia="Times New Roman"/>
              </w:rPr>
            </w:pPr>
            <w:r>
              <w:rPr>
                <w:rFonts w:ascii="Arial" w:eastAsia="Times New Roman" w:hAnsi="Arial" w:cs="Arial"/>
                <w:color w:val="000000"/>
                <w:sz w:val="20"/>
                <w:szCs w:val="20"/>
              </w:rPr>
              <w:t>Granted</w:t>
            </w:r>
          </w:p>
        </w:tc>
        <w:tc>
          <w:tcPr>
            <w:tcW w:w="0" w:type="auto"/>
            <w:gridSpan w:val="3"/>
            <w:tcMar>
              <w:top w:w="30" w:type="dxa"/>
              <w:left w:w="20" w:type="dxa"/>
              <w:bottom w:w="30" w:type="dxa"/>
              <w:right w:w="20" w:type="dxa"/>
            </w:tcMar>
            <w:vAlign w:val="bottom"/>
            <w:hideMark/>
          </w:tcPr>
          <w:p w14:paraId="43E4F18A"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14:paraId="411313B3" w14:textId="77777777" w:rsidR="00000000" w:rsidRDefault="00C01C43">
            <w:pPr>
              <w:jc w:val="center"/>
              <w:rPr>
                <w:rFonts w:eastAsia="Times New Roman"/>
              </w:rPr>
            </w:pPr>
          </w:p>
        </w:tc>
        <w:tc>
          <w:tcPr>
            <w:tcW w:w="0" w:type="auto"/>
            <w:gridSpan w:val="2"/>
            <w:tcMar>
              <w:top w:w="30" w:type="dxa"/>
              <w:left w:w="20" w:type="dxa"/>
              <w:bottom w:w="30" w:type="dxa"/>
              <w:right w:w="0" w:type="dxa"/>
            </w:tcMar>
            <w:vAlign w:val="bottom"/>
            <w:hideMark/>
          </w:tcPr>
          <w:p w14:paraId="13E78855"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14:paraId="3465D13D"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4118D904" w14:textId="77777777" w:rsidR="00000000" w:rsidRDefault="00C01C43">
            <w:pPr>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714A4FB5"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4AE0CA1D"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2CB6A203" w14:textId="77777777" w:rsidR="00000000" w:rsidRDefault="00C01C43">
            <w:pPr>
              <w:rPr>
                <w:rFonts w:eastAsia="Times New Roman"/>
                <w:sz w:val="20"/>
                <w:szCs w:val="20"/>
              </w:rPr>
            </w:pPr>
          </w:p>
        </w:tc>
      </w:tr>
      <w:tr w:rsidR="00000000" w14:paraId="28FAD9C2" w14:textId="77777777">
        <w:trPr>
          <w:divId w:val="1836267100"/>
        </w:trPr>
        <w:tc>
          <w:tcPr>
            <w:tcW w:w="0" w:type="auto"/>
            <w:gridSpan w:val="3"/>
            <w:shd w:val="clear" w:color="auto" w:fill="CCEEFF"/>
            <w:tcMar>
              <w:top w:w="30" w:type="dxa"/>
              <w:left w:w="20" w:type="dxa"/>
              <w:bottom w:w="30" w:type="dxa"/>
              <w:right w:w="20" w:type="dxa"/>
            </w:tcMar>
            <w:vAlign w:val="bottom"/>
            <w:hideMark/>
          </w:tcPr>
          <w:p w14:paraId="3669345A" w14:textId="77777777" w:rsidR="00000000" w:rsidRDefault="00C01C43">
            <w:pPr>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7D0A2673"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9720E1B" w14:textId="77777777" w:rsidR="00000000" w:rsidRDefault="00C01C4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93CCE4" w14:textId="77777777" w:rsidR="00000000" w:rsidRDefault="00C01C43">
            <w:pPr>
              <w:jc w:val="right"/>
              <w:rPr>
                <w:rFonts w:eastAsia="Times New Roman"/>
              </w:rPr>
            </w:pPr>
            <w:r>
              <w:rPr>
                <w:rFonts w:ascii="Arial" w:eastAsia="Times New Roman" w:hAnsi="Arial" w:cs="Arial"/>
                <w:color w:val="000000"/>
                <w:sz w:val="20"/>
                <w:szCs w:val="20"/>
              </w:rPr>
              <w:t>45.35 </w:t>
            </w:r>
          </w:p>
        </w:tc>
        <w:tc>
          <w:tcPr>
            <w:tcW w:w="0" w:type="auto"/>
            <w:shd w:val="clear" w:color="auto" w:fill="CCEEFF"/>
            <w:tcMar>
              <w:top w:w="30" w:type="dxa"/>
              <w:left w:w="0" w:type="dxa"/>
              <w:bottom w:w="30" w:type="dxa"/>
              <w:right w:w="20" w:type="dxa"/>
            </w:tcMar>
            <w:vAlign w:val="bottom"/>
            <w:hideMark/>
          </w:tcPr>
          <w:p w14:paraId="7C2831A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069496"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7F1721"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A7489E"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99CA82" w14:textId="77777777" w:rsidR="00000000" w:rsidRDefault="00C01C43">
            <w:pPr>
              <w:rPr>
                <w:rFonts w:eastAsia="Times New Roman"/>
                <w:sz w:val="20"/>
                <w:szCs w:val="20"/>
              </w:rPr>
            </w:pPr>
          </w:p>
        </w:tc>
      </w:tr>
      <w:tr w:rsidR="00000000" w14:paraId="6E89EC8B" w14:textId="77777777">
        <w:trPr>
          <w:divId w:val="1836267100"/>
        </w:trPr>
        <w:tc>
          <w:tcPr>
            <w:tcW w:w="0" w:type="auto"/>
            <w:gridSpan w:val="3"/>
            <w:tcMar>
              <w:top w:w="30" w:type="dxa"/>
              <w:left w:w="20" w:type="dxa"/>
              <w:bottom w:w="30" w:type="dxa"/>
              <w:right w:w="20" w:type="dxa"/>
            </w:tcMar>
            <w:vAlign w:val="bottom"/>
            <w:hideMark/>
          </w:tcPr>
          <w:p w14:paraId="3A80BCF8" w14:textId="77777777" w:rsidR="00000000" w:rsidRDefault="00C01C43">
            <w:pPr>
              <w:rPr>
                <w:rFonts w:eastAsia="Times New Roman"/>
              </w:rPr>
            </w:pPr>
            <w:r>
              <w:rPr>
                <w:rFonts w:ascii="Arial" w:eastAsia="Times New Roman" w:hAnsi="Arial" w:cs="Arial"/>
                <w:color w:val="000000"/>
                <w:sz w:val="20"/>
                <w:szCs w:val="20"/>
              </w:rPr>
              <w:t>Forfeited</w:t>
            </w:r>
          </w:p>
        </w:tc>
        <w:tc>
          <w:tcPr>
            <w:tcW w:w="0" w:type="auto"/>
            <w:gridSpan w:val="3"/>
            <w:tcMar>
              <w:top w:w="30" w:type="dxa"/>
              <w:left w:w="20" w:type="dxa"/>
              <w:bottom w:w="30" w:type="dxa"/>
              <w:right w:w="20" w:type="dxa"/>
            </w:tcMar>
            <w:vAlign w:val="bottom"/>
            <w:hideMark/>
          </w:tcPr>
          <w:p w14:paraId="77DE5998"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14:paraId="282024D1" w14:textId="77777777" w:rsidR="00000000" w:rsidRDefault="00C01C43">
            <w:pPr>
              <w:jc w:val="center"/>
              <w:rPr>
                <w:rFonts w:eastAsia="Times New Roman"/>
              </w:rPr>
            </w:pPr>
          </w:p>
        </w:tc>
        <w:tc>
          <w:tcPr>
            <w:tcW w:w="0" w:type="auto"/>
            <w:gridSpan w:val="2"/>
            <w:tcMar>
              <w:top w:w="30" w:type="dxa"/>
              <w:left w:w="20" w:type="dxa"/>
              <w:bottom w:w="30" w:type="dxa"/>
              <w:right w:w="0" w:type="dxa"/>
            </w:tcMar>
            <w:vAlign w:val="bottom"/>
            <w:hideMark/>
          </w:tcPr>
          <w:p w14:paraId="74311E7E" w14:textId="77777777" w:rsidR="00000000" w:rsidRDefault="00C01C43">
            <w:pPr>
              <w:jc w:val="right"/>
              <w:rPr>
                <w:rFonts w:eastAsia="Times New Roman"/>
              </w:rPr>
            </w:pPr>
            <w:r>
              <w:rPr>
                <w:rFonts w:ascii="Arial" w:eastAsia="Times New Roman" w:hAnsi="Arial" w:cs="Arial"/>
                <w:color w:val="000000"/>
                <w:sz w:val="20"/>
                <w:szCs w:val="20"/>
              </w:rPr>
              <w:t>51.47 </w:t>
            </w:r>
          </w:p>
        </w:tc>
        <w:tc>
          <w:tcPr>
            <w:tcW w:w="0" w:type="auto"/>
            <w:tcMar>
              <w:top w:w="30" w:type="dxa"/>
              <w:left w:w="0" w:type="dxa"/>
              <w:bottom w:w="30" w:type="dxa"/>
              <w:right w:w="20" w:type="dxa"/>
            </w:tcMar>
            <w:vAlign w:val="bottom"/>
            <w:hideMark/>
          </w:tcPr>
          <w:p w14:paraId="1B6BCD4C"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11AFAA77" w14:textId="77777777" w:rsidR="00000000" w:rsidRDefault="00C01C43">
            <w:pPr>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1B2B4025"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654885A9"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2A3C8368" w14:textId="77777777" w:rsidR="00000000" w:rsidRDefault="00C01C43">
            <w:pPr>
              <w:rPr>
                <w:rFonts w:eastAsia="Times New Roman"/>
                <w:sz w:val="20"/>
                <w:szCs w:val="20"/>
              </w:rPr>
            </w:pPr>
          </w:p>
        </w:tc>
      </w:tr>
      <w:tr w:rsidR="00000000" w14:paraId="1D2E5448" w14:textId="77777777">
        <w:trPr>
          <w:divId w:val="1836267100"/>
        </w:trPr>
        <w:tc>
          <w:tcPr>
            <w:tcW w:w="0" w:type="auto"/>
            <w:gridSpan w:val="3"/>
            <w:shd w:val="clear" w:color="auto" w:fill="CCEEFF"/>
            <w:tcMar>
              <w:top w:w="30" w:type="dxa"/>
              <w:left w:w="20" w:type="dxa"/>
              <w:bottom w:w="30" w:type="dxa"/>
              <w:right w:w="20" w:type="dxa"/>
            </w:tcMar>
            <w:vAlign w:val="bottom"/>
            <w:hideMark/>
          </w:tcPr>
          <w:p w14:paraId="3C448071" w14:textId="77777777" w:rsidR="00000000" w:rsidRDefault="00C01C43">
            <w:pPr>
              <w:rPr>
                <w:rFonts w:eastAsia="Times New Roman"/>
              </w:rPr>
            </w:pPr>
            <w:r>
              <w:rPr>
                <w:rFonts w:ascii="Arial" w:eastAsia="Times New Roman" w:hAnsi="Arial" w:cs="Arial"/>
                <w:color w:val="000000"/>
                <w:sz w:val="20"/>
                <w:szCs w:val="20"/>
              </w:rPr>
              <w:t>As of December 31, 2019</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B0030EA"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1614DE2" w14:textId="77777777" w:rsidR="00000000" w:rsidRDefault="00C01C4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F5BEE0" w14:textId="77777777" w:rsidR="00000000" w:rsidRDefault="00C01C43">
            <w:pPr>
              <w:jc w:val="right"/>
              <w:rPr>
                <w:rFonts w:eastAsia="Times New Roman"/>
              </w:rPr>
            </w:pPr>
            <w:r>
              <w:rPr>
                <w:rFonts w:ascii="Arial" w:eastAsia="Times New Roman" w:hAnsi="Arial" w:cs="Arial"/>
                <w:color w:val="000000"/>
                <w:sz w:val="20"/>
                <w:szCs w:val="20"/>
              </w:rPr>
              <w:t>41.56 </w:t>
            </w:r>
          </w:p>
        </w:tc>
        <w:tc>
          <w:tcPr>
            <w:tcW w:w="0" w:type="auto"/>
            <w:shd w:val="clear" w:color="auto" w:fill="CCEEFF"/>
            <w:tcMar>
              <w:top w:w="30" w:type="dxa"/>
              <w:left w:w="0" w:type="dxa"/>
              <w:bottom w:w="30" w:type="dxa"/>
              <w:right w:w="20" w:type="dxa"/>
            </w:tcMar>
            <w:vAlign w:val="bottom"/>
            <w:hideMark/>
          </w:tcPr>
          <w:p w14:paraId="0AA8872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5656C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4B3E05" w14:textId="77777777" w:rsidR="00000000" w:rsidRDefault="00C01C43">
            <w:pPr>
              <w:jc w:val="right"/>
              <w:rPr>
                <w:rFonts w:eastAsia="Times New Roman"/>
              </w:rPr>
            </w:pPr>
            <w:r>
              <w:rPr>
                <w:rFonts w:ascii="Arial" w:eastAsia="Times New Roman" w:hAnsi="Arial" w:cs="Arial"/>
                <w:color w:val="000000"/>
                <w:sz w:val="20"/>
                <w:szCs w:val="20"/>
              </w:rPr>
              <w:t>1.3 </w:t>
            </w:r>
          </w:p>
        </w:tc>
        <w:tc>
          <w:tcPr>
            <w:tcW w:w="0" w:type="auto"/>
            <w:shd w:val="clear" w:color="auto" w:fill="CCEEFF"/>
            <w:tcMar>
              <w:top w:w="30" w:type="dxa"/>
              <w:left w:w="0" w:type="dxa"/>
              <w:bottom w:w="30" w:type="dxa"/>
              <w:right w:w="20" w:type="dxa"/>
            </w:tcMar>
            <w:vAlign w:val="bottom"/>
            <w:hideMark/>
          </w:tcPr>
          <w:p w14:paraId="4E97353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E21C76" w14:textId="77777777" w:rsidR="00000000" w:rsidRDefault="00C01C4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26A904B" w14:textId="77777777" w:rsidR="00000000" w:rsidRDefault="00C01C43">
            <w:pPr>
              <w:jc w:val="center"/>
              <w:rPr>
                <w:rFonts w:eastAsia="Times New Roman"/>
              </w:rPr>
            </w:pPr>
            <w:r>
              <w:rPr>
                <w:rFonts w:ascii="Arial" w:eastAsia="Times New Roman" w:hAnsi="Arial" w:cs="Arial"/>
                <w:color w:val="000000"/>
                <w:sz w:val="20"/>
                <w:szCs w:val="20"/>
              </w:rPr>
              <w:t>0.7</w:t>
            </w:r>
          </w:p>
        </w:tc>
      </w:tr>
      <w:tr w:rsidR="00000000" w14:paraId="603D3051" w14:textId="77777777">
        <w:trPr>
          <w:divId w:val="1836267100"/>
        </w:trPr>
        <w:tc>
          <w:tcPr>
            <w:tcW w:w="0" w:type="auto"/>
            <w:gridSpan w:val="3"/>
            <w:tcMar>
              <w:top w:w="30" w:type="dxa"/>
              <w:left w:w="20" w:type="dxa"/>
              <w:bottom w:w="30" w:type="dxa"/>
              <w:right w:w="20" w:type="dxa"/>
            </w:tcMar>
            <w:vAlign w:val="bottom"/>
            <w:hideMark/>
          </w:tcPr>
          <w:p w14:paraId="15640921" w14:textId="77777777" w:rsidR="00000000" w:rsidRDefault="00C01C43">
            <w:pPr>
              <w:rPr>
                <w:rFonts w:eastAsia="Times New Roman"/>
              </w:rPr>
            </w:pPr>
            <w:r>
              <w:rPr>
                <w:rFonts w:ascii="Arial" w:eastAsia="Times New Roman" w:hAnsi="Arial" w:cs="Arial"/>
                <w:color w:val="000000"/>
                <w:sz w:val="20"/>
                <w:szCs w:val="20"/>
              </w:rPr>
              <w:t>Granted</w:t>
            </w:r>
          </w:p>
        </w:tc>
        <w:tc>
          <w:tcPr>
            <w:tcW w:w="0" w:type="auto"/>
            <w:gridSpan w:val="3"/>
            <w:tcMar>
              <w:top w:w="30" w:type="dxa"/>
              <w:left w:w="20" w:type="dxa"/>
              <w:bottom w:w="30" w:type="dxa"/>
              <w:right w:w="20" w:type="dxa"/>
            </w:tcMar>
            <w:vAlign w:val="bottom"/>
            <w:hideMark/>
          </w:tcPr>
          <w:p w14:paraId="39BEE897"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14:paraId="6BEDCC22" w14:textId="77777777" w:rsidR="00000000" w:rsidRDefault="00C01C43">
            <w:pPr>
              <w:jc w:val="center"/>
              <w:rPr>
                <w:rFonts w:eastAsia="Times New Roman"/>
              </w:rPr>
            </w:pPr>
          </w:p>
        </w:tc>
        <w:tc>
          <w:tcPr>
            <w:tcW w:w="0" w:type="auto"/>
            <w:gridSpan w:val="2"/>
            <w:tcMar>
              <w:top w:w="30" w:type="dxa"/>
              <w:left w:w="20" w:type="dxa"/>
              <w:bottom w:w="30" w:type="dxa"/>
              <w:right w:w="0" w:type="dxa"/>
            </w:tcMar>
            <w:vAlign w:val="bottom"/>
            <w:hideMark/>
          </w:tcPr>
          <w:p w14:paraId="1CBD280B"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14:paraId="1FB5F2DC"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223292A1" w14:textId="77777777" w:rsidR="00000000" w:rsidRDefault="00C01C43">
            <w:pPr>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092FE084"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CC4DA02"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76EC3F16" w14:textId="77777777" w:rsidR="00000000" w:rsidRDefault="00C01C43">
            <w:pPr>
              <w:rPr>
                <w:rFonts w:eastAsia="Times New Roman"/>
                <w:sz w:val="20"/>
                <w:szCs w:val="20"/>
              </w:rPr>
            </w:pPr>
          </w:p>
        </w:tc>
      </w:tr>
      <w:tr w:rsidR="00000000" w14:paraId="35D0F6AF" w14:textId="77777777">
        <w:trPr>
          <w:divId w:val="1836267100"/>
        </w:trPr>
        <w:tc>
          <w:tcPr>
            <w:tcW w:w="0" w:type="auto"/>
            <w:gridSpan w:val="3"/>
            <w:shd w:val="clear" w:color="auto" w:fill="CCEEFF"/>
            <w:tcMar>
              <w:top w:w="30" w:type="dxa"/>
              <w:left w:w="20" w:type="dxa"/>
              <w:bottom w:w="30" w:type="dxa"/>
              <w:right w:w="20" w:type="dxa"/>
            </w:tcMar>
            <w:vAlign w:val="bottom"/>
            <w:hideMark/>
          </w:tcPr>
          <w:p w14:paraId="2673810C" w14:textId="77777777" w:rsidR="00000000" w:rsidRDefault="00C01C43">
            <w:pPr>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382A793C"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079BE66" w14:textId="77777777" w:rsidR="00000000" w:rsidRDefault="00C01C4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8A3375" w14:textId="77777777" w:rsidR="00000000" w:rsidRDefault="00C01C43">
            <w:pPr>
              <w:jc w:val="right"/>
              <w:rPr>
                <w:rFonts w:eastAsia="Times New Roman"/>
              </w:rPr>
            </w:pPr>
            <w:r>
              <w:rPr>
                <w:rFonts w:ascii="Arial" w:eastAsia="Times New Roman" w:hAnsi="Arial" w:cs="Arial"/>
                <w:color w:val="000000"/>
                <w:sz w:val="20"/>
                <w:szCs w:val="20"/>
              </w:rPr>
              <w:t>47.36 </w:t>
            </w:r>
          </w:p>
        </w:tc>
        <w:tc>
          <w:tcPr>
            <w:tcW w:w="0" w:type="auto"/>
            <w:shd w:val="clear" w:color="auto" w:fill="CCEEFF"/>
            <w:tcMar>
              <w:top w:w="30" w:type="dxa"/>
              <w:left w:w="0" w:type="dxa"/>
              <w:bottom w:w="30" w:type="dxa"/>
              <w:right w:w="20" w:type="dxa"/>
            </w:tcMar>
            <w:vAlign w:val="bottom"/>
            <w:hideMark/>
          </w:tcPr>
          <w:p w14:paraId="75E4F8A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230C41"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9A1CD1"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503381"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D48A78" w14:textId="77777777" w:rsidR="00000000" w:rsidRDefault="00C01C43">
            <w:pPr>
              <w:rPr>
                <w:rFonts w:eastAsia="Times New Roman"/>
                <w:sz w:val="20"/>
                <w:szCs w:val="20"/>
              </w:rPr>
            </w:pPr>
          </w:p>
        </w:tc>
      </w:tr>
      <w:tr w:rsidR="00000000" w14:paraId="051DAA4E" w14:textId="77777777">
        <w:trPr>
          <w:divId w:val="1836267100"/>
        </w:trPr>
        <w:tc>
          <w:tcPr>
            <w:tcW w:w="0" w:type="auto"/>
            <w:gridSpan w:val="3"/>
            <w:tcMar>
              <w:top w:w="30" w:type="dxa"/>
              <w:left w:w="20" w:type="dxa"/>
              <w:bottom w:w="30" w:type="dxa"/>
              <w:right w:w="20" w:type="dxa"/>
            </w:tcMar>
            <w:vAlign w:val="bottom"/>
            <w:hideMark/>
          </w:tcPr>
          <w:p w14:paraId="2C94704A" w14:textId="77777777" w:rsidR="00000000" w:rsidRDefault="00C01C43">
            <w:pPr>
              <w:rPr>
                <w:rFonts w:eastAsia="Times New Roman"/>
              </w:rPr>
            </w:pPr>
            <w:r>
              <w:rPr>
                <w:rFonts w:ascii="Arial" w:eastAsia="Times New Roman" w:hAnsi="Arial" w:cs="Arial"/>
                <w:color w:val="000000"/>
                <w:sz w:val="20"/>
                <w:szCs w:val="20"/>
              </w:rPr>
              <w:t>Forfeited</w:t>
            </w:r>
          </w:p>
        </w:tc>
        <w:tc>
          <w:tcPr>
            <w:tcW w:w="0" w:type="auto"/>
            <w:gridSpan w:val="3"/>
            <w:tcMar>
              <w:top w:w="30" w:type="dxa"/>
              <w:left w:w="20" w:type="dxa"/>
              <w:bottom w:w="30" w:type="dxa"/>
              <w:right w:w="20" w:type="dxa"/>
            </w:tcMar>
            <w:vAlign w:val="bottom"/>
            <w:hideMark/>
          </w:tcPr>
          <w:p w14:paraId="55A4A31E"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14:paraId="2812A6BE" w14:textId="77777777" w:rsidR="00000000" w:rsidRDefault="00C01C43">
            <w:pPr>
              <w:jc w:val="center"/>
              <w:rPr>
                <w:rFonts w:eastAsia="Times New Roman"/>
              </w:rPr>
            </w:pPr>
          </w:p>
        </w:tc>
        <w:tc>
          <w:tcPr>
            <w:tcW w:w="0" w:type="auto"/>
            <w:gridSpan w:val="2"/>
            <w:tcMar>
              <w:top w:w="30" w:type="dxa"/>
              <w:left w:w="20" w:type="dxa"/>
              <w:bottom w:w="30" w:type="dxa"/>
              <w:right w:w="0" w:type="dxa"/>
            </w:tcMar>
            <w:vAlign w:val="bottom"/>
            <w:hideMark/>
          </w:tcPr>
          <w:p w14:paraId="6E938FA0"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14:paraId="2DF9EDB4"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6820E08A" w14:textId="77777777" w:rsidR="00000000" w:rsidRDefault="00C01C43">
            <w:pPr>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5052F948"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1A320F42"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D801120" w14:textId="77777777" w:rsidR="00000000" w:rsidRDefault="00C01C43">
            <w:pPr>
              <w:rPr>
                <w:rFonts w:eastAsia="Times New Roman"/>
                <w:sz w:val="20"/>
                <w:szCs w:val="20"/>
              </w:rPr>
            </w:pPr>
          </w:p>
        </w:tc>
      </w:tr>
      <w:tr w:rsidR="00000000" w14:paraId="4122D127" w14:textId="77777777">
        <w:trPr>
          <w:divId w:val="1836267100"/>
        </w:trPr>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14:paraId="5E1B3638" w14:textId="77777777" w:rsidR="00000000" w:rsidRDefault="00C01C43">
            <w:pPr>
              <w:rPr>
                <w:rFonts w:eastAsia="Times New Roman"/>
              </w:rPr>
            </w:pPr>
            <w:r>
              <w:rPr>
                <w:rFonts w:ascii="Arial" w:eastAsia="Times New Roman" w:hAnsi="Arial" w:cs="Arial"/>
                <w:color w:val="000000"/>
                <w:sz w:val="20"/>
                <w:szCs w:val="20"/>
              </w:rPr>
              <w:t>As of December 31, 2020</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54FBF1E9"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607C633D" w14:textId="77777777" w:rsidR="00000000" w:rsidRDefault="00C01C43">
            <w:pPr>
              <w:jc w:val="center"/>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1EF8151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E4D1B52" w14:textId="77777777" w:rsidR="00000000" w:rsidRDefault="00C01C43">
            <w:pPr>
              <w:jc w:val="right"/>
              <w:rPr>
                <w:rFonts w:eastAsia="Times New Roman"/>
              </w:rPr>
            </w:pPr>
            <w:r>
              <w:rPr>
                <w:rFonts w:ascii="Arial" w:eastAsia="Times New Roman" w:hAnsi="Arial" w:cs="Arial"/>
                <w:color w:val="000000"/>
                <w:sz w:val="20"/>
                <w:szCs w:val="20"/>
              </w:rPr>
              <w:t>36.50 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5F1DF313" w14:textId="77777777" w:rsidR="00000000" w:rsidRDefault="00C01C43">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1B031B63" w14:textId="77777777" w:rsidR="00000000" w:rsidRDefault="00C01C43">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613E65A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1CDA1F6" w14:textId="77777777" w:rsidR="00000000" w:rsidRDefault="00C01C43">
            <w:pPr>
              <w:jc w:val="right"/>
              <w:rPr>
                <w:rFonts w:eastAsia="Times New Roman"/>
              </w:rPr>
            </w:pPr>
            <w:r>
              <w:rPr>
                <w:rFonts w:ascii="Arial" w:eastAsia="Times New Roman" w:hAnsi="Arial" w:cs="Arial"/>
                <w:color w:val="000000"/>
                <w:sz w:val="20"/>
                <w:szCs w:val="20"/>
              </w:rPr>
              <w:t>0.5 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8CB375B" w14:textId="77777777" w:rsidR="00000000" w:rsidRDefault="00C01C43">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6717617E" w14:textId="77777777" w:rsidR="00000000" w:rsidRDefault="00C01C43">
            <w:pPr>
              <w:jc w:val="right"/>
              <w:rPr>
                <w:rFonts w:eastAsia="Times New Roman"/>
                <w:sz w:val="20"/>
                <w:szCs w:val="20"/>
              </w:rPr>
            </w:pPr>
          </w:p>
        </w:tc>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14:paraId="07040AE6" w14:textId="77777777" w:rsidR="00000000" w:rsidRDefault="00C01C43">
            <w:pPr>
              <w:jc w:val="center"/>
              <w:rPr>
                <w:rFonts w:eastAsia="Times New Roman"/>
              </w:rPr>
            </w:pPr>
            <w:r>
              <w:rPr>
                <w:rFonts w:ascii="Arial" w:eastAsia="Times New Roman" w:hAnsi="Arial" w:cs="Arial"/>
                <w:color w:val="000000"/>
                <w:sz w:val="20"/>
                <w:szCs w:val="20"/>
              </w:rPr>
              <w:t>0.1</w:t>
            </w:r>
          </w:p>
        </w:tc>
      </w:tr>
    </w:tbl>
    <w:p w14:paraId="6FBE9676" w14:textId="77777777" w:rsidR="00000000" w:rsidRDefault="00C01C43">
      <w:pPr>
        <w:jc w:val="both"/>
        <w:divId w:val="2056808915"/>
        <w:rPr>
          <w:rFonts w:eastAsia="Times New Roman"/>
        </w:rPr>
      </w:pPr>
      <w:r>
        <w:rPr>
          <w:rFonts w:ascii="Arial" w:eastAsia="Times New Roman" w:hAnsi="Arial" w:cs="Arial"/>
          <w:color w:val="000000"/>
          <w:sz w:val="20"/>
          <w:szCs w:val="20"/>
        </w:rPr>
        <w:t>The aggregate intrinsic value of restricted stock which vested during 2020, 2019 and 2018 was $0.4 million, $1.0 million and $3.8 million, respectively, based on the average high and low market price of our common stock at th</w:t>
      </w:r>
      <w:r>
        <w:rPr>
          <w:rFonts w:ascii="Arial" w:eastAsia="Times New Roman" w:hAnsi="Arial" w:cs="Arial"/>
          <w:color w:val="000000"/>
          <w:sz w:val="20"/>
          <w:szCs w:val="20"/>
        </w:rPr>
        <w:t>e vesting date.</w:t>
      </w:r>
    </w:p>
    <w:p w14:paraId="7D9F3023" w14:textId="77777777" w:rsidR="00000000" w:rsidRDefault="00C01C43">
      <w:pPr>
        <w:jc w:val="both"/>
        <w:divId w:val="1611934578"/>
        <w:rPr>
          <w:rFonts w:eastAsia="Times New Roman"/>
        </w:rPr>
      </w:pPr>
      <w:r>
        <w:rPr>
          <w:rFonts w:ascii="Arial" w:eastAsia="Times New Roman" w:hAnsi="Arial" w:cs="Arial"/>
          <w:b/>
          <w:bCs/>
          <w:color w:val="000000"/>
          <w:sz w:val="20"/>
          <w:szCs w:val="20"/>
        </w:rPr>
        <w:t>RSU Awards</w:t>
      </w:r>
    </w:p>
    <w:p w14:paraId="5F06B7E8" w14:textId="77777777" w:rsidR="00000000" w:rsidRDefault="00C01C43">
      <w:pPr>
        <w:jc w:val="both"/>
        <w:divId w:val="1238049979"/>
        <w:rPr>
          <w:rFonts w:eastAsia="Times New Roman"/>
        </w:rPr>
      </w:pPr>
      <w:r>
        <w:rPr>
          <w:rFonts w:ascii="Arial" w:eastAsia="Times New Roman" w:hAnsi="Arial" w:cs="Arial"/>
          <w:color w:val="000000"/>
          <w:sz w:val="20"/>
          <w:szCs w:val="20"/>
        </w:rPr>
        <w:t>The following table summarizes the status of our RSUs and related transactions for each of the following years (in millions, except for weighted average grant</w:t>
      </w:r>
      <w:r>
        <w:rPr>
          <w:rFonts w:ascii="Arial" w:eastAsia="Times New Roman" w:hAnsi="Arial" w:cs="Arial"/>
          <w:color w:val="000000"/>
          <w:sz w:val="20"/>
          <w:szCs w:val="20"/>
        </w:rPr>
        <w:noBreakHyphen/>
        <w:t>date fair value data and weighted average remaining contractual life):</w:t>
      </w:r>
    </w:p>
    <w:tbl>
      <w:tblPr>
        <w:tblW w:w="4992" w:type="pct"/>
        <w:tblCellMar>
          <w:top w:w="15" w:type="dxa"/>
          <w:left w:w="15" w:type="dxa"/>
          <w:bottom w:w="15" w:type="dxa"/>
          <w:right w:w="15" w:type="dxa"/>
        </w:tblCellMar>
        <w:tblLook w:val="04A0" w:firstRow="1" w:lastRow="0" w:firstColumn="1" w:lastColumn="0" w:noHBand="0" w:noVBand="1"/>
      </w:tblPr>
      <w:tblGrid>
        <w:gridCol w:w="46"/>
        <w:gridCol w:w="3760"/>
        <w:gridCol w:w="36"/>
        <w:gridCol w:w="46"/>
        <w:gridCol w:w="928"/>
        <w:gridCol w:w="36"/>
        <w:gridCol w:w="36"/>
        <w:gridCol w:w="36"/>
        <w:gridCol w:w="36"/>
        <w:gridCol w:w="133"/>
        <w:gridCol w:w="898"/>
        <w:gridCol w:w="36"/>
        <w:gridCol w:w="36"/>
        <w:gridCol w:w="36"/>
        <w:gridCol w:w="36"/>
        <w:gridCol w:w="133"/>
        <w:gridCol w:w="898"/>
        <w:gridCol w:w="36"/>
        <w:gridCol w:w="36"/>
        <w:gridCol w:w="36"/>
        <w:gridCol w:w="36"/>
        <w:gridCol w:w="73"/>
        <w:gridCol w:w="874"/>
        <w:gridCol w:w="36"/>
      </w:tblGrid>
      <w:tr w:rsidR="00000000" w14:paraId="79E4E5C4" w14:textId="77777777">
        <w:trPr>
          <w:divId w:val="1142693029"/>
        </w:trPr>
        <w:tc>
          <w:tcPr>
            <w:tcW w:w="50" w:type="pct"/>
            <w:vAlign w:val="center"/>
            <w:hideMark/>
          </w:tcPr>
          <w:p w14:paraId="1FCA2F9A" w14:textId="77777777" w:rsidR="00000000" w:rsidRDefault="00C01C43">
            <w:pPr>
              <w:jc w:val="both"/>
              <w:rPr>
                <w:rFonts w:eastAsia="Times New Roman"/>
              </w:rPr>
            </w:pPr>
          </w:p>
        </w:tc>
        <w:tc>
          <w:tcPr>
            <w:tcW w:w="2287" w:type="pct"/>
            <w:vAlign w:val="center"/>
            <w:hideMark/>
          </w:tcPr>
          <w:p w14:paraId="2A90E523" w14:textId="77777777" w:rsidR="00000000" w:rsidRDefault="00C01C43">
            <w:pPr>
              <w:rPr>
                <w:rFonts w:eastAsia="Times New Roman"/>
                <w:sz w:val="20"/>
                <w:szCs w:val="20"/>
              </w:rPr>
            </w:pPr>
          </w:p>
        </w:tc>
        <w:tc>
          <w:tcPr>
            <w:tcW w:w="5" w:type="pct"/>
            <w:vAlign w:val="center"/>
            <w:hideMark/>
          </w:tcPr>
          <w:p w14:paraId="13B3406A" w14:textId="77777777" w:rsidR="00000000" w:rsidRDefault="00C01C43">
            <w:pPr>
              <w:rPr>
                <w:rFonts w:eastAsia="Times New Roman"/>
                <w:sz w:val="20"/>
                <w:szCs w:val="20"/>
              </w:rPr>
            </w:pPr>
          </w:p>
        </w:tc>
        <w:tc>
          <w:tcPr>
            <w:tcW w:w="50" w:type="pct"/>
            <w:vAlign w:val="center"/>
            <w:hideMark/>
          </w:tcPr>
          <w:p w14:paraId="5EBAEE09" w14:textId="77777777" w:rsidR="00000000" w:rsidRDefault="00C01C43">
            <w:pPr>
              <w:rPr>
                <w:rFonts w:eastAsia="Times New Roman"/>
                <w:sz w:val="20"/>
                <w:szCs w:val="20"/>
              </w:rPr>
            </w:pPr>
          </w:p>
        </w:tc>
        <w:tc>
          <w:tcPr>
            <w:tcW w:w="581" w:type="pct"/>
            <w:vAlign w:val="center"/>
            <w:hideMark/>
          </w:tcPr>
          <w:p w14:paraId="444AACB5" w14:textId="77777777" w:rsidR="00000000" w:rsidRDefault="00C01C43">
            <w:pPr>
              <w:rPr>
                <w:rFonts w:eastAsia="Times New Roman"/>
                <w:sz w:val="20"/>
                <w:szCs w:val="20"/>
              </w:rPr>
            </w:pPr>
          </w:p>
        </w:tc>
        <w:tc>
          <w:tcPr>
            <w:tcW w:w="5" w:type="pct"/>
            <w:vAlign w:val="center"/>
            <w:hideMark/>
          </w:tcPr>
          <w:p w14:paraId="7FD062A2" w14:textId="77777777" w:rsidR="00000000" w:rsidRDefault="00C01C43">
            <w:pPr>
              <w:rPr>
                <w:rFonts w:eastAsia="Times New Roman"/>
                <w:sz w:val="20"/>
                <w:szCs w:val="20"/>
              </w:rPr>
            </w:pPr>
          </w:p>
        </w:tc>
        <w:tc>
          <w:tcPr>
            <w:tcW w:w="5" w:type="pct"/>
            <w:vAlign w:val="center"/>
            <w:hideMark/>
          </w:tcPr>
          <w:p w14:paraId="7864DA9B" w14:textId="77777777" w:rsidR="00000000" w:rsidRDefault="00C01C43">
            <w:pPr>
              <w:rPr>
                <w:rFonts w:eastAsia="Times New Roman"/>
                <w:sz w:val="20"/>
                <w:szCs w:val="20"/>
              </w:rPr>
            </w:pPr>
          </w:p>
        </w:tc>
        <w:tc>
          <w:tcPr>
            <w:tcW w:w="26" w:type="pct"/>
            <w:vAlign w:val="center"/>
            <w:hideMark/>
          </w:tcPr>
          <w:p w14:paraId="502372F4" w14:textId="77777777" w:rsidR="00000000" w:rsidRDefault="00C01C43">
            <w:pPr>
              <w:rPr>
                <w:rFonts w:eastAsia="Times New Roman"/>
                <w:sz w:val="20"/>
                <w:szCs w:val="20"/>
              </w:rPr>
            </w:pPr>
          </w:p>
        </w:tc>
        <w:tc>
          <w:tcPr>
            <w:tcW w:w="5" w:type="pct"/>
            <w:vAlign w:val="center"/>
            <w:hideMark/>
          </w:tcPr>
          <w:p w14:paraId="7AFDE436" w14:textId="77777777" w:rsidR="00000000" w:rsidRDefault="00C01C43">
            <w:pPr>
              <w:rPr>
                <w:rFonts w:eastAsia="Times New Roman"/>
                <w:sz w:val="20"/>
                <w:szCs w:val="20"/>
              </w:rPr>
            </w:pPr>
          </w:p>
        </w:tc>
        <w:tc>
          <w:tcPr>
            <w:tcW w:w="50" w:type="pct"/>
            <w:vAlign w:val="center"/>
            <w:hideMark/>
          </w:tcPr>
          <w:p w14:paraId="7928E932" w14:textId="77777777" w:rsidR="00000000" w:rsidRDefault="00C01C43">
            <w:pPr>
              <w:rPr>
                <w:rFonts w:eastAsia="Times New Roman"/>
                <w:sz w:val="20"/>
                <w:szCs w:val="20"/>
              </w:rPr>
            </w:pPr>
          </w:p>
        </w:tc>
        <w:tc>
          <w:tcPr>
            <w:tcW w:w="581" w:type="pct"/>
            <w:vAlign w:val="center"/>
            <w:hideMark/>
          </w:tcPr>
          <w:p w14:paraId="31870D7D" w14:textId="77777777" w:rsidR="00000000" w:rsidRDefault="00C01C43">
            <w:pPr>
              <w:rPr>
                <w:rFonts w:eastAsia="Times New Roman"/>
                <w:sz w:val="20"/>
                <w:szCs w:val="20"/>
              </w:rPr>
            </w:pPr>
          </w:p>
        </w:tc>
        <w:tc>
          <w:tcPr>
            <w:tcW w:w="5" w:type="pct"/>
            <w:vAlign w:val="center"/>
            <w:hideMark/>
          </w:tcPr>
          <w:p w14:paraId="251D44A9" w14:textId="77777777" w:rsidR="00000000" w:rsidRDefault="00C01C43">
            <w:pPr>
              <w:rPr>
                <w:rFonts w:eastAsia="Times New Roman"/>
                <w:sz w:val="20"/>
                <w:szCs w:val="20"/>
              </w:rPr>
            </w:pPr>
          </w:p>
        </w:tc>
        <w:tc>
          <w:tcPr>
            <w:tcW w:w="5" w:type="pct"/>
            <w:vAlign w:val="center"/>
            <w:hideMark/>
          </w:tcPr>
          <w:p w14:paraId="6EDFCF79" w14:textId="77777777" w:rsidR="00000000" w:rsidRDefault="00C01C43">
            <w:pPr>
              <w:rPr>
                <w:rFonts w:eastAsia="Times New Roman"/>
                <w:sz w:val="20"/>
                <w:szCs w:val="20"/>
              </w:rPr>
            </w:pPr>
          </w:p>
        </w:tc>
        <w:tc>
          <w:tcPr>
            <w:tcW w:w="26" w:type="pct"/>
            <w:vAlign w:val="center"/>
            <w:hideMark/>
          </w:tcPr>
          <w:p w14:paraId="1B274B1F" w14:textId="77777777" w:rsidR="00000000" w:rsidRDefault="00C01C43">
            <w:pPr>
              <w:rPr>
                <w:rFonts w:eastAsia="Times New Roman"/>
                <w:sz w:val="20"/>
                <w:szCs w:val="20"/>
              </w:rPr>
            </w:pPr>
          </w:p>
        </w:tc>
        <w:tc>
          <w:tcPr>
            <w:tcW w:w="5" w:type="pct"/>
            <w:vAlign w:val="center"/>
            <w:hideMark/>
          </w:tcPr>
          <w:p w14:paraId="4D79A8F8" w14:textId="77777777" w:rsidR="00000000" w:rsidRDefault="00C01C43">
            <w:pPr>
              <w:rPr>
                <w:rFonts w:eastAsia="Times New Roman"/>
                <w:sz w:val="20"/>
                <w:szCs w:val="20"/>
              </w:rPr>
            </w:pPr>
          </w:p>
        </w:tc>
        <w:tc>
          <w:tcPr>
            <w:tcW w:w="50" w:type="pct"/>
            <w:vAlign w:val="center"/>
            <w:hideMark/>
          </w:tcPr>
          <w:p w14:paraId="4F542196" w14:textId="77777777" w:rsidR="00000000" w:rsidRDefault="00C01C43">
            <w:pPr>
              <w:rPr>
                <w:rFonts w:eastAsia="Times New Roman"/>
                <w:sz w:val="20"/>
                <w:szCs w:val="20"/>
              </w:rPr>
            </w:pPr>
          </w:p>
        </w:tc>
        <w:tc>
          <w:tcPr>
            <w:tcW w:w="581" w:type="pct"/>
            <w:vAlign w:val="center"/>
            <w:hideMark/>
          </w:tcPr>
          <w:p w14:paraId="69995C1E" w14:textId="77777777" w:rsidR="00000000" w:rsidRDefault="00C01C43">
            <w:pPr>
              <w:rPr>
                <w:rFonts w:eastAsia="Times New Roman"/>
                <w:sz w:val="20"/>
                <w:szCs w:val="20"/>
              </w:rPr>
            </w:pPr>
          </w:p>
        </w:tc>
        <w:tc>
          <w:tcPr>
            <w:tcW w:w="5" w:type="pct"/>
            <w:vAlign w:val="center"/>
            <w:hideMark/>
          </w:tcPr>
          <w:p w14:paraId="3B6FE8EE" w14:textId="77777777" w:rsidR="00000000" w:rsidRDefault="00C01C43">
            <w:pPr>
              <w:rPr>
                <w:rFonts w:eastAsia="Times New Roman"/>
                <w:sz w:val="20"/>
                <w:szCs w:val="20"/>
              </w:rPr>
            </w:pPr>
          </w:p>
        </w:tc>
        <w:tc>
          <w:tcPr>
            <w:tcW w:w="5" w:type="pct"/>
            <w:vAlign w:val="center"/>
            <w:hideMark/>
          </w:tcPr>
          <w:p w14:paraId="4F47B9DE" w14:textId="77777777" w:rsidR="00000000" w:rsidRDefault="00C01C43">
            <w:pPr>
              <w:rPr>
                <w:rFonts w:eastAsia="Times New Roman"/>
                <w:sz w:val="20"/>
                <w:szCs w:val="20"/>
              </w:rPr>
            </w:pPr>
          </w:p>
        </w:tc>
        <w:tc>
          <w:tcPr>
            <w:tcW w:w="26" w:type="pct"/>
            <w:vAlign w:val="center"/>
            <w:hideMark/>
          </w:tcPr>
          <w:p w14:paraId="0DB25776" w14:textId="77777777" w:rsidR="00000000" w:rsidRDefault="00C01C43">
            <w:pPr>
              <w:rPr>
                <w:rFonts w:eastAsia="Times New Roman"/>
                <w:sz w:val="20"/>
                <w:szCs w:val="20"/>
              </w:rPr>
            </w:pPr>
          </w:p>
        </w:tc>
        <w:tc>
          <w:tcPr>
            <w:tcW w:w="5" w:type="pct"/>
            <w:vAlign w:val="center"/>
            <w:hideMark/>
          </w:tcPr>
          <w:p w14:paraId="0DD20D3B" w14:textId="77777777" w:rsidR="00000000" w:rsidRDefault="00C01C43">
            <w:pPr>
              <w:rPr>
                <w:rFonts w:eastAsia="Times New Roman"/>
                <w:sz w:val="20"/>
                <w:szCs w:val="20"/>
              </w:rPr>
            </w:pPr>
          </w:p>
        </w:tc>
        <w:tc>
          <w:tcPr>
            <w:tcW w:w="50" w:type="pct"/>
            <w:vAlign w:val="center"/>
            <w:hideMark/>
          </w:tcPr>
          <w:p w14:paraId="4E524F39" w14:textId="77777777" w:rsidR="00000000" w:rsidRDefault="00C01C43">
            <w:pPr>
              <w:rPr>
                <w:rFonts w:eastAsia="Times New Roman"/>
                <w:sz w:val="20"/>
                <w:szCs w:val="20"/>
              </w:rPr>
            </w:pPr>
          </w:p>
        </w:tc>
        <w:tc>
          <w:tcPr>
            <w:tcW w:w="582" w:type="pct"/>
            <w:vAlign w:val="center"/>
            <w:hideMark/>
          </w:tcPr>
          <w:p w14:paraId="46B61FCA" w14:textId="77777777" w:rsidR="00000000" w:rsidRDefault="00C01C43">
            <w:pPr>
              <w:rPr>
                <w:rFonts w:eastAsia="Times New Roman"/>
                <w:sz w:val="20"/>
                <w:szCs w:val="20"/>
              </w:rPr>
            </w:pPr>
          </w:p>
        </w:tc>
        <w:tc>
          <w:tcPr>
            <w:tcW w:w="5" w:type="pct"/>
            <w:vAlign w:val="center"/>
            <w:hideMark/>
          </w:tcPr>
          <w:p w14:paraId="53EE594E" w14:textId="77777777" w:rsidR="00000000" w:rsidRDefault="00C01C43">
            <w:pPr>
              <w:rPr>
                <w:rFonts w:eastAsia="Times New Roman"/>
                <w:sz w:val="20"/>
                <w:szCs w:val="20"/>
              </w:rPr>
            </w:pPr>
          </w:p>
        </w:tc>
      </w:tr>
      <w:tr w:rsidR="00000000" w14:paraId="4F1366BC" w14:textId="77777777">
        <w:trPr>
          <w:divId w:val="1142693029"/>
        </w:trPr>
        <w:tc>
          <w:tcPr>
            <w:tcW w:w="0" w:type="auto"/>
            <w:gridSpan w:val="24"/>
            <w:tcMar>
              <w:top w:w="30" w:type="dxa"/>
              <w:left w:w="20" w:type="dxa"/>
              <w:bottom w:w="30" w:type="dxa"/>
              <w:right w:w="20" w:type="dxa"/>
            </w:tcMar>
            <w:vAlign w:val="bottom"/>
            <w:hideMark/>
          </w:tcPr>
          <w:p w14:paraId="5D4F87A3" w14:textId="77777777" w:rsidR="00000000" w:rsidRDefault="00C01C43">
            <w:pPr>
              <w:jc w:val="center"/>
              <w:rPr>
                <w:rFonts w:eastAsia="Times New Roman"/>
              </w:rPr>
            </w:pPr>
            <w:r>
              <w:rPr>
                <w:rFonts w:ascii="Arial" w:eastAsia="Times New Roman" w:hAnsi="Arial" w:cs="Arial"/>
                <w:b/>
                <w:bCs/>
                <w:color w:val="000000"/>
                <w:sz w:val="16"/>
                <w:szCs w:val="16"/>
              </w:rPr>
              <w:t>RSUs Outstanding</w:t>
            </w:r>
          </w:p>
        </w:tc>
      </w:tr>
      <w:tr w:rsidR="00000000" w14:paraId="1B5828CD" w14:textId="77777777">
        <w:trPr>
          <w:divId w:val="1142693029"/>
        </w:trPr>
        <w:tc>
          <w:tcPr>
            <w:tcW w:w="0" w:type="auto"/>
            <w:gridSpan w:val="3"/>
            <w:tcBorders>
              <w:top w:val="single" w:sz="8" w:space="0" w:color="000000"/>
            </w:tcBorders>
            <w:tcMar>
              <w:top w:w="30" w:type="dxa"/>
              <w:left w:w="20" w:type="dxa"/>
              <w:bottom w:w="30" w:type="dxa"/>
              <w:right w:w="20" w:type="dxa"/>
            </w:tcMar>
            <w:vAlign w:val="bottom"/>
            <w:hideMark/>
          </w:tcPr>
          <w:p w14:paraId="36591111" w14:textId="77777777" w:rsidR="00000000" w:rsidRDefault="00C01C43">
            <w:pPr>
              <w:jc w:val="cente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1F079B1" w14:textId="77777777" w:rsidR="00000000" w:rsidRDefault="00C01C43">
            <w:pPr>
              <w:jc w:val="center"/>
              <w:rPr>
                <w:rFonts w:eastAsia="Times New Roman"/>
              </w:rPr>
            </w:pPr>
            <w:r>
              <w:rPr>
                <w:rFonts w:ascii="Arial" w:eastAsia="Times New Roman" w:hAnsi="Arial" w:cs="Arial"/>
                <w:b/>
                <w:bCs/>
                <w:color w:val="000000"/>
                <w:sz w:val="16"/>
                <w:szCs w:val="16"/>
              </w:rPr>
              <w:t>RSUs</w:t>
            </w:r>
          </w:p>
        </w:tc>
        <w:tc>
          <w:tcPr>
            <w:tcW w:w="0" w:type="auto"/>
            <w:gridSpan w:val="3"/>
            <w:tcBorders>
              <w:top w:val="single" w:sz="8" w:space="0" w:color="000000"/>
            </w:tcBorders>
            <w:tcMar>
              <w:top w:w="0" w:type="dxa"/>
              <w:left w:w="20" w:type="dxa"/>
              <w:bottom w:w="0" w:type="dxa"/>
              <w:right w:w="20" w:type="dxa"/>
            </w:tcMar>
            <w:vAlign w:val="center"/>
            <w:hideMark/>
          </w:tcPr>
          <w:p w14:paraId="51793DD6"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461FF9" w14:textId="77777777" w:rsidR="00000000" w:rsidRDefault="00C01C43">
            <w:pPr>
              <w:jc w:val="center"/>
              <w:rPr>
                <w:rFonts w:eastAsia="Times New Roman"/>
              </w:rPr>
            </w:pPr>
            <w:r>
              <w:rPr>
                <w:rFonts w:ascii="Arial" w:eastAsia="Times New Roman" w:hAnsi="Arial" w:cs="Arial"/>
                <w:b/>
                <w:bCs/>
                <w:color w:val="000000"/>
                <w:sz w:val="16"/>
                <w:szCs w:val="16"/>
              </w:rPr>
              <w:t>Weighted Average Grant date Fair Value Price</w:t>
            </w:r>
          </w:p>
        </w:tc>
        <w:tc>
          <w:tcPr>
            <w:tcW w:w="0" w:type="auto"/>
            <w:gridSpan w:val="3"/>
            <w:tcBorders>
              <w:top w:val="single" w:sz="8" w:space="0" w:color="000000"/>
            </w:tcBorders>
            <w:tcMar>
              <w:top w:w="0" w:type="dxa"/>
              <w:left w:w="20" w:type="dxa"/>
              <w:bottom w:w="0" w:type="dxa"/>
              <w:right w:w="20" w:type="dxa"/>
            </w:tcMar>
            <w:vAlign w:val="center"/>
            <w:hideMark/>
          </w:tcPr>
          <w:p w14:paraId="24455625"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06963F" w14:textId="77777777" w:rsidR="00000000" w:rsidRDefault="00C01C43">
            <w:pPr>
              <w:jc w:val="center"/>
              <w:rPr>
                <w:rFonts w:eastAsia="Times New Roman"/>
              </w:rPr>
            </w:pPr>
            <w:r>
              <w:rPr>
                <w:rFonts w:ascii="Arial" w:eastAsia="Times New Roman" w:hAnsi="Arial" w:cs="Arial"/>
                <w:b/>
                <w:bCs/>
                <w:color w:val="000000"/>
                <w:sz w:val="16"/>
                <w:szCs w:val="16"/>
              </w:rPr>
              <w:t>Aggregate Intrinsic Value</w:t>
            </w:r>
          </w:p>
        </w:tc>
        <w:tc>
          <w:tcPr>
            <w:tcW w:w="0" w:type="auto"/>
            <w:gridSpan w:val="3"/>
            <w:tcBorders>
              <w:top w:val="single" w:sz="8" w:space="0" w:color="000000"/>
            </w:tcBorders>
            <w:tcMar>
              <w:top w:w="0" w:type="dxa"/>
              <w:left w:w="20" w:type="dxa"/>
              <w:bottom w:w="0" w:type="dxa"/>
              <w:right w:w="20" w:type="dxa"/>
            </w:tcMar>
            <w:vAlign w:val="center"/>
            <w:hideMark/>
          </w:tcPr>
          <w:p w14:paraId="7EBEA954"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72EF6D" w14:textId="77777777" w:rsidR="00000000" w:rsidRDefault="00C01C43">
            <w:pPr>
              <w:jc w:val="center"/>
              <w:rPr>
                <w:rFonts w:eastAsia="Times New Roman"/>
              </w:rPr>
            </w:pPr>
            <w:r>
              <w:rPr>
                <w:rFonts w:ascii="Arial" w:eastAsia="Times New Roman" w:hAnsi="Arial" w:cs="Arial"/>
                <w:b/>
                <w:bCs/>
                <w:color w:val="000000"/>
                <w:sz w:val="16"/>
                <w:szCs w:val="16"/>
              </w:rPr>
              <w:t>Weighted Average Remaining Contractual Life (in Years)</w:t>
            </w:r>
          </w:p>
        </w:tc>
      </w:tr>
      <w:tr w:rsidR="00000000" w14:paraId="2E3C8587" w14:textId="77777777">
        <w:trPr>
          <w:divId w:val="114269302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0221239" w14:textId="77777777" w:rsidR="00000000" w:rsidRDefault="00C01C43">
            <w:pPr>
              <w:rPr>
                <w:rFonts w:eastAsia="Times New Roman"/>
              </w:rPr>
            </w:pPr>
            <w:r>
              <w:rPr>
                <w:rFonts w:ascii="Arial" w:eastAsia="Times New Roman" w:hAnsi="Arial" w:cs="Arial"/>
                <w:color w:val="000000"/>
                <w:sz w:val="20"/>
                <w:szCs w:val="20"/>
              </w:rPr>
              <w:t>As of December 31, 2017</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21CEB3" w14:textId="77777777" w:rsidR="00000000" w:rsidRDefault="00C01C43">
            <w:pPr>
              <w:jc w:val="center"/>
              <w:rPr>
                <w:rFonts w:eastAsia="Times New Roman"/>
              </w:rPr>
            </w:pPr>
            <w:r>
              <w:rPr>
                <w:rFonts w:ascii="Arial" w:eastAsia="Times New Roman" w:hAnsi="Arial" w:cs="Arial"/>
                <w:color w:val="000000"/>
                <w:sz w:val="20"/>
                <w:szCs w:val="20"/>
              </w:rPr>
              <w:t>1.6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03997E" w14:textId="77777777" w:rsidR="00000000" w:rsidRDefault="00C01C43">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246944"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E71E29" w14:textId="77777777" w:rsidR="00000000" w:rsidRDefault="00C01C43">
            <w:pPr>
              <w:jc w:val="right"/>
              <w:rPr>
                <w:rFonts w:eastAsia="Times New Roman"/>
              </w:rPr>
            </w:pPr>
            <w:r>
              <w:rPr>
                <w:rFonts w:ascii="Arial" w:eastAsia="Times New Roman" w:hAnsi="Arial" w:cs="Arial"/>
                <w:color w:val="000000"/>
                <w:sz w:val="20"/>
                <w:szCs w:val="20"/>
              </w:rPr>
              <w:t>41.01 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7CD72C"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578961"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3E124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4FDE91" w14:textId="77777777" w:rsidR="00000000" w:rsidRDefault="00C01C43">
            <w:pPr>
              <w:jc w:val="right"/>
              <w:rPr>
                <w:rFonts w:eastAsia="Times New Roman"/>
              </w:rPr>
            </w:pPr>
            <w:r>
              <w:rPr>
                <w:rFonts w:ascii="Arial" w:eastAsia="Times New Roman" w:hAnsi="Arial" w:cs="Arial"/>
                <w:color w:val="000000"/>
                <w:sz w:val="20"/>
                <w:szCs w:val="20"/>
              </w:rPr>
              <w:t>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1A6A65"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707923"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8E40265" w14:textId="77777777" w:rsidR="00000000" w:rsidRDefault="00C01C43">
            <w:pPr>
              <w:jc w:val="center"/>
              <w:rPr>
                <w:rFonts w:eastAsia="Times New Roman"/>
              </w:rPr>
            </w:pPr>
            <w:r>
              <w:rPr>
                <w:rFonts w:ascii="Arial" w:eastAsia="Times New Roman" w:hAnsi="Arial" w:cs="Arial"/>
                <w:color w:val="000000"/>
                <w:sz w:val="20"/>
                <w:szCs w:val="20"/>
              </w:rPr>
              <w:t>1.4</w:t>
            </w:r>
          </w:p>
        </w:tc>
      </w:tr>
      <w:tr w:rsidR="00000000" w14:paraId="685FDE99" w14:textId="77777777">
        <w:trPr>
          <w:divId w:val="1142693029"/>
        </w:trPr>
        <w:tc>
          <w:tcPr>
            <w:tcW w:w="0" w:type="auto"/>
            <w:gridSpan w:val="3"/>
            <w:shd w:val="clear" w:color="auto" w:fill="FFFFFF"/>
            <w:tcMar>
              <w:top w:w="30" w:type="dxa"/>
              <w:left w:w="20" w:type="dxa"/>
              <w:bottom w:w="30" w:type="dxa"/>
              <w:right w:w="20" w:type="dxa"/>
            </w:tcMar>
            <w:vAlign w:val="bottom"/>
            <w:hideMark/>
          </w:tcPr>
          <w:p w14:paraId="62DB65A8" w14:textId="77777777" w:rsidR="00000000" w:rsidRDefault="00C01C43">
            <w:pPr>
              <w:rPr>
                <w:rFonts w:eastAsia="Times New Roman"/>
              </w:rPr>
            </w:pPr>
            <w:r>
              <w:rPr>
                <w:rFonts w:ascii="Arial" w:eastAsia="Times New Roman" w:hAnsi="Arial" w:cs="Arial"/>
                <w:color w:val="000000"/>
                <w:sz w:val="20"/>
                <w:szCs w:val="20"/>
              </w:rPr>
              <w:t>Granted</w:t>
            </w:r>
          </w:p>
        </w:tc>
        <w:tc>
          <w:tcPr>
            <w:tcW w:w="0" w:type="auto"/>
            <w:gridSpan w:val="3"/>
            <w:shd w:val="clear" w:color="auto" w:fill="FFFFFF"/>
            <w:tcMar>
              <w:top w:w="30" w:type="dxa"/>
              <w:left w:w="20" w:type="dxa"/>
              <w:bottom w:w="30" w:type="dxa"/>
              <w:right w:w="20" w:type="dxa"/>
            </w:tcMar>
            <w:vAlign w:val="bottom"/>
            <w:hideMark/>
          </w:tcPr>
          <w:p w14:paraId="15D7C12A" w14:textId="77777777" w:rsidR="00000000" w:rsidRDefault="00C01C43">
            <w:pPr>
              <w:jc w:val="center"/>
              <w:rPr>
                <w:rFonts w:eastAsia="Times New Roman"/>
              </w:rPr>
            </w:pPr>
            <w:r>
              <w:rPr>
                <w:rFonts w:ascii="Arial" w:eastAsia="Times New Roman" w:hAnsi="Arial" w:cs="Arial"/>
                <w:color w:val="000000"/>
                <w:sz w:val="20"/>
                <w:szCs w:val="20"/>
              </w:rPr>
              <w:t>0.2</w:t>
            </w:r>
          </w:p>
        </w:tc>
        <w:tc>
          <w:tcPr>
            <w:tcW w:w="0" w:type="auto"/>
            <w:gridSpan w:val="3"/>
            <w:shd w:val="clear" w:color="auto" w:fill="FFFFFF"/>
            <w:tcMar>
              <w:top w:w="0" w:type="dxa"/>
              <w:left w:w="20" w:type="dxa"/>
              <w:bottom w:w="0" w:type="dxa"/>
              <w:right w:w="20" w:type="dxa"/>
            </w:tcMar>
            <w:vAlign w:val="center"/>
            <w:hideMark/>
          </w:tcPr>
          <w:p w14:paraId="111A27A6" w14:textId="77777777" w:rsidR="00000000" w:rsidRDefault="00C01C4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6FD868" w14:textId="77777777" w:rsidR="00000000" w:rsidRDefault="00C01C43">
            <w:pPr>
              <w:jc w:val="right"/>
              <w:rPr>
                <w:rFonts w:eastAsia="Times New Roman"/>
              </w:rPr>
            </w:pPr>
            <w:r>
              <w:rPr>
                <w:rFonts w:ascii="Arial" w:eastAsia="Times New Roman" w:hAnsi="Arial" w:cs="Arial"/>
                <w:color w:val="000000"/>
                <w:sz w:val="20"/>
                <w:szCs w:val="20"/>
              </w:rPr>
              <w:t>22.02 </w:t>
            </w:r>
          </w:p>
        </w:tc>
        <w:tc>
          <w:tcPr>
            <w:tcW w:w="0" w:type="auto"/>
            <w:shd w:val="clear" w:color="auto" w:fill="FFFFFF"/>
            <w:tcMar>
              <w:top w:w="30" w:type="dxa"/>
              <w:left w:w="0" w:type="dxa"/>
              <w:bottom w:w="30" w:type="dxa"/>
              <w:right w:w="20" w:type="dxa"/>
            </w:tcMar>
            <w:vAlign w:val="bottom"/>
            <w:hideMark/>
          </w:tcPr>
          <w:p w14:paraId="64CDE41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47683"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335ADB"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31402C"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77D62A" w14:textId="77777777" w:rsidR="00000000" w:rsidRDefault="00C01C43">
            <w:pPr>
              <w:rPr>
                <w:rFonts w:eastAsia="Times New Roman"/>
                <w:sz w:val="20"/>
                <w:szCs w:val="20"/>
              </w:rPr>
            </w:pPr>
          </w:p>
        </w:tc>
      </w:tr>
      <w:tr w:rsidR="00000000" w14:paraId="365A2E98" w14:textId="77777777">
        <w:trPr>
          <w:divId w:val="1142693029"/>
        </w:trPr>
        <w:tc>
          <w:tcPr>
            <w:tcW w:w="0" w:type="auto"/>
            <w:gridSpan w:val="3"/>
            <w:shd w:val="clear" w:color="auto" w:fill="CCEEFF"/>
            <w:tcMar>
              <w:top w:w="30" w:type="dxa"/>
              <w:left w:w="20" w:type="dxa"/>
              <w:bottom w:w="30" w:type="dxa"/>
              <w:right w:w="20" w:type="dxa"/>
            </w:tcMar>
            <w:vAlign w:val="bottom"/>
            <w:hideMark/>
          </w:tcPr>
          <w:p w14:paraId="40EB8F84" w14:textId="77777777" w:rsidR="00000000" w:rsidRDefault="00C01C43">
            <w:pPr>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27ED7F11" w14:textId="77777777" w:rsidR="00000000" w:rsidRDefault="00C01C43">
            <w:pPr>
              <w:jc w:val="center"/>
              <w:rPr>
                <w:rFonts w:eastAsia="Times New Roman"/>
              </w:rPr>
            </w:pPr>
            <w:r>
              <w:rPr>
                <w:rFonts w:ascii="Arial" w:eastAsia="Times New Roman" w:hAnsi="Arial" w:cs="Arial"/>
                <w:color w:val="000000"/>
                <w:sz w:val="20"/>
                <w:szCs w:val="20"/>
              </w:rPr>
              <w:t>(0.3)</w:t>
            </w:r>
          </w:p>
        </w:tc>
        <w:tc>
          <w:tcPr>
            <w:tcW w:w="0" w:type="auto"/>
            <w:gridSpan w:val="3"/>
            <w:shd w:val="clear" w:color="auto" w:fill="CCEEFF"/>
            <w:tcMar>
              <w:top w:w="0" w:type="dxa"/>
              <w:left w:w="20" w:type="dxa"/>
              <w:bottom w:w="0" w:type="dxa"/>
              <w:right w:w="20" w:type="dxa"/>
            </w:tcMar>
            <w:vAlign w:val="center"/>
            <w:hideMark/>
          </w:tcPr>
          <w:p w14:paraId="5D3066EC" w14:textId="77777777" w:rsidR="00000000" w:rsidRDefault="00C01C4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E94AF8" w14:textId="77777777" w:rsidR="00000000" w:rsidRDefault="00C01C43">
            <w:pPr>
              <w:jc w:val="right"/>
              <w:rPr>
                <w:rFonts w:eastAsia="Times New Roman"/>
              </w:rPr>
            </w:pPr>
            <w:r>
              <w:rPr>
                <w:rFonts w:ascii="Arial" w:eastAsia="Times New Roman" w:hAnsi="Arial" w:cs="Arial"/>
                <w:color w:val="000000"/>
                <w:sz w:val="20"/>
                <w:szCs w:val="20"/>
              </w:rPr>
              <w:t>46.31 </w:t>
            </w:r>
          </w:p>
        </w:tc>
        <w:tc>
          <w:tcPr>
            <w:tcW w:w="0" w:type="auto"/>
            <w:shd w:val="clear" w:color="auto" w:fill="CCEEFF"/>
            <w:tcMar>
              <w:top w:w="30" w:type="dxa"/>
              <w:left w:w="0" w:type="dxa"/>
              <w:bottom w:w="30" w:type="dxa"/>
              <w:right w:w="20" w:type="dxa"/>
            </w:tcMar>
            <w:vAlign w:val="bottom"/>
            <w:hideMark/>
          </w:tcPr>
          <w:p w14:paraId="24EDE0C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47C6B"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B5FE11"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E0D347"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16236F" w14:textId="77777777" w:rsidR="00000000" w:rsidRDefault="00C01C43">
            <w:pPr>
              <w:rPr>
                <w:rFonts w:eastAsia="Times New Roman"/>
                <w:sz w:val="20"/>
                <w:szCs w:val="20"/>
              </w:rPr>
            </w:pPr>
          </w:p>
        </w:tc>
      </w:tr>
      <w:tr w:rsidR="00000000" w14:paraId="442D5994" w14:textId="77777777">
        <w:trPr>
          <w:divId w:val="1142693029"/>
        </w:trPr>
        <w:tc>
          <w:tcPr>
            <w:tcW w:w="0" w:type="auto"/>
            <w:gridSpan w:val="3"/>
            <w:shd w:val="clear" w:color="auto" w:fill="FFFFFF"/>
            <w:tcMar>
              <w:top w:w="30" w:type="dxa"/>
              <w:left w:w="20" w:type="dxa"/>
              <w:bottom w:w="30" w:type="dxa"/>
              <w:right w:w="20" w:type="dxa"/>
            </w:tcMar>
            <w:vAlign w:val="bottom"/>
            <w:hideMark/>
          </w:tcPr>
          <w:p w14:paraId="3CBA4BD2" w14:textId="77777777" w:rsidR="00000000" w:rsidRDefault="00C01C43">
            <w:pPr>
              <w:rPr>
                <w:rFonts w:eastAsia="Times New Roman"/>
              </w:rPr>
            </w:pPr>
            <w:r>
              <w:rPr>
                <w:rFonts w:ascii="Arial" w:eastAsia="Times New Roman" w:hAnsi="Arial" w:cs="Arial"/>
                <w:color w:val="000000"/>
                <w:sz w:val="20"/>
                <w:szCs w:val="20"/>
              </w:rPr>
              <w:t>Forfeited</w:t>
            </w:r>
          </w:p>
        </w:tc>
        <w:tc>
          <w:tcPr>
            <w:tcW w:w="0" w:type="auto"/>
            <w:gridSpan w:val="3"/>
            <w:shd w:val="clear" w:color="auto" w:fill="FFFFFF"/>
            <w:tcMar>
              <w:top w:w="30" w:type="dxa"/>
              <w:left w:w="20" w:type="dxa"/>
              <w:bottom w:w="30" w:type="dxa"/>
              <w:right w:w="20" w:type="dxa"/>
            </w:tcMar>
            <w:vAlign w:val="bottom"/>
            <w:hideMark/>
          </w:tcPr>
          <w:p w14:paraId="51FB7F85" w14:textId="77777777" w:rsidR="00000000" w:rsidRDefault="00C01C43">
            <w:pPr>
              <w:jc w:val="center"/>
              <w:rPr>
                <w:rFonts w:eastAsia="Times New Roman"/>
              </w:rPr>
            </w:pPr>
            <w:r>
              <w:rPr>
                <w:rFonts w:ascii="Arial" w:eastAsia="Times New Roman" w:hAnsi="Arial" w:cs="Arial"/>
                <w:color w:val="000000"/>
                <w:sz w:val="20"/>
                <w:szCs w:val="20"/>
              </w:rPr>
              <w:t>(0.2)</w:t>
            </w:r>
          </w:p>
        </w:tc>
        <w:tc>
          <w:tcPr>
            <w:tcW w:w="0" w:type="auto"/>
            <w:gridSpan w:val="3"/>
            <w:shd w:val="clear" w:color="auto" w:fill="FFFFFF"/>
            <w:tcMar>
              <w:top w:w="0" w:type="dxa"/>
              <w:left w:w="20" w:type="dxa"/>
              <w:bottom w:w="0" w:type="dxa"/>
              <w:right w:w="20" w:type="dxa"/>
            </w:tcMar>
            <w:vAlign w:val="center"/>
            <w:hideMark/>
          </w:tcPr>
          <w:p w14:paraId="3857EF0D" w14:textId="77777777" w:rsidR="00000000" w:rsidRDefault="00C01C4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7AA87B" w14:textId="77777777" w:rsidR="00000000" w:rsidRDefault="00C01C43">
            <w:pPr>
              <w:jc w:val="right"/>
              <w:rPr>
                <w:rFonts w:eastAsia="Times New Roman"/>
              </w:rPr>
            </w:pPr>
            <w:r>
              <w:rPr>
                <w:rFonts w:ascii="Arial" w:eastAsia="Times New Roman" w:hAnsi="Arial" w:cs="Arial"/>
                <w:color w:val="000000"/>
                <w:sz w:val="20"/>
                <w:szCs w:val="20"/>
              </w:rPr>
              <w:t>41.17 </w:t>
            </w:r>
          </w:p>
        </w:tc>
        <w:tc>
          <w:tcPr>
            <w:tcW w:w="0" w:type="auto"/>
            <w:shd w:val="clear" w:color="auto" w:fill="FFFFFF"/>
            <w:tcMar>
              <w:top w:w="30" w:type="dxa"/>
              <w:left w:w="0" w:type="dxa"/>
              <w:bottom w:w="30" w:type="dxa"/>
              <w:right w:w="20" w:type="dxa"/>
            </w:tcMar>
            <w:vAlign w:val="bottom"/>
            <w:hideMark/>
          </w:tcPr>
          <w:p w14:paraId="1C9E399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45DEC"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64218C"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67A03F"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7B670E" w14:textId="77777777" w:rsidR="00000000" w:rsidRDefault="00C01C43">
            <w:pPr>
              <w:rPr>
                <w:rFonts w:eastAsia="Times New Roman"/>
                <w:sz w:val="20"/>
                <w:szCs w:val="20"/>
              </w:rPr>
            </w:pPr>
          </w:p>
        </w:tc>
      </w:tr>
      <w:tr w:rsidR="00000000" w14:paraId="1B58A15A" w14:textId="77777777">
        <w:trPr>
          <w:divId w:val="1142693029"/>
        </w:trPr>
        <w:tc>
          <w:tcPr>
            <w:tcW w:w="0" w:type="auto"/>
            <w:gridSpan w:val="3"/>
            <w:shd w:val="clear" w:color="auto" w:fill="CCEEFF"/>
            <w:tcMar>
              <w:top w:w="30" w:type="dxa"/>
              <w:left w:w="20" w:type="dxa"/>
              <w:bottom w:w="30" w:type="dxa"/>
              <w:right w:w="20" w:type="dxa"/>
            </w:tcMar>
            <w:vAlign w:val="bottom"/>
            <w:hideMark/>
          </w:tcPr>
          <w:p w14:paraId="1AD26646" w14:textId="77777777" w:rsidR="00000000" w:rsidRDefault="00C01C43">
            <w:pPr>
              <w:rPr>
                <w:rFonts w:eastAsia="Times New Roman"/>
              </w:rPr>
            </w:pPr>
            <w:r>
              <w:rPr>
                <w:rFonts w:ascii="Arial" w:eastAsia="Times New Roman" w:hAnsi="Arial" w:cs="Arial"/>
                <w:color w:val="000000"/>
                <w:sz w:val="20"/>
                <w:szCs w:val="20"/>
              </w:rPr>
              <w:t>As of December 31, 2018</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AA474D" w14:textId="77777777" w:rsidR="00000000" w:rsidRDefault="00C01C43">
            <w:pPr>
              <w:jc w:val="center"/>
              <w:rPr>
                <w:rFonts w:eastAsia="Times New Roman"/>
              </w:rPr>
            </w:pPr>
            <w:r>
              <w:rPr>
                <w:rFonts w:ascii="Arial" w:eastAsia="Times New Roman" w:hAnsi="Arial" w:cs="Arial"/>
                <w:color w:val="000000"/>
                <w:sz w:val="20"/>
                <w:szCs w:val="20"/>
              </w:rPr>
              <w:t>1.3</w:t>
            </w:r>
          </w:p>
        </w:tc>
        <w:tc>
          <w:tcPr>
            <w:tcW w:w="0" w:type="auto"/>
            <w:gridSpan w:val="3"/>
            <w:shd w:val="clear" w:color="auto" w:fill="CCEEFF"/>
            <w:tcMar>
              <w:top w:w="0" w:type="dxa"/>
              <w:left w:w="20" w:type="dxa"/>
              <w:bottom w:w="0" w:type="dxa"/>
              <w:right w:w="20" w:type="dxa"/>
            </w:tcMar>
            <w:vAlign w:val="center"/>
            <w:hideMark/>
          </w:tcPr>
          <w:p w14:paraId="637E0D77" w14:textId="77777777" w:rsidR="00000000" w:rsidRDefault="00C01C4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D78CC8" w14:textId="77777777" w:rsidR="00000000" w:rsidRDefault="00C01C43">
            <w:pPr>
              <w:jc w:val="right"/>
              <w:rPr>
                <w:rFonts w:eastAsia="Times New Roman"/>
              </w:rPr>
            </w:pPr>
            <w:r>
              <w:rPr>
                <w:rFonts w:ascii="Arial" w:eastAsia="Times New Roman" w:hAnsi="Arial" w:cs="Arial"/>
                <w:color w:val="000000"/>
                <w:sz w:val="20"/>
                <w:szCs w:val="20"/>
              </w:rPr>
              <w:t>37.17 </w:t>
            </w:r>
          </w:p>
        </w:tc>
        <w:tc>
          <w:tcPr>
            <w:tcW w:w="0" w:type="auto"/>
            <w:shd w:val="clear" w:color="auto" w:fill="CCEEFF"/>
            <w:tcMar>
              <w:top w:w="30" w:type="dxa"/>
              <w:left w:w="0" w:type="dxa"/>
              <w:bottom w:w="30" w:type="dxa"/>
              <w:right w:w="20" w:type="dxa"/>
            </w:tcMar>
            <w:vAlign w:val="bottom"/>
            <w:hideMark/>
          </w:tcPr>
          <w:p w14:paraId="6940CCD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F3B6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97D74E" w14:textId="77777777" w:rsidR="00000000" w:rsidRDefault="00C01C43">
            <w:pPr>
              <w:jc w:val="right"/>
              <w:rPr>
                <w:rFonts w:eastAsia="Times New Roman"/>
              </w:rPr>
            </w:pPr>
            <w:r>
              <w:rPr>
                <w:rFonts w:ascii="Arial" w:eastAsia="Times New Roman" w:hAnsi="Arial" w:cs="Arial"/>
                <w:color w:val="000000"/>
                <w:sz w:val="20"/>
                <w:szCs w:val="20"/>
              </w:rPr>
              <w:t>28.3 </w:t>
            </w:r>
          </w:p>
        </w:tc>
        <w:tc>
          <w:tcPr>
            <w:tcW w:w="0" w:type="auto"/>
            <w:shd w:val="clear" w:color="auto" w:fill="CCEEFF"/>
            <w:tcMar>
              <w:top w:w="30" w:type="dxa"/>
              <w:left w:w="0" w:type="dxa"/>
              <w:bottom w:w="30" w:type="dxa"/>
              <w:right w:w="20" w:type="dxa"/>
            </w:tcMar>
            <w:vAlign w:val="bottom"/>
            <w:hideMark/>
          </w:tcPr>
          <w:p w14:paraId="6B2BBE5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25592" w14:textId="77777777" w:rsidR="00000000" w:rsidRDefault="00C01C4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E09719F" w14:textId="77777777" w:rsidR="00000000" w:rsidRDefault="00C01C43">
            <w:pPr>
              <w:jc w:val="center"/>
              <w:rPr>
                <w:rFonts w:eastAsia="Times New Roman"/>
              </w:rPr>
            </w:pPr>
            <w:r>
              <w:rPr>
                <w:rFonts w:ascii="Arial" w:eastAsia="Times New Roman" w:hAnsi="Arial" w:cs="Arial"/>
                <w:color w:val="000000"/>
                <w:sz w:val="20"/>
                <w:szCs w:val="20"/>
              </w:rPr>
              <w:t>1.0</w:t>
            </w:r>
          </w:p>
        </w:tc>
      </w:tr>
      <w:tr w:rsidR="00000000" w14:paraId="1DECFE81" w14:textId="77777777">
        <w:trPr>
          <w:divId w:val="1142693029"/>
        </w:trPr>
        <w:tc>
          <w:tcPr>
            <w:tcW w:w="0" w:type="auto"/>
            <w:gridSpan w:val="3"/>
            <w:shd w:val="clear" w:color="auto" w:fill="FFFFFF"/>
            <w:tcMar>
              <w:top w:w="30" w:type="dxa"/>
              <w:left w:w="20" w:type="dxa"/>
              <w:bottom w:w="30" w:type="dxa"/>
              <w:right w:w="20" w:type="dxa"/>
            </w:tcMar>
            <w:vAlign w:val="bottom"/>
            <w:hideMark/>
          </w:tcPr>
          <w:p w14:paraId="3232C333" w14:textId="77777777" w:rsidR="00000000" w:rsidRDefault="00C01C43">
            <w:pPr>
              <w:rPr>
                <w:rFonts w:eastAsia="Times New Roman"/>
              </w:rPr>
            </w:pPr>
            <w:r>
              <w:rPr>
                <w:rFonts w:ascii="Arial" w:eastAsia="Times New Roman" w:hAnsi="Arial" w:cs="Arial"/>
                <w:color w:val="000000"/>
                <w:sz w:val="20"/>
                <w:szCs w:val="20"/>
              </w:rPr>
              <w:t>Granted</w:t>
            </w:r>
          </w:p>
        </w:tc>
        <w:tc>
          <w:tcPr>
            <w:tcW w:w="0" w:type="auto"/>
            <w:gridSpan w:val="3"/>
            <w:shd w:val="clear" w:color="auto" w:fill="FFFFFF"/>
            <w:tcMar>
              <w:top w:w="30" w:type="dxa"/>
              <w:left w:w="20" w:type="dxa"/>
              <w:bottom w:w="30" w:type="dxa"/>
              <w:right w:w="20" w:type="dxa"/>
            </w:tcMar>
            <w:vAlign w:val="bottom"/>
            <w:hideMark/>
          </w:tcPr>
          <w:p w14:paraId="60775CA2" w14:textId="77777777" w:rsidR="00000000" w:rsidRDefault="00C01C43">
            <w:pPr>
              <w:jc w:val="center"/>
              <w:rPr>
                <w:rFonts w:eastAsia="Times New Roman"/>
              </w:rPr>
            </w:pPr>
            <w:r>
              <w:rPr>
                <w:rFonts w:ascii="Arial" w:eastAsia="Times New Roman" w:hAnsi="Arial" w:cs="Arial"/>
                <w:color w:val="000000"/>
                <w:sz w:val="20"/>
                <w:szCs w:val="20"/>
              </w:rPr>
              <w:t>0.3</w:t>
            </w:r>
          </w:p>
        </w:tc>
        <w:tc>
          <w:tcPr>
            <w:tcW w:w="0" w:type="auto"/>
            <w:gridSpan w:val="3"/>
            <w:shd w:val="clear" w:color="auto" w:fill="FFFFFF"/>
            <w:tcMar>
              <w:top w:w="0" w:type="dxa"/>
              <w:left w:w="20" w:type="dxa"/>
              <w:bottom w:w="0" w:type="dxa"/>
              <w:right w:w="20" w:type="dxa"/>
            </w:tcMar>
            <w:vAlign w:val="center"/>
            <w:hideMark/>
          </w:tcPr>
          <w:p w14:paraId="5E299C46" w14:textId="77777777" w:rsidR="00000000" w:rsidRDefault="00C01C4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5D1912" w14:textId="77777777" w:rsidR="00000000" w:rsidRDefault="00C01C43">
            <w:pPr>
              <w:jc w:val="right"/>
              <w:rPr>
                <w:rFonts w:eastAsia="Times New Roman"/>
              </w:rPr>
            </w:pPr>
            <w:r>
              <w:rPr>
                <w:rFonts w:ascii="Arial" w:eastAsia="Times New Roman" w:hAnsi="Arial" w:cs="Arial"/>
                <w:color w:val="000000"/>
                <w:sz w:val="20"/>
                <w:szCs w:val="20"/>
              </w:rPr>
              <w:t>29.69 </w:t>
            </w:r>
          </w:p>
        </w:tc>
        <w:tc>
          <w:tcPr>
            <w:tcW w:w="0" w:type="auto"/>
            <w:shd w:val="clear" w:color="auto" w:fill="FFFFFF"/>
            <w:tcMar>
              <w:top w:w="30" w:type="dxa"/>
              <w:left w:w="0" w:type="dxa"/>
              <w:bottom w:w="30" w:type="dxa"/>
              <w:right w:w="20" w:type="dxa"/>
            </w:tcMar>
            <w:vAlign w:val="bottom"/>
            <w:hideMark/>
          </w:tcPr>
          <w:p w14:paraId="7797BA1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CB6D50"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2D3EE7"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D2D72B"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956FC1" w14:textId="77777777" w:rsidR="00000000" w:rsidRDefault="00C01C43">
            <w:pPr>
              <w:rPr>
                <w:rFonts w:eastAsia="Times New Roman"/>
                <w:sz w:val="20"/>
                <w:szCs w:val="20"/>
              </w:rPr>
            </w:pPr>
          </w:p>
        </w:tc>
      </w:tr>
      <w:tr w:rsidR="00000000" w14:paraId="4EEAD1C9" w14:textId="77777777">
        <w:trPr>
          <w:divId w:val="1142693029"/>
        </w:trPr>
        <w:tc>
          <w:tcPr>
            <w:tcW w:w="0" w:type="auto"/>
            <w:gridSpan w:val="3"/>
            <w:shd w:val="clear" w:color="auto" w:fill="CCEEFF"/>
            <w:tcMar>
              <w:top w:w="30" w:type="dxa"/>
              <w:left w:w="20" w:type="dxa"/>
              <w:bottom w:w="30" w:type="dxa"/>
              <w:right w:w="20" w:type="dxa"/>
            </w:tcMar>
            <w:vAlign w:val="bottom"/>
            <w:hideMark/>
          </w:tcPr>
          <w:p w14:paraId="27EC67F7" w14:textId="77777777" w:rsidR="00000000" w:rsidRDefault="00C01C43">
            <w:pPr>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335D450D" w14:textId="77777777" w:rsidR="00000000" w:rsidRDefault="00C01C43">
            <w:pPr>
              <w:jc w:val="center"/>
              <w:rPr>
                <w:rFonts w:eastAsia="Times New Roman"/>
              </w:rPr>
            </w:pPr>
            <w:r>
              <w:rPr>
                <w:rFonts w:ascii="Arial" w:eastAsia="Times New Roman" w:hAnsi="Arial" w:cs="Arial"/>
                <w:color w:val="000000"/>
                <w:sz w:val="20"/>
                <w:szCs w:val="20"/>
              </w:rPr>
              <w:t>(0.4)</w:t>
            </w:r>
          </w:p>
        </w:tc>
        <w:tc>
          <w:tcPr>
            <w:tcW w:w="0" w:type="auto"/>
            <w:gridSpan w:val="3"/>
            <w:shd w:val="clear" w:color="auto" w:fill="CCEEFF"/>
            <w:tcMar>
              <w:top w:w="0" w:type="dxa"/>
              <w:left w:w="20" w:type="dxa"/>
              <w:bottom w:w="0" w:type="dxa"/>
              <w:right w:w="20" w:type="dxa"/>
            </w:tcMar>
            <w:vAlign w:val="center"/>
            <w:hideMark/>
          </w:tcPr>
          <w:p w14:paraId="1C2EC0CB" w14:textId="77777777" w:rsidR="00000000" w:rsidRDefault="00C01C4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A6E0A5" w14:textId="77777777" w:rsidR="00000000" w:rsidRDefault="00C01C43">
            <w:pPr>
              <w:jc w:val="right"/>
              <w:rPr>
                <w:rFonts w:eastAsia="Times New Roman"/>
              </w:rPr>
            </w:pPr>
            <w:r>
              <w:rPr>
                <w:rFonts w:ascii="Arial" w:eastAsia="Times New Roman" w:hAnsi="Arial" w:cs="Arial"/>
                <w:color w:val="000000"/>
                <w:sz w:val="20"/>
                <w:szCs w:val="20"/>
              </w:rPr>
              <w:t>37.34 </w:t>
            </w:r>
          </w:p>
        </w:tc>
        <w:tc>
          <w:tcPr>
            <w:tcW w:w="0" w:type="auto"/>
            <w:shd w:val="clear" w:color="auto" w:fill="CCEEFF"/>
            <w:tcMar>
              <w:top w:w="30" w:type="dxa"/>
              <w:left w:w="0" w:type="dxa"/>
              <w:bottom w:w="30" w:type="dxa"/>
              <w:right w:w="20" w:type="dxa"/>
            </w:tcMar>
            <w:vAlign w:val="bottom"/>
            <w:hideMark/>
          </w:tcPr>
          <w:p w14:paraId="4504FCE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67C18C"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791392"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F07751"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1E4FDE" w14:textId="77777777" w:rsidR="00000000" w:rsidRDefault="00C01C43">
            <w:pPr>
              <w:rPr>
                <w:rFonts w:eastAsia="Times New Roman"/>
                <w:sz w:val="20"/>
                <w:szCs w:val="20"/>
              </w:rPr>
            </w:pPr>
          </w:p>
        </w:tc>
      </w:tr>
      <w:tr w:rsidR="00000000" w14:paraId="79D24221" w14:textId="77777777">
        <w:trPr>
          <w:divId w:val="1142693029"/>
        </w:trPr>
        <w:tc>
          <w:tcPr>
            <w:tcW w:w="0" w:type="auto"/>
            <w:gridSpan w:val="3"/>
            <w:shd w:val="clear" w:color="auto" w:fill="FFFFFF"/>
            <w:tcMar>
              <w:top w:w="30" w:type="dxa"/>
              <w:left w:w="20" w:type="dxa"/>
              <w:bottom w:w="30" w:type="dxa"/>
              <w:right w:w="20" w:type="dxa"/>
            </w:tcMar>
            <w:vAlign w:val="bottom"/>
            <w:hideMark/>
          </w:tcPr>
          <w:p w14:paraId="217EF991" w14:textId="77777777" w:rsidR="00000000" w:rsidRDefault="00C01C43">
            <w:pPr>
              <w:rPr>
                <w:rFonts w:eastAsia="Times New Roman"/>
              </w:rPr>
            </w:pPr>
            <w:r>
              <w:rPr>
                <w:rFonts w:ascii="Arial" w:eastAsia="Times New Roman" w:hAnsi="Arial" w:cs="Arial"/>
                <w:color w:val="000000"/>
                <w:sz w:val="20"/>
                <w:szCs w:val="20"/>
              </w:rPr>
              <w:t>Forfeited</w:t>
            </w:r>
          </w:p>
        </w:tc>
        <w:tc>
          <w:tcPr>
            <w:tcW w:w="0" w:type="auto"/>
            <w:gridSpan w:val="3"/>
            <w:shd w:val="clear" w:color="auto" w:fill="FFFFFF"/>
            <w:tcMar>
              <w:top w:w="30" w:type="dxa"/>
              <w:left w:w="20" w:type="dxa"/>
              <w:bottom w:w="30" w:type="dxa"/>
              <w:right w:w="20" w:type="dxa"/>
            </w:tcMar>
            <w:vAlign w:val="bottom"/>
            <w:hideMark/>
          </w:tcPr>
          <w:p w14:paraId="1F38F895" w14:textId="77777777" w:rsidR="00000000" w:rsidRDefault="00C01C43">
            <w:pPr>
              <w:jc w:val="center"/>
              <w:rPr>
                <w:rFonts w:eastAsia="Times New Roman"/>
              </w:rPr>
            </w:pPr>
            <w:r>
              <w:rPr>
                <w:rFonts w:ascii="Arial" w:eastAsia="Times New Roman" w:hAnsi="Arial" w:cs="Arial"/>
                <w:color w:val="000000"/>
                <w:sz w:val="20"/>
                <w:szCs w:val="20"/>
              </w:rPr>
              <w:t>(0.1)</w:t>
            </w:r>
          </w:p>
        </w:tc>
        <w:tc>
          <w:tcPr>
            <w:tcW w:w="0" w:type="auto"/>
            <w:gridSpan w:val="3"/>
            <w:shd w:val="clear" w:color="auto" w:fill="FFFFFF"/>
            <w:tcMar>
              <w:top w:w="0" w:type="dxa"/>
              <w:left w:w="20" w:type="dxa"/>
              <w:bottom w:w="0" w:type="dxa"/>
              <w:right w:w="20" w:type="dxa"/>
            </w:tcMar>
            <w:vAlign w:val="center"/>
            <w:hideMark/>
          </w:tcPr>
          <w:p w14:paraId="67A53BDA" w14:textId="77777777" w:rsidR="00000000" w:rsidRDefault="00C01C4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F5FE39" w14:textId="77777777" w:rsidR="00000000" w:rsidRDefault="00C01C43">
            <w:pPr>
              <w:jc w:val="right"/>
              <w:rPr>
                <w:rFonts w:eastAsia="Times New Roman"/>
              </w:rPr>
            </w:pPr>
            <w:r>
              <w:rPr>
                <w:rFonts w:ascii="Arial" w:eastAsia="Times New Roman" w:hAnsi="Arial" w:cs="Arial"/>
                <w:color w:val="000000"/>
                <w:sz w:val="20"/>
                <w:szCs w:val="20"/>
              </w:rPr>
              <w:t>39.86 </w:t>
            </w:r>
          </w:p>
        </w:tc>
        <w:tc>
          <w:tcPr>
            <w:tcW w:w="0" w:type="auto"/>
            <w:shd w:val="clear" w:color="auto" w:fill="FFFFFF"/>
            <w:tcMar>
              <w:top w:w="30" w:type="dxa"/>
              <w:left w:w="0" w:type="dxa"/>
              <w:bottom w:w="30" w:type="dxa"/>
              <w:right w:w="20" w:type="dxa"/>
            </w:tcMar>
            <w:vAlign w:val="bottom"/>
            <w:hideMark/>
          </w:tcPr>
          <w:p w14:paraId="2026BD5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B0E13"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97A35A"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62933C"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B7089D" w14:textId="77777777" w:rsidR="00000000" w:rsidRDefault="00C01C43">
            <w:pPr>
              <w:rPr>
                <w:rFonts w:eastAsia="Times New Roman"/>
                <w:sz w:val="20"/>
                <w:szCs w:val="20"/>
              </w:rPr>
            </w:pPr>
          </w:p>
        </w:tc>
      </w:tr>
      <w:tr w:rsidR="00000000" w14:paraId="5794E52C" w14:textId="77777777">
        <w:trPr>
          <w:divId w:val="1142693029"/>
        </w:trPr>
        <w:tc>
          <w:tcPr>
            <w:tcW w:w="0" w:type="auto"/>
            <w:gridSpan w:val="3"/>
            <w:shd w:val="clear" w:color="auto" w:fill="CCEEFF"/>
            <w:tcMar>
              <w:top w:w="30" w:type="dxa"/>
              <w:left w:w="20" w:type="dxa"/>
              <w:bottom w:w="30" w:type="dxa"/>
              <w:right w:w="20" w:type="dxa"/>
            </w:tcMar>
            <w:vAlign w:val="bottom"/>
            <w:hideMark/>
          </w:tcPr>
          <w:p w14:paraId="123FD6B0" w14:textId="77777777" w:rsidR="00000000" w:rsidRDefault="00C01C43">
            <w:pPr>
              <w:rPr>
                <w:rFonts w:eastAsia="Times New Roman"/>
              </w:rPr>
            </w:pPr>
            <w:r>
              <w:rPr>
                <w:rFonts w:ascii="Arial" w:eastAsia="Times New Roman" w:hAnsi="Arial" w:cs="Arial"/>
                <w:color w:val="000000"/>
                <w:sz w:val="20"/>
                <w:szCs w:val="20"/>
              </w:rPr>
              <w:t>As of December 31, 2019</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1BEA97" w14:textId="77777777" w:rsidR="00000000" w:rsidRDefault="00C01C43">
            <w:pPr>
              <w:jc w:val="center"/>
              <w:rPr>
                <w:rFonts w:eastAsia="Times New Roman"/>
              </w:rPr>
            </w:pPr>
            <w:r>
              <w:rPr>
                <w:rFonts w:ascii="Arial" w:eastAsia="Times New Roman" w:hAnsi="Arial" w:cs="Arial"/>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14:paraId="680375B9" w14:textId="77777777" w:rsidR="00000000" w:rsidRDefault="00C01C4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C8365C" w14:textId="77777777" w:rsidR="00000000" w:rsidRDefault="00C01C43">
            <w:pPr>
              <w:jc w:val="right"/>
              <w:rPr>
                <w:rFonts w:eastAsia="Times New Roman"/>
              </w:rPr>
            </w:pPr>
            <w:r>
              <w:rPr>
                <w:rFonts w:ascii="Arial" w:eastAsia="Times New Roman" w:hAnsi="Arial" w:cs="Arial"/>
                <w:color w:val="000000"/>
                <w:sz w:val="20"/>
                <w:szCs w:val="20"/>
              </w:rPr>
              <w:t>32.50 </w:t>
            </w:r>
          </w:p>
        </w:tc>
        <w:tc>
          <w:tcPr>
            <w:tcW w:w="0" w:type="auto"/>
            <w:shd w:val="clear" w:color="auto" w:fill="CCEEFF"/>
            <w:tcMar>
              <w:top w:w="30" w:type="dxa"/>
              <w:left w:w="0" w:type="dxa"/>
              <w:bottom w:w="30" w:type="dxa"/>
              <w:right w:w="20" w:type="dxa"/>
            </w:tcMar>
            <w:vAlign w:val="bottom"/>
            <w:hideMark/>
          </w:tcPr>
          <w:p w14:paraId="06DA66C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6983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2A7CB4" w14:textId="77777777" w:rsidR="00000000" w:rsidRDefault="00C01C43">
            <w:pPr>
              <w:jc w:val="right"/>
              <w:rPr>
                <w:rFonts w:eastAsia="Times New Roman"/>
              </w:rPr>
            </w:pPr>
            <w:r>
              <w:rPr>
                <w:rFonts w:ascii="Arial" w:eastAsia="Times New Roman" w:hAnsi="Arial" w:cs="Arial"/>
                <w:color w:val="000000"/>
                <w:sz w:val="20"/>
                <w:szCs w:val="20"/>
              </w:rPr>
              <w:t>53.2 </w:t>
            </w:r>
          </w:p>
        </w:tc>
        <w:tc>
          <w:tcPr>
            <w:tcW w:w="0" w:type="auto"/>
            <w:shd w:val="clear" w:color="auto" w:fill="CCEEFF"/>
            <w:tcMar>
              <w:top w:w="30" w:type="dxa"/>
              <w:left w:w="0" w:type="dxa"/>
              <w:bottom w:w="30" w:type="dxa"/>
              <w:right w:w="20" w:type="dxa"/>
            </w:tcMar>
            <w:vAlign w:val="bottom"/>
            <w:hideMark/>
          </w:tcPr>
          <w:p w14:paraId="5DFECF7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B0744" w14:textId="77777777" w:rsidR="00000000" w:rsidRDefault="00C01C4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C02842A" w14:textId="77777777" w:rsidR="00000000" w:rsidRDefault="00C01C43">
            <w:pPr>
              <w:jc w:val="center"/>
              <w:rPr>
                <w:rFonts w:eastAsia="Times New Roman"/>
              </w:rPr>
            </w:pPr>
            <w:r>
              <w:rPr>
                <w:rFonts w:ascii="Arial" w:eastAsia="Times New Roman" w:hAnsi="Arial" w:cs="Arial"/>
                <w:color w:val="000000"/>
                <w:sz w:val="20"/>
                <w:szCs w:val="20"/>
              </w:rPr>
              <w:t>0.9</w:t>
            </w:r>
          </w:p>
        </w:tc>
      </w:tr>
      <w:tr w:rsidR="00000000" w14:paraId="0841E5A7" w14:textId="77777777">
        <w:trPr>
          <w:divId w:val="1142693029"/>
        </w:trPr>
        <w:tc>
          <w:tcPr>
            <w:tcW w:w="0" w:type="auto"/>
            <w:gridSpan w:val="3"/>
            <w:shd w:val="clear" w:color="auto" w:fill="FFFFFF"/>
            <w:tcMar>
              <w:top w:w="30" w:type="dxa"/>
              <w:left w:w="20" w:type="dxa"/>
              <w:bottom w:w="30" w:type="dxa"/>
              <w:right w:w="20" w:type="dxa"/>
            </w:tcMar>
            <w:vAlign w:val="bottom"/>
            <w:hideMark/>
          </w:tcPr>
          <w:p w14:paraId="06289F61" w14:textId="77777777" w:rsidR="00000000" w:rsidRDefault="00C01C43">
            <w:pPr>
              <w:rPr>
                <w:rFonts w:eastAsia="Times New Roman"/>
              </w:rPr>
            </w:pPr>
            <w:r>
              <w:rPr>
                <w:rFonts w:ascii="Arial" w:eastAsia="Times New Roman" w:hAnsi="Arial" w:cs="Arial"/>
                <w:color w:val="000000"/>
                <w:sz w:val="20"/>
                <w:szCs w:val="20"/>
              </w:rPr>
              <w:t>Granted</w:t>
            </w:r>
          </w:p>
        </w:tc>
        <w:tc>
          <w:tcPr>
            <w:tcW w:w="0" w:type="auto"/>
            <w:gridSpan w:val="3"/>
            <w:shd w:val="clear" w:color="auto" w:fill="FFFFFF"/>
            <w:tcMar>
              <w:top w:w="30" w:type="dxa"/>
              <w:left w:w="20" w:type="dxa"/>
              <w:bottom w:w="30" w:type="dxa"/>
              <w:right w:w="20" w:type="dxa"/>
            </w:tcMar>
            <w:vAlign w:val="bottom"/>
            <w:hideMark/>
          </w:tcPr>
          <w:p w14:paraId="5F771046" w14:textId="77777777" w:rsidR="00000000" w:rsidRDefault="00C01C43">
            <w:pPr>
              <w:jc w:val="center"/>
              <w:rPr>
                <w:rFonts w:eastAsia="Times New Roman"/>
              </w:rPr>
            </w:pPr>
            <w:r>
              <w:rPr>
                <w:rFonts w:ascii="Arial" w:eastAsia="Times New Roman" w:hAnsi="Arial" w:cs="Arial"/>
                <w:color w:val="000000"/>
                <w:sz w:val="20"/>
                <w:szCs w:val="20"/>
              </w:rPr>
              <w:t>1.2</w:t>
            </w:r>
          </w:p>
        </w:tc>
        <w:tc>
          <w:tcPr>
            <w:tcW w:w="0" w:type="auto"/>
            <w:gridSpan w:val="3"/>
            <w:shd w:val="clear" w:color="auto" w:fill="FFFFFF"/>
            <w:tcMar>
              <w:top w:w="0" w:type="dxa"/>
              <w:left w:w="20" w:type="dxa"/>
              <w:bottom w:w="0" w:type="dxa"/>
              <w:right w:w="20" w:type="dxa"/>
            </w:tcMar>
            <w:vAlign w:val="center"/>
            <w:hideMark/>
          </w:tcPr>
          <w:p w14:paraId="75B82491" w14:textId="77777777" w:rsidR="00000000" w:rsidRDefault="00C01C4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5FD865" w14:textId="77777777" w:rsidR="00000000" w:rsidRDefault="00C01C43">
            <w:pPr>
              <w:jc w:val="right"/>
              <w:rPr>
                <w:rFonts w:eastAsia="Times New Roman"/>
              </w:rPr>
            </w:pPr>
            <w:r>
              <w:rPr>
                <w:rFonts w:ascii="Arial" w:eastAsia="Times New Roman" w:hAnsi="Arial" w:cs="Arial"/>
                <w:color w:val="000000"/>
                <w:sz w:val="20"/>
                <w:szCs w:val="20"/>
              </w:rPr>
              <w:t>23.30 </w:t>
            </w:r>
          </w:p>
        </w:tc>
        <w:tc>
          <w:tcPr>
            <w:tcW w:w="0" w:type="auto"/>
            <w:shd w:val="clear" w:color="auto" w:fill="FFFFFF"/>
            <w:tcMar>
              <w:top w:w="30" w:type="dxa"/>
              <w:left w:w="0" w:type="dxa"/>
              <w:bottom w:w="30" w:type="dxa"/>
              <w:right w:w="20" w:type="dxa"/>
            </w:tcMar>
            <w:vAlign w:val="bottom"/>
            <w:hideMark/>
          </w:tcPr>
          <w:p w14:paraId="5BFD6F2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D6064"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87AB87"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CC33A9"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E69729" w14:textId="77777777" w:rsidR="00000000" w:rsidRDefault="00C01C43">
            <w:pPr>
              <w:rPr>
                <w:rFonts w:eastAsia="Times New Roman"/>
                <w:sz w:val="20"/>
                <w:szCs w:val="20"/>
              </w:rPr>
            </w:pPr>
          </w:p>
        </w:tc>
      </w:tr>
      <w:tr w:rsidR="00000000" w14:paraId="7BD557C3" w14:textId="77777777">
        <w:trPr>
          <w:divId w:val="1142693029"/>
        </w:trPr>
        <w:tc>
          <w:tcPr>
            <w:tcW w:w="0" w:type="auto"/>
            <w:gridSpan w:val="3"/>
            <w:shd w:val="clear" w:color="auto" w:fill="CCEEFF"/>
            <w:tcMar>
              <w:top w:w="30" w:type="dxa"/>
              <w:left w:w="20" w:type="dxa"/>
              <w:bottom w:w="30" w:type="dxa"/>
              <w:right w:w="20" w:type="dxa"/>
            </w:tcMar>
            <w:vAlign w:val="bottom"/>
            <w:hideMark/>
          </w:tcPr>
          <w:p w14:paraId="6313DE8E" w14:textId="77777777" w:rsidR="00000000" w:rsidRDefault="00C01C43">
            <w:pPr>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0C4DD1D8" w14:textId="77777777" w:rsidR="00000000" w:rsidRDefault="00C01C43">
            <w:pPr>
              <w:jc w:val="center"/>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0.4)</w:t>
            </w:r>
          </w:p>
        </w:tc>
        <w:tc>
          <w:tcPr>
            <w:tcW w:w="0" w:type="auto"/>
            <w:gridSpan w:val="3"/>
            <w:shd w:val="clear" w:color="auto" w:fill="CCEEFF"/>
            <w:tcMar>
              <w:top w:w="0" w:type="dxa"/>
              <w:left w:w="20" w:type="dxa"/>
              <w:bottom w:w="0" w:type="dxa"/>
              <w:right w:w="20" w:type="dxa"/>
            </w:tcMar>
            <w:vAlign w:val="center"/>
            <w:hideMark/>
          </w:tcPr>
          <w:p w14:paraId="2078004C" w14:textId="77777777" w:rsidR="00000000" w:rsidRDefault="00C01C4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B01942" w14:textId="77777777" w:rsidR="00000000" w:rsidRDefault="00C01C43">
            <w:pPr>
              <w:jc w:val="right"/>
              <w:rPr>
                <w:rFonts w:eastAsia="Times New Roman"/>
              </w:rPr>
            </w:pPr>
            <w:r>
              <w:rPr>
                <w:rFonts w:ascii="Arial" w:eastAsia="Times New Roman" w:hAnsi="Arial" w:cs="Arial"/>
                <w:color w:val="000000"/>
                <w:sz w:val="20"/>
                <w:szCs w:val="20"/>
              </w:rPr>
              <w:t>36.12 </w:t>
            </w:r>
          </w:p>
        </w:tc>
        <w:tc>
          <w:tcPr>
            <w:tcW w:w="0" w:type="auto"/>
            <w:shd w:val="clear" w:color="auto" w:fill="CCEEFF"/>
            <w:tcMar>
              <w:top w:w="30" w:type="dxa"/>
              <w:left w:w="0" w:type="dxa"/>
              <w:bottom w:w="30" w:type="dxa"/>
              <w:right w:w="20" w:type="dxa"/>
            </w:tcMar>
            <w:vAlign w:val="bottom"/>
            <w:hideMark/>
          </w:tcPr>
          <w:p w14:paraId="1CC5D4E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85E9F9"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6DF4E8"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59676F"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E1F087" w14:textId="77777777" w:rsidR="00000000" w:rsidRDefault="00C01C43">
            <w:pPr>
              <w:rPr>
                <w:rFonts w:eastAsia="Times New Roman"/>
                <w:sz w:val="20"/>
                <w:szCs w:val="20"/>
              </w:rPr>
            </w:pPr>
          </w:p>
        </w:tc>
      </w:tr>
      <w:tr w:rsidR="00000000" w14:paraId="1B5ABD96" w14:textId="77777777">
        <w:trPr>
          <w:divId w:val="1142693029"/>
        </w:trPr>
        <w:tc>
          <w:tcPr>
            <w:tcW w:w="0" w:type="auto"/>
            <w:gridSpan w:val="3"/>
            <w:shd w:val="clear" w:color="auto" w:fill="FFFFFF"/>
            <w:tcMar>
              <w:top w:w="30" w:type="dxa"/>
              <w:left w:w="20" w:type="dxa"/>
              <w:bottom w:w="30" w:type="dxa"/>
              <w:right w:w="20" w:type="dxa"/>
            </w:tcMar>
            <w:vAlign w:val="bottom"/>
            <w:hideMark/>
          </w:tcPr>
          <w:p w14:paraId="4294C32F" w14:textId="77777777" w:rsidR="00000000" w:rsidRDefault="00C01C43">
            <w:pPr>
              <w:rPr>
                <w:rFonts w:eastAsia="Times New Roman"/>
              </w:rPr>
            </w:pPr>
            <w:r>
              <w:rPr>
                <w:rFonts w:ascii="Arial" w:eastAsia="Times New Roman" w:hAnsi="Arial" w:cs="Arial"/>
                <w:color w:val="000000"/>
                <w:sz w:val="20"/>
                <w:szCs w:val="20"/>
              </w:rPr>
              <w:t>Forfeited</w:t>
            </w:r>
          </w:p>
        </w:tc>
        <w:tc>
          <w:tcPr>
            <w:tcW w:w="0" w:type="auto"/>
            <w:gridSpan w:val="3"/>
            <w:shd w:val="clear" w:color="auto" w:fill="FFFFFF"/>
            <w:tcMar>
              <w:top w:w="30" w:type="dxa"/>
              <w:left w:w="20" w:type="dxa"/>
              <w:bottom w:w="30" w:type="dxa"/>
              <w:right w:w="20" w:type="dxa"/>
            </w:tcMar>
            <w:vAlign w:val="bottom"/>
            <w:hideMark/>
          </w:tcPr>
          <w:p w14:paraId="6010B8EA" w14:textId="77777777" w:rsidR="00000000" w:rsidRDefault="00C01C43">
            <w:pPr>
              <w:jc w:val="center"/>
              <w:rPr>
                <w:rFonts w:eastAsia="Times New Roman"/>
              </w:rPr>
            </w:pPr>
            <w:r>
              <w:rPr>
                <w:rFonts w:ascii="Arial" w:eastAsia="Times New Roman" w:hAnsi="Arial" w:cs="Arial"/>
                <w:color w:val="000000"/>
                <w:sz w:val="20"/>
                <w:szCs w:val="20"/>
              </w:rPr>
              <w:t>(0.2)</w:t>
            </w:r>
          </w:p>
        </w:tc>
        <w:tc>
          <w:tcPr>
            <w:tcW w:w="0" w:type="auto"/>
            <w:gridSpan w:val="3"/>
            <w:shd w:val="clear" w:color="auto" w:fill="FFFFFF"/>
            <w:tcMar>
              <w:top w:w="0" w:type="dxa"/>
              <w:left w:w="20" w:type="dxa"/>
              <w:bottom w:w="0" w:type="dxa"/>
              <w:right w:w="20" w:type="dxa"/>
            </w:tcMar>
            <w:vAlign w:val="center"/>
            <w:hideMark/>
          </w:tcPr>
          <w:p w14:paraId="7C92D6D9" w14:textId="77777777" w:rsidR="00000000" w:rsidRDefault="00C01C4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494DFA" w14:textId="77777777" w:rsidR="00000000" w:rsidRDefault="00C01C43">
            <w:pPr>
              <w:jc w:val="right"/>
              <w:rPr>
                <w:rFonts w:eastAsia="Times New Roman"/>
              </w:rPr>
            </w:pPr>
            <w:r>
              <w:rPr>
                <w:rFonts w:ascii="Arial" w:eastAsia="Times New Roman" w:hAnsi="Arial" w:cs="Arial"/>
                <w:color w:val="000000"/>
                <w:sz w:val="20"/>
                <w:szCs w:val="20"/>
              </w:rPr>
              <w:t>32.56 </w:t>
            </w:r>
          </w:p>
        </w:tc>
        <w:tc>
          <w:tcPr>
            <w:tcW w:w="0" w:type="auto"/>
            <w:shd w:val="clear" w:color="auto" w:fill="FFFFFF"/>
            <w:tcMar>
              <w:top w:w="30" w:type="dxa"/>
              <w:left w:w="0" w:type="dxa"/>
              <w:bottom w:w="30" w:type="dxa"/>
              <w:right w:w="20" w:type="dxa"/>
            </w:tcMar>
            <w:vAlign w:val="bottom"/>
            <w:hideMark/>
          </w:tcPr>
          <w:p w14:paraId="1F412F2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A17DA"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31BA45"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C3CC20"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7AA00C" w14:textId="77777777" w:rsidR="00000000" w:rsidRDefault="00C01C43">
            <w:pPr>
              <w:rPr>
                <w:rFonts w:eastAsia="Times New Roman"/>
                <w:sz w:val="20"/>
                <w:szCs w:val="20"/>
              </w:rPr>
            </w:pPr>
          </w:p>
        </w:tc>
      </w:tr>
      <w:tr w:rsidR="00000000" w14:paraId="1AA5C5C1" w14:textId="77777777">
        <w:trPr>
          <w:divId w:val="1142693029"/>
        </w:trPr>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14:paraId="0327D313" w14:textId="77777777" w:rsidR="00000000" w:rsidRDefault="00C01C43">
            <w:pPr>
              <w:rPr>
                <w:rFonts w:eastAsia="Times New Roman"/>
              </w:rPr>
            </w:pPr>
            <w:r>
              <w:rPr>
                <w:rFonts w:ascii="Arial" w:eastAsia="Times New Roman" w:hAnsi="Arial" w:cs="Arial"/>
                <w:color w:val="000000"/>
                <w:sz w:val="20"/>
                <w:szCs w:val="20"/>
              </w:rPr>
              <w:t>As of December 31, 2020</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29D9407E" w14:textId="77777777" w:rsidR="00000000" w:rsidRDefault="00C01C43">
            <w:pPr>
              <w:jc w:val="center"/>
              <w:rPr>
                <w:rFonts w:eastAsia="Times New Roman"/>
              </w:rPr>
            </w:pPr>
            <w:r>
              <w:rPr>
                <w:rFonts w:ascii="Arial" w:eastAsia="Times New Roman" w:hAnsi="Arial" w:cs="Arial"/>
                <w:color w:val="000000"/>
                <w:sz w:val="20"/>
                <w:szCs w:val="20"/>
              </w:rPr>
              <w:t>1.8</w:t>
            </w: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0E8BEB49" w14:textId="77777777" w:rsidR="00000000" w:rsidRDefault="00C01C43">
            <w:pPr>
              <w:jc w:val="center"/>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28CDFAE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11F5048" w14:textId="77777777" w:rsidR="00000000" w:rsidRDefault="00C01C43">
            <w:pPr>
              <w:jc w:val="right"/>
              <w:rPr>
                <w:rFonts w:eastAsia="Times New Roman"/>
              </w:rPr>
            </w:pPr>
            <w:r>
              <w:rPr>
                <w:rFonts w:ascii="Arial" w:eastAsia="Times New Roman" w:hAnsi="Arial" w:cs="Arial"/>
                <w:color w:val="000000"/>
                <w:sz w:val="20"/>
                <w:szCs w:val="20"/>
              </w:rPr>
              <w:t>25.17 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29577DE6" w14:textId="77777777" w:rsidR="00000000" w:rsidRDefault="00C01C43">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1C85ACAF" w14:textId="77777777" w:rsidR="00000000" w:rsidRDefault="00C01C43">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4F3E898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D2F0155" w14:textId="77777777" w:rsidR="00000000" w:rsidRDefault="00C01C43">
            <w:pPr>
              <w:jc w:val="right"/>
              <w:rPr>
                <w:rFonts w:eastAsia="Times New Roman"/>
              </w:rPr>
            </w:pPr>
            <w:r>
              <w:rPr>
                <w:rFonts w:ascii="Arial" w:eastAsia="Times New Roman" w:hAnsi="Arial" w:cs="Arial"/>
                <w:color w:val="000000"/>
                <w:sz w:val="20"/>
                <w:szCs w:val="20"/>
              </w:rPr>
              <w:t>57.1 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7F52F0A4" w14:textId="77777777" w:rsidR="00000000" w:rsidRDefault="00C01C43">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2BE6D0D2" w14:textId="77777777" w:rsidR="00000000" w:rsidRDefault="00C01C43">
            <w:pPr>
              <w:jc w:val="right"/>
              <w:rPr>
                <w:rFonts w:eastAsia="Times New Roman"/>
                <w:sz w:val="20"/>
                <w:szCs w:val="20"/>
              </w:rPr>
            </w:pPr>
          </w:p>
        </w:tc>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14:paraId="50E5CAE6" w14:textId="77777777" w:rsidR="00000000" w:rsidRDefault="00C01C43">
            <w:pPr>
              <w:jc w:val="center"/>
              <w:rPr>
                <w:rFonts w:eastAsia="Times New Roman"/>
              </w:rPr>
            </w:pPr>
            <w:r>
              <w:rPr>
                <w:rFonts w:ascii="Arial" w:eastAsia="Times New Roman" w:hAnsi="Arial" w:cs="Arial"/>
                <w:color w:val="000000"/>
                <w:sz w:val="20"/>
                <w:szCs w:val="20"/>
              </w:rPr>
              <w:t>1.3</w:t>
            </w:r>
          </w:p>
        </w:tc>
      </w:tr>
    </w:tbl>
    <w:p w14:paraId="64A03BAD" w14:textId="77777777" w:rsidR="00000000" w:rsidRDefault="00C01C43">
      <w:pPr>
        <w:jc w:val="both"/>
        <w:divId w:val="1778257925"/>
        <w:rPr>
          <w:rFonts w:eastAsia="Times New Roman"/>
        </w:rPr>
      </w:pPr>
      <w:r>
        <w:rPr>
          <w:rFonts w:ascii="Arial" w:eastAsia="Times New Roman" w:hAnsi="Arial" w:cs="Arial"/>
          <w:color w:val="000000"/>
          <w:sz w:val="20"/>
          <w:szCs w:val="20"/>
        </w:rPr>
        <w:t>The aggregate intrinsic value of RSUs vested during 2020, 2019 and 2018 was $10.8 million, $10.4 million and $5.8 million, respectively.</w:t>
      </w:r>
    </w:p>
    <w:p w14:paraId="721E4F62" w14:textId="77777777" w:rsidR="00000000" w:rsidRDefault="00C01C43">
      <w:pPr>
        <w:jc w:val="center"/>
        <w:divId w:val="418406622"/>
        <w:rPr>
          <w:rFonts w:eastAsia="Times New Roman"/>
        </w:rPr>
      </w:pPr>
      <w:r>
        <w:rPr>
          <w:rFonts w:ascii="Arial" w:eastAsia="Times New Roman" w:hAnsi="Arial" w:cs="Arial"/>
          <w:color w:val="000000"/>
          <w:sz w:val="16"/>
          <w:szCs w:val="16"/>
        </w:rPr>
        <w:t>76</w:t>
      </w:r>
    </w:p>
    <w:p w14:paraId="0FD86641" w14:textId="77777777" w:rsidR="00000000" w:rsidRDefault="00C01C43">
      <w:pPr>
        <w:rPr>
          <w:rFonts w:eastAsia="Times New Roman"/>
        </w:rPr>
      </w:pPr>
      <w:r>
        <w:rPr>
          <w:rFonts w:eastAsia="Times New Roman"/>
        </w:rPr>
        <w:pict w14:anchorId="1BC1D6A5">
          <v:rect id="_x0000_i1105" style="width:0;height:1.5pt" o:hralign="center" o:hrstd="t" o:hr="t" fillcolor="#a0a0a0" stroked="f"/>
        </w:pict>
      </w:r>
    </w:p>
    <w:p w14:paraId="7BD784A1" w14:textId="77777777" w:rsidR="00000000" w:rsidRDefault="00C01C43">
      <w:pPr>
        <w:divId w:val="745953123"/>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6081D76" w14:textId="77777777" w:rsidR="00000000" w:rsidRDefault="00C01C43">
      <w:pPr>
        <w:jc w:val="both"/>
        <w:rPr>
          <w:rFonts w:eastAsia="Times New Roman"/>
        </w:rPr>
      </w:pPr>
    </w:p>
    <w:p w14:paraId="505EECD7" w14:textId="77777777" w:rsidR="00000000" w:rsidRDefault="00C01C43">
      <w:pPr>
        <w:jc w:val="both"/>
        <w:divId w:val="714307433"/>
        <w:rPr>
          <w:rFonts w:eastAsia="Times New Roman"/>
        </w:rPr>
      </w:pPr>
      <w:r>
        <w:rPr>
          <w:rFonts w:ascii="Arial" w:eastAsia="Times New Roman" w:hAnsi="Arial" w:cs="Arial"/>
          <w:b/>
          <w:bCs/>
          <w:color w:val="000000"/>
          <w:sz w:val="20"/>
          <w:szCs w:val="20"/>
        </w:rPr>
        <w:t>SSAR Awards</w:t>
      </w:r>
    </w:p>
    <w:p w14:paraId="64B0DE0D" w14:textId="77777777" w:rsidR="00000000" w:rsidRDefault="00C01C43">
      <w:pPr>
        <w:jc w:val="both"/>
        <w:rPr>
          <w:rFonts w:eastAsia="Times New Roman"/>
        </w:rPr>
      </w:pPr>
      <w:r>
        <w:rPr>
          <w:rFonts w:ascii="Arial" w:eastAsia="Times New Roman" w:hAnsi="Arial" w:cs="Arial"/>
          <w:color w:val="000000"/>
          <w:sz w:val="20"/>
          <w:szCs w:val="20"/>
        </w:rPr>
        <w:t>The following table summarizes the status of our outstanding and exercisable SSAR Awards and related transactions for each of the following years (in millions, except weighted average exercise price and weighted average remaining contractual life data):</w:t>
      </w:r>
    </w:p>
    <w:tbl>
      <w:tblPr>
        <w:tblW w:w="4978" w:type="pct"/>
        <w:tblCellMar>
          <w:top w:w="15" w:type="dxa"/>
          <w:left w:w="15" w:type="dxa"/>
          <w:bottom w:w="15" w:type="dxa"/>
          <w:right w:w="15" w:type="dxa"/>
        </w:tblCellMar>
        <w:tblLook w:val="04A0" w:firstRow="1" w:lastRow="0" w:firstColumn="1" w:lastColumn="0" w:noHBand="0" w:noVBand="1"/>
      </w:tblPr>
      <w:tblGrid>
        <w:gridCol w:w="41"/>
        <w:gridCol w:w="1490"/>
        <w:gridCol w:w="36"/>
        <w:gridCol w:w="71"/>
        <w:gridCol w:w="540"/>
        <w:gridCol w:w="36"/>
        <w:gridCol w:w="133"/>
        <w:gridCol w:w="673"/>
        <w:gridCol w:w="37"/>
        <w:gridCol w:w="133"/>
        <w:gridCol w:w="735"/>
        <w:gridCol w:w="36"/>
        <w:gridCol w:w="94"/>
        <w:gridCol w:w="826"/>
        <w:gridCol w:w="36"/>
        <w:gridCol w:w="65"/>
        <w:gridCol w:w="547"/>
        <w:gridCol w:w="36"/>
        <w:gridCol w:w="133"/>
        <w:gridCol w:w="673"/>
        <w:gridCol w:w="37"/>
        <w:gridCol w:w="133"/>
        <w:gridCol w:w="736"/>
        <w:gridCol w:w="36"/>
        <w:gridCol w:w="94"/>
        <w:gridCol w:w="826"/>
        <w:gridCol w:w="36"/>
      </w:tblGrid>
      <w:tr w:rsidR="00000000" w14:paraId="3ABE2368" w14:textId="77777777">
        <w:trPr>
          <w:divId w:val="266036942"/>
        </w:trPr>
        <w:tc>
          <w:tcPr>
            <w:tcW w:w="50" w:type="pct"/>
            <w:vAlign w:val="center"/>
            <w:hideMark/>
          </w:tcPr>
          <w:p w14:paraId="704392C7" w14:textId="77777777" w:rsidR="00000000" w:rsidRDefault="00C01C43">
            <w:pPr>
              <w:jc w:val="both"/>
              <w:rPr>
                <w:rFonts w:eastAsia="Times New Roman"/>
              </w:rPr>
            </w:pPr>
          </w:p>
        </w:tc>
        <w:tc>
          <w:tcPr>
            <w:tcW w:w="1127" w:type="pct"/>
            <w:vAlign w:val="center"/>
            <w:hideMark/>
          </w:tcPr>
          <w:p w14:paraId="6B62D85F" w14:textId="77777777" w:rsidR="00000000" w:rsidRDefault="00C01C43">
            <w:pPr>
              <w:rPr>
                <w:rFonts w:eastAsia="Times New Roman"/>
                <w:sz w:val="20"/>
                <w:szCs w:val="20"/>
              </w:rPr>
            </w:pPr>
          </w:p>
        </w:tc>
        <w:tc>
          <w:tcPr>
            <w:tcW w:w="5" w:type="pct"/>
            <w:vAlign w:val="center"/>
            <w:hideMark/>
          </w:tcPr>
          <w:p w14:paraId="4A13ACEC" w14:textId="77777777" w:rsidR="00000000" w:rsidRDefault="00C01C43">
            <w:pPr>
              <w:rPr>
                <w:rFonts w:eastAsia="Times New Roman"/>
                <w:sz w:val="20"/>
                <w:szCs w:val="20"/>
              </w:rPr>
            </w:pPr>
          </w:p>
        </w:tc>
        <w:tc>
          <w:tcPr>
            <w:tcW w:w="50" w:type="pct"/>
            <w:vAlign w:val="center"/>
            <w:hideMark/>
          </w:tcPr>
          <w:p w14:paraId="6FDDAFAD" w14:textId="77777777" w:rsidR="00000000" w:rsidRDefault="00C01C43">
            <w:pPr>
              <w:rPr>
                <w:rFonts w:eastAsia="Times New Roman"/>
                <w:sz w:val="20"/>
                <w:szCs w:val="20"/>
              </w:rPr>
            </w:pPr>
          </w:p>
        </w:tc>
        <w:tc>
          <w:tcPr>
            <w:tcW w:w="385" w:type="pct"/>
            <w:vAlign w:val="center"/>
            <w:hideMark/>
          </w:tcPr>
          <w:p w14:paraId="26A966CD" w14:textId="77777777" w:rsidR="00000000" w:rsidRDefault="00C01C43">
            <w:pPr>
              <w:rPr>
                <w:rFonts w:eastAsia="Times New Roman"/>
                <w:sz w:val="20"/>
                <w:szCs w:val="20"/>
              </w:rPr>
            </w:pPr>
          </w:p>
        </w:tc>
        <w:tc>
          <w:tcPr>
            <w:tcW w:w="5" w:type="pct"/>
            <w:vAlign w:val="center"/>
            <w:hideMark/>
          </w:tcPr>
          <w:p w14:paraId="4BD99020" w14:textId="77777777" w:rsidR="00000000" w:rsidRDefault="00C01C43">
            <w:pPr>
              <w:rPr>
                <w:rFonts w:eastAsia="Times New Roman"/>
                <w:sz w:val="20"/>
                <w:szCs w:val="20"/>
              </w:rPr>
            </w:pPr>
          </w:p>
        </w:tc>
        <w:tc>
          <w:tcPr>
            <w:tcW w:w="50" w:type="pct"/>
            <w:vAlign w:val="center"/>
            <w:hideMark/>
          </w:tcPr>
          <w:p w14:paraId="747B0AAA" w14:textId="77777777" w:rsidR="00000000" w:rsidRDefault="00C01C43">
            <w:pPr>
              <w:rPr>
                <w:rFonts w:eastAsia="Times New Roman"/>
                <w:sz w:val="20"/>
                <w:szCs w:val="20"/>
              </w:rPr>
            </w:pPr>
          </w:p>
        </w:tc>
        <w:tc>
          <w:tcPr>
            <w:tcW w:w="422" w:type="pct"/>
            <w:vAlign w:val="center"/>
            <w:hideMark/>
          </w:tcPr>
          <w:p w14:paraId="2F55234E" w14:textId="77777777" w:rsidR="00000000" w:rsidRDefault="00C01C43">
            <w:pPr>
              <w:rPr>
                <w:rFonts w:eastAsia="Times New Roman"/>
                <w:sz w:val="20"/>
                <w:szCs w:val="20"/>
              </w:rPr>
            </w:pPr>
          </w:p>
        </w:tc>
        <w:tc>
          <w:tcPr>
            <w:tcW w:w="5" w:type="pct"/>
            <w:vAlign w:val="center"/>
            <w:hideMark/>
          </w:tcPr>
          <w:p w14:paraId="70383170" w14:textId="77777777" w:rsidR="00000000" w:rsidRDefault="00C01C43">
            <w:pPr>
              <w:rPr>
                <w:rFonts w:eastAsia="Times New Roman"/>
                <w:sz w:val="20"/>
                <w:szCs w:val="20"/>
              </w:rPr>
            </w:pPr>
          </w:p>
        </w:tc>
        <w:tc>
          <w:tcPr>
            <w:tcW w:w="50" w:type="pct"/>
            <w:vAlign w:val="center"/>
            <w:hideMark/>
          </w:tcPr>
          <w:p w14:paraId="36CD882E" w14:textId="77777777" w:rsidR="00000000" w:rsidRDefault="00C01C43">
            <w:pPr>
              <w:rPr>
                <w:rFonts w:eastAsia="Times New Roman"/>
                <w:sz w:val="20"/>
                <w:szCs w:val="20"/>
              </w:rPr>
            </w:pPr>
          </w:p>
        </w:tc>
        <w:tc>
          <w:tcPr>
            <w:tcW w:w="414" w:type="pct"/>
            <w:vAlign w:val="center"/>
            <w:hideMark/>
          </w:tcPr>
          <w:p w14:paraId="05EE152C" w14:textId="77777777" w:rsidR="00000000" w:rsidRDefault="00C01C43">
            <w:pPr>
              <w:rPr>
                <w:rFonts w:eastAsia="Times New Roman"/>
                <w:sz w:val="20"/>
                <w:szCs w:val="20"/>
              </w:rPr>
            </w:pPr>
          </w:p>
        </w:tc>
        <w:tc>
          <w:tcPr>
            <w:tcW w:w="5" w:type="pct"/>
            <w:vAlign w:val="center"/>
            <w:hideMark/>
          </w:tcPr>
          <w:p w14:paraId="19AEDEE7" w14:textId="77777777" w:rsidR="00000000" w:rsidRDefault="00C01C43">
            <w:pPr>
              <w:rPr>
                <w:rFonts w:eastAsia="Times New Roman"/>
                <w:sz w:val="20"/>
                <w:szCs w:val="20"/>
              </w:rPr>
            </w:pPr>
          </w:p>
        </w:tc>
        <w:tc>
          <w:tcPr>
            <w:tcW w:w="50" w:type="pct"/>
            <w:vAlign w:val="center"/>
            <w:hideMark/>
          </w:tcPr>
          <w:p w14:paraId="64A9F3F2" w14:textId="77777777" w:rsidR="00000000" w:rsidRDefault="00C01C43">
            <w:pPr>
              <w:rPr>
                <w:rFonts w:eastAsia="Times New Roman"/>
                <w:sz w:val="20"/>
                <w:szCs w:val="20"/>
              </w:rPr>
            </w:pPr>
          </w:p>
        </w:tc>
        <w:tc>
          <w:tcPr>
            <w:tcW w:w="444" w:type="pct"/>
            <w:vAlign w:val="center"/>
            <w:hideMark/>
          </w:tcPr>
          <w:p w14:paraId="6700754F" w14:textId="77777777" w:rsidR="00000000" w:rsidRDefault="00C01C43">
            <w:pPr>
              <w:rPr>
                <w:rFonts w:eastAsia="Times New Roman"/>
                <w:sz w:val="20"/>
                <w:szCs w:val="20"/>
              </w:rPr>
            </w:pPr>
          </w:p>
        </w:tc>
        <w:tc>
          <w:tcPr>
            <w:tcW w:w="5" w:type="pct"/>
            <w:vAlign w:val="center"/>
            <w:hideMark/>
          </w:tcPr>
          <w:p w14:paraId="17A15535" w14:textId="77777777" w:rsidR="00000000" w:rsidRDefault="00C01C43">
            <w:pPr>
              <w:rPr>
                <w:rFonts w:eastAsia="Times New Roman"/>
                <w:sz w:val="20"/>
                <w:szCs w:val="20"/>
              </w:rPr>
            </w:pPr>
          </w:p>
        </w:tc>
        <w:tc>
          <w:tcPr>
            <w:tcW w:w="50" w:type="pct"/>
            <w:vAlign w:val="center"/>
            <w:hideMark/>
          </w:tcPr>
          <w:p w14:paraId="234E8F3F" w14:textId="77777777" w:rsidR="00000000" w:rsidRDefault="00C01C43">
            <w:pPr>
              <w:rPr>
                <w:rFonts w:eastAsia="Times New Roman"/>
                <w:sz w:val="20"/>
                <w:szCs w:val="20"/>
              </w:rPr>
            </w:pPr>
          </w:p>
        </w:tc>
        <w:tc>
          <w:tcPr>
            <w:tcW w:w="422" w:type="pct"/>
            <w:vAlign w:val="center"/>
            <w:hideMark/>
          </w:tcPr>
          <w:p w14:paraId="17DA382F" w14:textId="77777777" w:rsidR="00000000" w:rsidRDefault="00C01C43">
            <w:pPr>
              <w:rPr>
                <w:rFonts w:eastAsia="Times New Roman"/>
                <w:sz w:val="20"/>
                <w:szCs w:val="20"/>
              </w:rPr>
            </w:pPr>
          </w:p>
        </w:tc>
        <w:tc>
          <w:tcPr>
            <w:tcW w:w="5" w:type="pct"/>
            <w:vAlign w:val="center"/>
            <w:hideMark/>
          </w:tcPr>
          <w:p w14:paraId="29AA23D0" w14:textId="77777777" w:rsidR="00000000" w:rsidRDefault="00C01C43">
            <w:pPr>
              <w:rPr>
                <w:rFonts w:eastAsia="Times New Roman"/>
                <w:sz w:val="20"/>
                <w:szCs w:val="20"/>
              </w:rPr>
            </w:pPr>
          </w:p>
        </w:tc>
        <w:tc>
          <w:tcPr>
            <w:tcW w:w="50" w:type="pct"/>
            <w:vAlign w:val="center"/>
            <w:hideMark/>
          </w:tcPr>
          <w:p w14:paraId="7F2CBA00" w14:textId="77777777" w:rsidR="00000000" w:rsidRDefault="00C01C43">
            <w:pPr>
              <w:rPr>
                <w:rFonts w:eastAsia="Times New Roman"/>
                <w:sz w:val="20"/>
                <w:szCs w:val="20"/>
              </w:rPr>
            </w:pPr>
          </w:p>
        </w:tc>
        <w:tc>
          <w:tcPr>
            <w:tcW w:w="422" w:type="pct"/>
            <w:vAlign w:val="center"/>
            <w:hideMark/>
          </w:tcPr>
          <w:p w14:paraId="71E8913A" w14:textId="77777777" w:rsidR="00000000" w:rsidRDefault="00C01C43">
            <w:pPr>
              <w:rPr>
                <w:rFonts w:eastAsia="Times New Roman"/>
                <w:sz w:val="20"/>
                <w:szCs w:val="20"/>
              </w:rPr>
            </w:pPr>
          </w:p>
        </w:tc>
        <w:tc>
          <w:tcPr>
            <w:tcW w:w="5" w:type="pct"/>
            <w:vAlign w:val="center"/>
            <w:hideMark/>
          </w:tcPr>
          <w:p w14:paraId="02184866" w14:textId="77777777" w:rsidR="00000000" w:rsidRDefault="00C01C43">
            <w:pPr>
              <w:rPr>
                <w:rFonts w:eastAsia="Times New Roman"/>
                <w:sz w:val="20"/>
                <w:szCs w:val="20"/>
              </w:rPr>
            </w:pPr>
          </w:p>
        </w:tc>
        <w:tc>
          <w:tcPr>
            <w:tcW w:w="50" w:type="pct"/>
            <w:vAlign w:val="center"/>
            <w:hideMark/>
          </w:tcPr>
          <w:p w14:paraId="789E1AF0" w14:textId="77777777" w:rsidR="00000000" w:rsidRDefault="00C01C43">
            <w:pPr>
              <w:rPr>
                <w:rFonts w:eastAsia="Times New Roman"/>
                <w:sz w:val="20"/>
                <w:szCs w:val="20"/>
              </w:rPr>
            </w:pPr>
          </w:p>
        </w:tc>
        <w:tc>
          <w:tcPr>
            <w:tcW w:w="422" w:type="pct"/>
            <w:vAlign w:val="center"/>
            <w:hideMark/>
          </w:tcPr>
          <w:p w14:paraId="647C57A2" w14:textId="77777777" w:rsidR="00000000" w:rsidRDefault="00C01C43">
            <w:pPr>
              <w:rPr>
                <w:rFonts w:eastAsia="Times New Roman"/>
                <w:sz w:val="20"/>
                <w:szCs w:val="20"/>
              </w:rPr>
            </w:pPr>
          </w:p>
        </w:tc>
        <w:tc>
          <w:tcPr>
            <w:tcW w:w="5" w:type="pct"/>
            <w:vAlign w:val="center"/>
            <w:hideMark/>
          </w:tcPr>
          <w:p w14:paraId="113AC8BB" w14:textId="77777777" w:rsidR="00000000" w:rsidRDefault="00C01C43">
            <w:pPr>
              <w:rPr>
                <w:rFonts w:eastAsia="Times New Roman"/>
                <w:sz w:val="20"/>
                <w:szCs w:val="20"/>
              </w:rPr>
            </w:pPr>
          </w:p>
        </w:tc>
        <w:tc>
          <w:tcPr>
            <w:tcW w:w="50" w:type="pct"/>
            <w:vAlign w:val="center"/>
            <w:hideMark/>
          </w:tcPr>
          <w:p w14:paraId="17337079" w14:textId="77777777" w:rsidR="00000000" w:rsidRDefault="00C01C43">
            <w:pPr>
              <w:rPr>
                <w:rFonts w:eastAsia="Times New Roman"/>
                <w:sz w:val="20"/>
                <w:szCs w:val="20"/>
              </w:rPr>
            </w:pPr>
          </w:p>
        </w:tc>
        <w:tc>
          <w:tcPr>
            <w:tcW w:w="444" w:type="pct"/>
            <w:vAlign w:val="center"/>
            <w:hideMark/>
          </w:tcPr>
          <w:p w14:paraId="2B6E90D3" w14:textId="77777777" w:rsidR="00000000" w:rsidRDefault="00C01C43">
            <w:pPr>
              <w:rPr>
                <w:rFonts w:eastAsia="Times New Roman"/>
                <w:sz w:val="20"/>
                <w:szCs w:val="20"/>
              </w:rPr>
            </w:pPr>
          </w:p>
        </w:tc>
        <w:tc>
          <w:tcPr>
            <w:tcW w:w="5" w:type="pct"/>
            <w:vAlign w:val="center"/>
            <w:hideMark/>
          </w:tcPr>
          <w:p w14:paraId="4BB6B157" w14:textId="77777777" w:rsidR="00000000" w:rsidRDefault="00C01C43">
            <w:pPr>
              <w:rPr>
                <w:rFonts w:eastAsia="Times New Roman"/>
                <w:sz w:val="20"/>
                <w:szCs w:val="20"/>
              </w:rPr>
            </w:pPr>
          </w:p>
        </w:tc>
      </w:tr>
      <w:tr w:rsidR="00000000" w14:paraId="11055791" w14:textId="77777777">
        <w:trPr>
          <w:divId w:val="266036942"/>
        </w:trPr>
        <w:tc>
          <w:tcPr>
            <w:tcW w:w="0" w:type="auto"/>
            <w:gridSpan w:val="3"/>
            <w:tcMar>
              <w:top w:w="0" w:type="dxa"/>
              <w:left w:w="20" w:type="dxa"/>
              <w:bottom w:w="0" w:type="dxa"/>
              <w:right w:w="20" w:type="dxa"/>
            </w:tcMar>
            <w:vAlign w:val="center"/>
            <w:hideMark/>
          </w:tcPr>
          <w:p w14:paraId="2B612D97" w14:textId="77777777" w:rsidR="00000000" w:rsidRDefault="00C01C43">
            <w:pPr>
              <w:rPr>
                <w:rFonts w:eastAsia="Times New Roman"/>
                <w:sz w:val="20"/>
                <w:szCs w:val="20"/>
              </w:rPr>
            </w:pPr>
          </w:p>
        </w:tc>
        <w:tc>
          <w:tcPr>
            <w:tcW w:w="0" w:type="auto"/>
            <w:gridSpan w:val="12"/>
            <w:tcMar>
              <w:top w:w="30" w:type="dxa"/>
              <w:left w:w="20" w:type="dxa"/>
              <w:bottom w:w="30" w:type="dxa"/>
              <w:right w:w="20" w:type="dxa"/>
            </w:tcMar>
            <w:vAlign w:val="bottom"/>
            <w:hideMark/>
          </w:tcPr>
          <w:p w14:paraId="4A1EC768" w14:textId="77777777" w:rsidR="00000000" w:rsidRDefault="00C01C43">
            <w:pPr>
              <w:jc w:val="center"/>
              <w:rPr>
                <w:rFonts w:eastAsia="Times New Roman"/>
              </w:rPr>
            </w:pPr>
            <w:r>
              <w:rPr>
                <w:rFonts w:ascii="Arial" w:eastAsia="Times New Roman" w:hAnsi="Arial" w:cs="Arial"/>
                <w:b/>
                <w:bCs/>
                <w:color w:val="000000"/>
                <w:sz w:val="16"/>
                <w:szCs w:val="16"/>
              </w:rPr>
              <w:t>SSAR Awards Outstanding</w:t>
            </w:r>
          </w:p>
        </w:tc>
        <w:tc>
          <w:tcPr>
            <w:tcW w:w="0" w:type="auto"/>
            <w:gridSpan w:val="12"/>
            <w:tcMar>
              <w:top w:w="30" w:type="dxa"/>
              <w:left w:w="20" w:type="dxa"/>
              <w:bottom w:w="30" w:type="dxa"/>
              <w:right w:w="20" w:type="dxa"/>
            </w:tcMar>
            <w:vAlign w:val="bottom"/>
            <w:hideMark/>
          </w:tcPr>
          <w:p w14:paraId="19D4BA8C" w14:textId="77777777" w:rsidR="00000000" w:rsidRDefault="00C01C43">
            <w:pPr>
              <w:jc w:val="center"/>
              <w:rPr>
                <w:rFonts w:eastAsia="Times New Roman"/>
              </w:rPr>
            </w:pPr>
            <w:r>
              <w:rPr>
                <w:rFonts w:ascii="Arial" w:eastAsia="Times New Roman" w:hAnsi="Arial" w:cs="Arial"/>
                <w:b/>
                <w:bCs/>
                <w:color w:val="000000"/>
                <w:sz w:val="16"/>
                <w:szCs w:val="16"/>
              </w:rPr>
              <w:t>SSAR Awards Exercisable</w:t>
            </w:r>
          </w:p>
        </w:tc>
      </w:tr>
      <w:tr w:rsidR="00000000" w14:paraId="791A1803" w14:textId="77777777">
        <w:trPr>
          <w:divId w:val="266036942"/>
        </w:trPr>
        <w:tc>
          <w:tcPr>
            <w:tcW w:w="0" w:type="auto"/>
            <w:gridSpan w:val="3"/>
            <w:tcBorders>
              <w:top w:val="single" w:sz="8" w:space="0" w:color="000000"/>
            </w:tcBorders>
            <w:tcMar>
              <w:top w:w="0" w:type="dxa"/>
              <w:left w:w="20" w:type="dxa"/>
              <w:bottom w:w="0" w:type="dxa"/>
              <w:right w:w="20" w:type="dxa"/>
            </w:tcMar>
            <w:vAlign w:val="center"/>
            <w:hideMark/>
          </w:tcPr>
          <w:p w14:paraId="14FD0CD3"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E1C881" w14:textId="77777777" w:rsidR="00000000" w:rsidRDefault="00C01C43">
            <w:pPr>
              <w:jc w:val="center"/>
              <w:rPr>
                <w:rFonts w:eastAsia="Times New Roman"/>
              </w:rPr>
            </w:pPr>
            <w:r>
              <w:rPr>
                <w:rFonts w:ascii="Arial" w:eastAsia="Times New Roman" w:hAnsi="Arial" w:cs="Arial"/>
                <w:b/>
                <w:bCs/>
                <w:color w:val="000000"/>
                <w:sz w:val="16"/>
                <w:szCs w:val="16"/>
              </w:rPr>
              <w:t>SSAR Awards</w:t>
            </w:r>
          </w:p>
        </w:tc>
        <w:tc>
          <w:tcPr>
            <w:tcW w:w="0" w:type="auto"/>
            <w:gridSpan w:val="3"/>
            <w:tcBorders>
              <w:top w:val="single" w:sz="8" w:space="0" w:color="000000"/>
            </w:tcBorders>
            <w:tcMar>
              <w:top w:w="30" w:type="dxa"/>
              <w:left w:w="20" w:type="dxa"/>
              <w:bottom w:w="30" w:type="dxa"/>
              <w:right w:w="20" w:type="dxa"/>
            </w:tcMar>
            <w:vAlign w:val="bottom"/>
            <w:hideMark/>
          </w:tcPr>
          <w:p w14:paraId="52D5CC23" w14:textId="77777777" w:rsidR="00000000" w:rsidRDefault="00C01C43">
            <w:pPr>
              <w:jc w:val="center"/>
              <w:rPr>
                <w:rFonts w:eastAsia="Times New Roman"/>
              </w:rPr>
            </w:pPr>
            <w:r>
              <w:rPr>
                <w:rFonts w:ascii="Arial" w:eastAsia="Times New Roman" w:hAnsi="Arial" w:cs="Arial"/>
                <w:b/>
                <w:bCs/>
                <w:color w:val="000000"/>
                <w:sz w:val="16"/>
                <w:szCs w:val="16"/>
              </w:rPr>
              <w:t>Weighted Average Exercise Price</w:t>
            </w:r>
          </w:p>
        </w:tc>
        <w:tc>
          <w:tcPr>
            <w:tcW w:w="0" w:type="auto"/>
            <w:gridSpan w:val="3"/>
            <w:tcBorders>
              <w:top w:val="single" w:sz="8" w:space="0" w:color="000000"/>
            </w:tcBorders>
            <w:tcMar>
              <w:top w:w="30" w:type="dxa"/>
              <w:left w:w="20" w:type="dxa"/>
              <w:bottom w:w="30" w:type="dxa"/>
              <w:right w:w="20" w:type="dxa"/>
            </w:tcMar>
            <w:vAlign w:val="bottom"/>
            <w:hideMark/>
          </w:tcPr>
          <w:p w14:paraId="6F053B4B" w14:textId="77777777" w:rsidR="00000000" w:rsidRDefault="00C01C43">
            <w:pPr>
              <w:jc w:val="center"/>
              <w:rPr>
                <w:rFonts w:eastAsia="Times New Roman"/>
              </w:rPr>
            </w:pPr>
            <w:r>
              <w:rPr>
                <w:rFonts w:ascii="Arial" w:eastAsia="Times New Roman" w:hAnsi="Arial" w:cs="Arial"/>
                <w:b/>
                <w:bCs/>
                <w:color w:val="000000"/>
                <w:sz w:val="16"/>
                <w:szCs w:val="16"/>
              </w:rPr>
              <w:t>Aggregate Intrinsic Value</w:t>
            </w:r>
          </w:p>
        </w:tc>
        <w:tc>
          <w:tcPr>
            <w:tcW w:w="0" w:type="auto"/>
            <w:gridSpan w:val="3"/>
            <w:tcBorders>
              <w:top w:val="single" w:sz="8" w:space="0" w:color="000000"/>
            </w:tcBorders>
            <w:tcMar>
              <w:top w:w="30" w:type="dxa"/>
              <w:left w:w="20" w:type="dxa"/>
              <w:bottom w:w="30" w:type="dxa"/>
              <w:right w:w="20" w:type="dxa"/>
            </w:tcMar>
            <w:vAlign w:val="bottom"/>
            <w:hideMark/>
          </w:tcPr>
          <w:p w14:paraId="36C0B19F" w14:textId="77777777" w:rsidR="00000000" w:rsidRDefault="00C01C43">
            <w:pPr>
              <w:jc w:val="center"/>
              <w:rPr>
                <w:rFonts w:eastAsia="Times New Roman"/>
              </w:rPr>
            </w:pPr>
            <w:r>
              <w:rPr>
                <w:rFonts w:ascii="Arial" w:eastAsia="Times New Roman" w:hAnsi="Arial" w:cs="Arial"/>
                <w:b/>
                <w:bCs/>
                <w:color w:val="000000"/>
                <w:sz w:val="16"/>
                <w:szCs w:val="16"/>
              </w:rPr>
              <w:t>Weighted Average Remaining Contractual Life (in Years)</w:t>
            </w:r>
          </w:p>
        </w:tc>
        <w:tc>
          <w:tcPr>
            <w:tcW w:w="0" w:type="auto"/>
            <w:gridSpan w:val="3"/>
            <w:tcBorders>
              <w:top w:val="single" w:sz="8" w:space="0" w:color="000000"/>
            </w:tcBorders>
            <w:tcMar>
              <w:top w:w="30" w:type="dxa"/>
              <w:left w:w="20" w:type="dxa"/>
              <w:bottom w:w="30" w:type="dxa"/>
              <w:right w:w="20" w:type="dxa"/>
            </w:tcMar>
            <w:vAlign w:val="bottom"/>
            <w:hideMark/>
          </w:tcPr>
          <w:p w14:paraId="196AE087" w14:textId="77777777" w:rsidR="00000000" w:rsidRDefault="00C01C43">
            <w:pPr>
              <w:jc w:val="center"/>
              <w:rPr>
                <w:rFonts w:eastAsia="Times New Roman"/>
              </w:rPr>
            </w:pPr>
            <w:r>
              <w:rPr>
                <w:rFonts w:ascii="Arial" w:eastAsia="Times New Roman" w:hAnsi="Arial" w:cs="Arial"/>
                <w:b/>
                <w:bCs/>
                <w:color w:val="000000"/>
                <w:sz w:val="16"/>
                <w:szCs w:val="16"/>
              </w:rPr>
              <w:t>SSAR Awards</w:t>
            </w:r>
          </w:p>
        </w:tc>
        <w:tc>
          <w:tcPr>
            <w:tcW w:w="0" w:type="auto"/>
            <w:gridSpan w:val="3"/>
            <w:tcBorders>
              <w:top w:val="single" w:sz="8" w:space="0" w:color="000000"/>
            </w:tcBorders>
            <w:tcMar>
              <w:top w:w="30" w:type="dxa"/>
              <w:left w:w="20" w:type="dxa"/>
              <w:bottom w:w="30" w:type="dxa"/>
              <w:right w:w="20" w:type="dxa"/>
            </w:tcMar>
            <w:vAlign w:val="bottom"/>
            <w:hideMark/>
          </w:tcPr>
          <w:p w14:paraId="343464A0" w14:textId="77777777" w:rsidR="00000000" w:rsidRDefault="00C01C43">
            <w:pPr>
              <w:jc w:val="center"/>
              <w:rPr>
                <w:rFonts w:eastAsia="Times New Roman"/>
              </w:rPr>
            </w:pPr>
            <w:r>
              <w:rPr>
                <w:rFonts w:ascii="Arial" w:eastAsia="Times New Roman" w:hAnsi="Arial" w:cs="Arial"/>
                <w:b/>
                <w:bCs/>
                <w:color w:val="000000"/>
                <w:sz w:val="16"/>
                <w:szCs w:val="16"/>
              </w:rPr>
              <w:t>Weighted Average Exercise Price</w:t>
            </w:r>
          </w:p>
        </w:tc>
        <w:tc>
          <w:tcPr>
            <w:tcW w:w="0" w:type="auto"/>
            <w:gridSpan w:val="3"/>
            <w:tcBorders>
              <w:top w:val="single" w:sz="8" w:space="0" w:color="000000"/>
            </w:tcBorders>
            <w:tcMar>
              <w:top w:w="30" w:type="dxa"/>
              <w:left w:w="20" w:type="dxa"/>
              <w:bottom w:w="30" w:type="dxa"/>
              <w:right w:w="20" w:type="dxa"/>
            </w:tcMar>
            <w:vAlign w:val="bottom"/>
            <w:hideMark/>
          </w:tcPr>
          <w:p w14:paraId="59050FD6" w14:textId="77777777" w:rsidR="00000000" w:rsidRDefault="00C01C43">
            <w:pPr>
              <w:jc w:val="center"/>
              <w:rPr>
                <w:rFonts w:eastAsia="Times New Roman"/>
              </w:rPr>
            </w:pPr>
            <w:r>
              <w:rPr>
                <w:rFonts w:ascii="Arial" w:eastAsia="Times New Roman" w:hAnsi="Arial" w:cs="Arial"/>
                <w:b/>
                <w:bCs/>
                <w:color w:val="000000"/>
                <w:sz w:val="16"/>
                <w:szCs w:val="16"/>
              </w:rPr>
              <w:t>Aggregate Intrinsic Value</w:t>
            </w:r>
          </w:p>
        </w:tc>
        <w:tc>
          <w:tcPr>
            <w:tcW w:w="0" w:type="auto"/>
            <w:gridSpan w:val="3"/>
            <w:tcBorders>
              <w:top w:val="single" w:sz="8" w:space="0" w:color="000000"/>
            </w:tcBorders>
            <w:tcMar>
              <w:top w:w="30" w:type="dxa"/>
              <w:left w:w="20" w:type="dxa"/>
              <w:bottom w:w="30" w:type="dxa"/>
              <w:right w:w="20" w:type="dxa"/>
            </w:tcMar>
            <w:vAlign w:val="bottom"/>
            <w:hideMark/>
          </w:tcPr>
          <w:p w14:paraId="323D6A0C" w14:textId="77777777" w:rsidR="00000000" w:rsidRDefault="00C01C43">
            <w:pPr>
              <w:jc w:val="center"/>
              <w:rPr>
                <w:rFonts w:eastAsia="Times New Roman"/>
              </w:rPr>
            </w:pPr>
            <w:r>
              <w:rPr>
                <w:rFonts w:ascii="Arial" w:eastAsia="Times New Roman" w:hAnsi="Arial" w:cs="Arial"/>
                <w:b/>
                <w:bCs/>
                <w:color w:val="000000"/>
                <w:sz w:val="16"/>
                <w:szCs w:val="16"/>
              </w:rPr>
              <w:t>Weighted Average Remaining Contractual Life (in Years)</w:t>
            </w:r>
          </w:p>
        </w:tc>
      </w:tr>
      <w:tr w:rsidR="00000000" w14:paraId="672808F2" w14:textId="77777777">
        <w:trPr>
          <w:divId w:val="26603694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9181A21" w14:textId="77777777" w:rsidR="00000000" w:rsidRDefault="00C01C43">
            <w:pPr>
              <w:rPr>
                <w:rFonts w:eastAsia="Times New Roman"/>
              </w:rPr>
            </w:pPr>
            <w:r>
              <w:rPr>
                <w:rFonts w:ascii="Arial" w:eastAsia="Times New Roman" w:hAnsi="Arial" w:cs="Arial"/>
                <w:color w:val="000000"/>
                <w:sz w:val="20"/>
                <w:szCs w:val="20"/>
              </w:rPr>
              <w:t>As of December 31, 2017</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CAF6BAF" w14:textId="77777777" w:rsidR="00000000" w:rsidRDefault="00C01C43">
            <w:pPr>
              <w:jc w:val="center"/>
              <w:rPr>
                <w:rFonts w:eastAsia="Times New Roman"/>
              </w:rPr>
            </w:pPr>
            <w:r>
              <w:rPr>
                <w:rFonts w:ascii="Arial" w:eastAsia="Times New Roman" w:hAnsi="Arial" w:cs="Arial"/>
                <w:color w:val="000000"/>
                <w:sz w:val="20"/>
                <w:szCs w:val="20"/>
              </w:rPr>
              <w:t>0.7</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C2F09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95A149" w14:textId="77777777" w:rsidR="00000000" w:rsidRDefault="00C01C43">
            <w:pPr>
              <w:jc w:val="right"/>
              <w:rPr>
                <w:rFonts w:eastAsia="Times New Roman"/>
              </w:rPr>
            </w:pPr>
            <w:r>
              <w:rPr>
                <w:rFonts w:ascii="Arial" w:eastAsia="Times New Roman" w:hAnsi="Arial" w:cs="Arial"/>
                <w:color w:val="000000"/>
                <w:sz w:val="20"/>
                <w:szCs w:val="20"/>
              </w:rPr>
              <w:t>40.27 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5936B9" w14:textId="77777777" w:rsidR="00000000" w:rsidRDefault="00C01C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9542C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30AC61"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51F37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2F5B0C2" w14:textId="77777777" w:rsidR="00000000" w:rsidRDefault="00C01C43">
            <w:pPr>
              <w:jc w:val="center"/>
              <w:rPr>
                <w:rFonts w:eastAsia="Times New Roman"/>
              </w:rPr>
            </w:pPr>
            <w:r>
              <w:rPr>
                <w:rFonts w:ascii="Arial" w:eastAsia="Times New Roman" w:hAnsi="Arial" w:cs="Arial"/>
                <w:color w:val="000000"/>
                <w:sz w:val="20"/>
                <w:szCs w:val="20"/>
              </w:rPr>
              <w:t>3.0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8AF9D8" w14:textId="77777777" w:rsidR="00000000" w:rsidRDefault="00C01C43">
            <w:pPr>
              <w:jc w:val="center"/>
              <w:rPr>
                <w:rFonts w:eastAsia="Times New Roman"/>
              </w:rPr>
            </w:pPr>
            <w:r>
              <w:rPr>
                <w:rFonts w:ascii="Arial" w:eastAsia="Times New Roman" w:hAnsi="Arial" w:cs="Arial"/>
                <w:color w:val="000000"/>
                <w:sz w:val="20"/>
                <w:szCs w:val="20"/>
              </w:rPr>
              <w:t>0.2</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9F7C8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793590" w14:textId="77777777" w:rsidR="00000000" w:rsidRDefault="00C01C43">
            <w:pPr>
              <w:jc w:val="right"/>
              <w:rPr>
                <w:rFonts w:eastAsia="Times New Roman"/>
              </w:rPr>
            </w:pPr>
            <w:r>
              <w:rPr>
                <w:rFonts w:ascii="Arial" w:eastAsia="Times New Roman" w:hAnsi="Arial" w:cs="Arial"/>
                <w:color w:val="000000"/>
                <w:sz w:val="20"/>
                <w:szCs w:val="20"/>
              </w:rPr>
              <w:t>42.76 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08AC15" w14:textId="77777777" w:rsidR="00000000" w:rsidRDefault="00C01C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BE6224"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C7E7FB"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1B470C"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4818069" w14:textId="77777777" w:rsidR="00000000" w:rsidRDefault="00C01C43">
            <w:pPr>
              <w:jc w:val="center"/>
              <w:rPr>
                <w:rFonts w:eastAsia="Times New Roman"/>
              </w:rPr>
            </w:pPr>
            <w:r>
              <w:rPr>
                <w:rFonts w:ascii="Arial" w:eastAsia="Times New Roman" w:hAnsi="Arial" w:cs="Arial"/>
                <w:color w:val="000000"/>
                <w:sz w:val="20"/>
                <w:szCs w:val="20"/>
              </w:rPr>
              <w:t>0.4</w:t>
            </w:r>
          </w:p>
        </w:tc>
      </w:tr>
      <w:tr w:rsidR="00000000" w14:paraId="73272F91" w14:textId="77777777">
        <w:trPr>
          <w:divId w:val="266036942"/>
        </w:trPr>
        <w:tc>
          <w:tcPr>
            <w:tcW w:w="0" w:type="auto"/>
            <w:gridSpan w:val="3"/>
            <w:shd w:val="clear" w:color="auto" w:fill="FFFFFF"/>
            <w:tcMar>
              <w:top w:w="30" w:type="dxa"/>
              <w:left w:w="20" w:type="dxa"/>
              <w:bottom w:w="30" w:type="dxa"/>
              <w:right w:w="20" w:type="dxa"/>
            </w:tcMar>
            <w:vAlign w:val="bottom"/>
            <w:hideMark/>
          </w:tcPr>
          <w:p w14:paraId="05EC0CBA" w14:textId="77777777" w:rsidR="00000000" w:rsidRDefault="00C01C43">
            <w:pPr>
              <w:rPr>
                <w:rFonts w:eastAsia="Times New Roman"/>
              </w:rPr>
            </w:pPr>
            <w:r>
              <w:rPr>
                <w:rFonts w:ascii="Arial" w:eastAsia="Times New Roman" w:hAnsi="Arial" w:cs="Arial"/>
                <w:color w:val="000000"/>
                <w:sz w:val="20"/>
                <w:szCs w:val="20"/>
              </w:rPr>
              <w:t>Granted</w:t>
            </w:r>
          </w:p>
        </w:tc>
        <w:tc>
          <w:tcPr>
            <w:tcW w:w="0" w:type="auto"/>
            <w:gridSpan w:val="3"/>
            <w:shd w:val="clear" w:color="auto" w:fill="FFFFFF"/>
            <w:tcMar>
              <w:top w:w="30" w:type="dxa"/>
              <w:left w:w="20" w:type="dxa"/>
              <w:bottom w:w="30" w:type="dxa"/>
              <w:right w:w="20" w:type="dxa"/>
            </w:tcMar>
            <w:vAlign w:val="bottom"/>
            <w:hideMark/>
          </w:tcPr>
          <w:p w14:paraId="4BB0E2C2" w14:textId="77777777" w:rsidR="00000000" w:rsidRDefault="00C01C43">
            <w:pPr>
              <w:jc w:val="center"/>
              <w:rPr>
                <w:rFonts w:eastAsia="Times New Roman"/>
              </w:rPr>
            </w:pPr>
            <w:r>
              <w:rPr>
                <w:rFonts w:ascii="Arial" w:eastAsia="Times New Roman" w:hAnsi="Arial" w:cs="Arial"/>
                <w:color w:val="000000"/>
                <w:sz w:val="20"/>
                <w:szCs w:val="20"/>
              </w:rPr>
              <w:t>1.2</w:t>
            </w:r>
          </w:p>
        </w:tc>
        <w:tc>
          <w:tcPr>
            <w:tcW w:w="0" w:type="auto"/>
            <w:gridSpan w:val="2"/>
            <w:shd w:val="clear" w:color="auto" w:fill="FFFFFF"/>
            <w:tcMar>
              <w:top w:w="30" w:type="dxa"/>
              <w:left w:w="20" w:type="dxa"/>
              <w:bottom w:w="30" w:type="dxa"/>
              <w:right w:w="0" w:type="dxa"/>
            </w:tcMar>
            <w:vAlign w:val="bottom"/>
            <w:hideMark/>
          </w:tcPr>
          <w:p w14:paraId="5BF8063D" w14:textId="77777777" w:rsidR="00000000" w:rsidRDefault="00C01C43">
            <w:pPr>
              <w:jc w:val="right"/>
              <w:rPr>
                <w:rFonts w:eastAsia="Times New Roman"/>
              </w:rPr>
            </w:pPr>
            <w:r>
              <w:rPr>
                <w:rFonts w:ascii="Arial" w:eastAsia="Times New Roman" w:hAnsi="Arial" w:cs="Arial"/>
                <w:color w:val="000000"/>
                <w:sz w:val="20"/>
                <w:szCs w:val="20"/>
              </w:rPr>
              <w:t>27.08 </w:t>
            </w:r>
          </w:p>
        </w:tc>
        <w:tc>
          <w:tcPr>
            <w:tcW w:w="0" w:type="auto"/>
            <w:shd w:val="clear" w:color="auto" w:fill="FFFFFF"/>
            <w:tcMar>
              <w:top w:w="30" w:type="dxa"/>
              <w:left w:w="0" w:type="dxa"/>
              <w:bottom w:w="30" w:type="dxa"/>
              <w:right w:w="20" w:type="dxa"/>
            </w:tcMar>
            <w:vAlign w:val="bottom"/>
            <w:hideMark/>
          </w:tcPr>
          <w:p w14:paraId="5514433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3E596"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6B52FA"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5B3676"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450716"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2DB601"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AC0421" w14:textId="77777777" w:rsidR="00000000" w:rsidRDefault="00C01C43">
            <w:pPr>
              <w:rPr>
                <w:rFonts w:eastAsia="Times New Roman"/>
                <w:sz w:val="20"/>
                <w:szCs w:val="20"/>
              </w:rPr>
            </w:pPr>
          </w:p>
        </w:tc>
      </w:tr>
      <w:tr w:rsidR="00000000" w14:paraId="6C1EDD51" w14:textId="77777777">
        <w:trPr>
          <w:divId w:val="266036942"/>
        </w:trPr>
        <w:tc>
          <w:tcPr>
            <w:tcW w:w="0" w:type="auto"/>
            <w:gridSpan w:val="3"/>
            <w:shd w:val="clear" w:color="auto" w:fill="CCEEFF"/>
            <w:tcMar>
              <w:top w:w="30" w:type="dxa"/>
              <w:left w:w="20" w:type="dxa"/>
              <w:bottom w:w="30" w:type="dxa"/>
              <w:right w:w="20" w:type="dxa"/>
            </w:tcMar>
            <w:vAlign w:val="bottom"/>
            <w:hideMark/>
          </w:tcPr>
          <w:p w14:paraId="4158B5C0" w14:textId="77777777" w:rsidR="00000000" w:rsidRDefault="00C01C43">
            <w:pPr>
              <w:rPr>
                <w:rFonts w:eastAsia="Times New Roman"/>
              </w:rPr>
            </w:pPr>
            <w:r>
              <w:rPr>
                <w:rFonts w:ascii="Arial" w:eastAsia="Times New Roman" w:hAnsi="Arial" w:cs="Arial"/>
                <w:color w:val="000000"/>
                <w:sz w:val="20"/>
                <w:szCs w:val="20"/>
              </w:rPr>
              <w:t>Exercised</w:t>
            </w:r>
          </w:p>
        </w:tc>
        <w:tc>
          <w:tcPr>
            <w:tcW w:w="0" w:type="auto"/>
            <w:gridSpan w:val="3"/>
            <w:shd w:val="clear" w:color="auto" w:fill="CCEEFF"/>
            <w:tcMar>
              <w:top w:w="30" w:type="dxa"/>
              <w:left w:w="20" w:type="dxa"/>
              <w:bottom w:w="30" w:type="dxa"/>
              <w:right w:w="20" w:type="dxa"/>
            </w:tcMar>
            <w:vAlign w:val="bottom"/>
            <w:hideMark/>
          </w:tcPr>
          <w:p w14:paraId="03416C22"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7FDDFE9C"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27D919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476CC8"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24F21A"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6897D4"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956554"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5CFBAB"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2F92C7" w14:textId="77777777" w:rsidR="00000000" w:rsidRDefault="00C01C43">
            <w:pPr>
              <w:rPr>
                <w:rFonts w:eastAsia="Times New Roman"/>
                <w:sz w:val="20"/>
                <w:szCs w:val="20"/>
              </w:rPr>
            </w:pPr>
          </w:p>
        </w:tc>
      </w:tr>
      <w:tr w:rsidR="00000000" w14:paraId="724521C2" w14:textId="77777777">
        <w:trPr>
          <w:divId w:val="266036942"/>
        </w:trPr>
        <w:tc>
          <w:tcPr>
            <w:tcW w:w="0" w:type="auto"/>
            <w:gridSpan w:val="3"/>
            <w:shd w:val="clear" w:color="auto" w:fill="FFFFFF"/>
            <w:tcMar>
              <w:top w:w="30" w:type="dxa"/>
              <w:left w:w="20" w:type="dxa"/>
              <w:bottom w:w="30" w:type="dxa"/>
              <w:right w:w="20" w:type="dxa"/>
            </w:tcMar>
            <w:vAlign w:val="bottom"/>
            <w:hideMark/>
          </w:tcPr>
          <w:p w14:paraId="771D6488" w14:textId="77777777" w:rsidR="00000000" w:rsidRDefault="00C01C43">
            <w:pPr>
              <w:rPr>
                <w:rFonts w:eastAsia="Times New Roman"/>
              </w:rPr>
            </w:pPr>
            <w:r>
              <w:rPr>
                <w:rFonts w:ascii="Arial" w:eastAsia="Times New Roman" w:hAnsi="Arial" w:cs="Arial"/>
                <w:color w:val="000000"/>
                <w:sz w:val="20"/>
                <w:szCs w:val="20"/>
              </w:rPr>
              <w:t>Forfeited</w:t>
            </w:r>
          </w:p>
        </w:tc>
        <w:tc>
          <w:tcPr>
            <w:tcW w:w="0" w:type="auto"/>
            <w:gridSpan w:val="3"/>
            <w:shd w:val="clear" w:color="auto" w:fill="FFFFFF"/>
            <w:tcMar>
              <w:top w:w="30" w:type="dxa"/>
              <w:left w:w="20" w:type="dxa"/>
              <w:bottom w:w="30" w:type="dxa"/>
              <w:right w:w="20" w:type="dxa"/>
            </w:tcMar>
            <w:vAlign w:val="bottom"/>
            <w:hideMark/>
          </w:tcPr>
          <w:p w14:paraId="3DA6BC34" w14:textId="77777777" w:rsidR="00000000" w:rsidRDefault="00C01C43">
            <w:pPr>
              <w:jc w:val="center"/>
              <w:rPr>
                <w:rFonts w:eastAsia="Times New Roman"/>
              </w:rPr>
            </w:pPr>
            <w:r>
              <w:rPr>
                <w:rFonts w:ascii="Arial" w:eastAsia="Times New Roman" w:hAnsi="Arial" w:cs="Arial"/>
                <w:color w:val="000000"/>
                <w:sz w:val="20"/>
                <w:szCs w:val="20"/>
              </w:rPr>
              <w:t>(0.4)</w:t>
            </w:r>
          </w:p>
        </w:tc>
        <w:tc>
          <w:tcPr>
            <w:tcW w:w="0" w:type="auto"/>
            <w:gridSpan w:val="2"/>
            <w:shd w:val="clear" w:color="auto" w:fill="FFFFFF"/>
            <w:tcMar>
              <w:top w:w="30" w:type="dxa"/>
              <w:left w:w="20" w:type="dxa"/>
              <w:bottom w:w="30" w:type="dxa"/>
              <w:right w:w="0" w:type="dxa"/>
            </w:tcMar>
            <w:vAlign w:val="bottom"/>
            <w:hideMark/>
          </w:tcPr>
          <w:p w14:paraId="408EE80A" w14:textId="77777777" w:rsidR="00000000" w:rsidRDefault="00C01C43">
            <w:pPr>
              <w:jc w:val="right"/>
              <w:rPr>
                <w:rFonts w:eastAsia="Times New Roman"/>
              </w:rPr>
            </w:pPr>
            <w:r>
              <w:rPr>
                <w:rFonts w:ascii="Arial" w:eastAsia="Times New Roman" w:hAnsi="Arial" w:cs="Arial"/>
                <w:color w:val="000000"/>
                <w:sz w:val="20"/>
                <w:szCs w:val="20"/>
              </w:rPr>
              <w:t>38.53 </w:t>
            </w:r>
          </w:p>
        </w:tc>
        <w:tc>
          <w:tcPr>
            <w:tcW w:w="0" w:type="auto"/>
            <w:shd w:val="clear" w:color="auto" w:fill="FFFFFF"/>
            <w:tcMar>
              <w:top w:w="30" w:type="dxa"/>
              <w:left w:w="0" w:type="dxa"/>
              <w:bottom w:w="30" w:type="dxa"/>
              <w:right w:w="20" w:type="dxa"/>
            </w:tcMar>
            <w:vAlign w:val="bottom"/>
            <w:hideMark/>
          </w:tcPr>
          <w:p w14:paraId="4568969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6A361"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96AFBB"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E07D90"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3DD50D"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234875"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9FB08E" w14:textId="77777777" w:rsidR="00000000" w:rsidRDefault="00C01C43">
            <w:pPr>
              <w:rPr>
                <w:rFonts w:eastAsia="Times New Roman"/>
                <w:sz w:val="20"/>
                <w:szCs w:val="20"/>
              </w:rPr>
            </w:pPr>
          </w:p>
        </w:tc>
      </w:tr>
      <w:tr w:rsidR="00000000" w14:paraId="79B4F373" w14:textId="77777777">
        <w:trPr>
          <w:divId w:val="266036942"/>
        </w:trPr>
        <w:tc>
          <w:tcPr>
            <w:tcW w:w="0" w:type="auto"/>
            <w:gridSpan w:val="3"/>
            <w:shd w:val="clear" w:color="auto" w:fill="CCEEFF"/>
            <w:tcMar>
              <w:top w:w="30" w:type="dxa"/>
              <w:left w:w="20" w:type="dxa"/>
              <w:bottom w:w="30" w:type="dxa"/>
              <w:right w:w="20" w:type="dxa"/>
            </w:tcMar>
            <w:vAlign w:val="bottom"/>
            <w:hideMark/>
          </w:tcPr>
          <w:p w14:paraId="612CF826" w14:textId="77777777" w:rsidR="00000000" w:rsidRDefault="00C01C43">
            <w:pPr>
              <w:rPr>
                <w:rFonts w:eastAsia="Times New Roman"/>
              </w:rPr>
            </w:pPr>
            <w:r>
              <w:rPr>
                <w:rFonts w:ascii="Arial" w:eastAsia="Times New Roman" w:hAnsi="Arial" w:cs="Arial"/>
                <w:color w:val="000000"/>
                <w:sz w:val="20"/>
                <w:szCs w:val="20"/>
              </w:rPr>
              <w:t>As of December 31, 2018</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538C092" w14:textId="77777777" w:rsidR="00000000" w:rsidRDefault="00C01C43">
            <w:pPr>
              <w:jc w:val="center"/>
              <w:rPr>
                <w:rFonts w:eastAsia="Times New Roman"/>
              </w:rPr>
            </w:pPr>
            <w:r>
              <w:rPr>
                <w:rFonts w:ascii="Arial" w:eastAsia="Times New Roman" w:hAnsi="Arial" w:cs="Arial"/>
                <w:color w:val="000000"/>
                <w:sz w:val="20"/>
                <w:szCs w:val="20"/>
              </w:rPr>
              <w:t>1.5</w:t>
            </w:r>
          </w:p>
        </w:tc>
        <w:tc>
          <w:tcPr>
            <w:tcW w:w="0" w:type="auto"/>
            <w:gridSpan w:val="2"/>
            <w:shd w:val="clear" w:color="auto" w:fill="CCEEFF"/>
            <w:tcMar>
              <w:top w:w="30" w:type="dxa"/>
              <w:left w:w="20" w:type="dxa"/>
              <w:bottom w:w="30" w:type="dxa"/>
              <w:right w:w="0" w:type="dxa"/>
            </w:tcMar>
            <w:vAlign w:val="bottom"/>
            <w:hideMark/>
          </w:tcPr>
          <w:p w14:paraId="3D4050B2" w14:textId="77777777" w:rsidR="00000000" w:rsidRDefault="00C01C43">
            <w:pPr>
              <w:jc w:val="right"/>
              <w:rPr>
                <w:rFonts w:eastAsia="Times New Roman"/>
              </w:rPr>
            </w:pPr>
            <w:r>
              <w:rPr>
                <w:rFonts w:ascii="Arial" w:eastAsia="Times New Roman" w:hAnsi="Arial" w:cs="Arial"/>
                <w:color w:val="000000"/>
                <w:sz w:val="20"/>
                <w:szCs w:val="20"/>
              </w:rPr>
              <w:t>29.75 </w:t>
            </w:r>
          </w:p>
        </w:tc>
        <w:tc>
          <w:tcPr>
            <w:tcW w:w="0" w:type="auto"/>
            <w:shd w:val="clear" w:color="auto" w:fill="CCEEFF"/>
            <w:tcMar>
              <w:top w:w="30" w:type="dxa"/>
              <w:left w:w="0" w:type="dxa"/>
              <w:bottom w:w="30" w:type="dxa"/>
              <w:right w:w="20" w:type="dxa"/>
            </w:tcMar>
            <w:vAlign w:val="bottom"/>
            <w:hideMark/>
          </w:tcPr>
          <w:p w14:paraId="67648438"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314418"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B0E07D5" w14:textId="77777777" w:rsidR="00000000" w:rsidRDefault="00C01C4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44F82A5" w14:textId="77777777" w:rsidR="00000000" w:rsidRDefault="00C01C43">
            <w:pPr>
              <w:jc w:val="center"/>
              <w:rPr>
                <w:rFonts w:eastAsia="Times New Roman"/>
              </w:rPr>
            </w:pPr>
            <w:r>
              <w:rPr>
                <w:rFonts w:ascii="Arial" w:eastAsia="Times New Roman" w:hAnsi="Arial" w:cs="Arial"/>
                <w:color w:val="000000"/>
                <w:sz w:val="20"/>
                <w:szCs w:val="20"/>
              </w:rPr>
              <w:t>4.0</w:t>
            </w:r>
          </w:p>
        </w:tc>
        <w:tc>
          <w:tcPr>
            <w:tcW w:w="0" w:type="auto"/>
            <w:gridSpan w:val="3"/>
            <w:shd w:val="clear" w:color="auto" w:fill="CCEEFF"/>
            <w:tcMar>
              <w:top w:w="30" w:type="dxa"/>
              <w:left w:w="20" w:type="dxa"/>
              <w:bottom w:w="30" w:type="dxa"/>
              <w:right w:w="20" w:type="dxa"/>
            </w:tcMar>
            <w:vAlign w:val="bottom"/>
            <w:hideMark/>
          </w:tcPr>
          <w:p w14:paraId="5953CEFA"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7F384141" w14:textId="77777777" w:rsidR="00000000" w:rsidRDefault="00C01C43">
            <w:pPr>
              <w:jc w:val="right"/>
              <w:rPr>
                <w:rFonts w:eastAsia="Times New Roman"/>
              </w:rPr>
            </w:pPr>
            <w:r>
              <w:rPr>
                <w:rFonts w:ascii="Arial" w:eastAsia="Times New Roman" w:hAnsi="Arial" w:cs="Arial"/>
                <w:color w:val="000000"/>
                <w:sz w:val="20"/>
                <w:szCs w:val="20"/>
              </w:rPr>
              <w:t>57.48 </w:t>
            </w:r>
          </w:p>
        </w:tc>
        <w:tc>
          <w:tcPr>
            <w:tcW w:w="0" w:type="auto"/>
            <w:shd w:val="clear" w:color="auto" w:fill="CCEEFF"/>
            <w:tcMar>
              <w:top w:w="30" w:type="dxa"/>
              <w:left w:w="0" w:type="dxa"/>
              <w:bottom w:w="30" w:type="dxa"/>
              <w:right w:w="20" w:type="dxa"/>
            </w:tcMar>
            <w:vAlign w:val="bottom"/>
            <w:hideMark/>
          </w:tcPr>
          <w:p w14:paraId="2C2C6528"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3183D3"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C9B1CC2" w14:textId="77777777" w:rsidR="00000000" w:rsidRDefault="00C01C4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5AAEF8E" w14:textId="77777777" w:rsidR="00000000" w:rsidRDefault="00C01C43">
            <w:pPr>
              <w:jc w:val="center"/>
              <w:rPr>
                <w:rFonts w:eastAsia="Times New Roman"/>
              </w:rPr>
            </w:pPr>
            <w:r>
              <w:rPr>
                <w:rFonts w:ascii="Arial" w:eastAsia="Times New Roman" w:hAnsi="Arial" w:cs="Arial"/>
                <w:color w:val="000000"/>
                <w:sz w:val="20"/>
                <w:szCs w:val="20"/>
              </w:rPr>
              <w:t>1.2</w:t>
            </w:r>
          </w:p>
        </w:tc>
      </w:tr>
      <w:tr w:rsidR="00000000" w14:paraId="7EF9999B" w14:textId="77777777">
        <w:trPr>
          <w:divId w:val="266036942"/>
        </w:trPr>
        <w:tc>
          <w:tcPr>
            <w:tcW w:w="0" w:type="auto"/>
            <w:gridSpan w:val="3"/>
            <w:shd w:val="clear" w:color="auto" w:fill="FFFFFF"/>
            <w:tcMar>
              <w:top w:w="30" w:type="dxa"/>
              <w:left w:w="20" w:type="dxa"/>
              <w:bottom w:w="30" w:type="dxa"/>
              <w:right w:w="20" w:type="dxa"/>
            </w:tcMar>
            <w:vAlign w:val="bottom"/>
            <w:hideMark/>
          </w:tcPr>
          <w:p w14:paraId="2DEC6CF4" w14:textId="77777777" w:rsidR="00000000" w:rsidRDefault="00C01C43">
            <w:pPr>
              <w:rPr>
                <w:rFonts w:eastAsia="Times New Roman"/>
              </w:rPr>
            </w:pPr>
            <w:r>
              <w:rPr>
                <w:rFonts w:ascii="Arial" w:eastAsia="Times New Roman" w:hAnsi="Arial" w:cs="Arial"/>
                <w:color w:val="000000"/>
                <w:sz w:val="20"/>
                <w:szCs w:val="20"/>
              </w:rPr>
              <w:t>Granted</w:t>
            </w:r>
          </w:p>
        </w:tc>
        <w:tc>
          <w:tcPr>
            <w:tcW w:w="0" w:type="auto"/>
            <w:gridSpan w:val="3"/>
            <w:shd w:val="clear" w:color="auto" w:fill="FFFFFF"/>
            <w:tcMar>
              <w:top w:w="30" w:type="dxa"/>
              <w:left w:w="20" w:type="dxa"/>
              <w:bottom w:w="30" w:type="dxa"/>
              <w:right w:w="20" w:type="dxa"/>
            </w:tcMar>
            <w:vAlign w:val="bottom"/>
            <w:hideMark/>
          </w:tcPr>
          <w:p w14:paraId="621C8EF3" w14:textId="77777777" w:rsidR="00000000" w:rsidRDefault="00C01C43">
            <w:pPr>
              <w:jc w:val="center"/>
              <w:rPr>
                <w:rFonts w:eastAsia="Times New Roman"/>
              </w:rPr>
            </w:pPr>
            <w:r>
              <w:rPr>
                <w:rFonts w:ascii="Arial" w:eastAsia="Times New Roman" w:hAnsi="Arial" w:cs="Arial"/>
                <w:color w:val="000000"/>
                <w:sz w:val="20"/>
                <w:szCs w:val="20"/>
              </w:rPr>
              <w:t>0.7</w:t>
            </w:r>
          </w:p>
        </w:tc>
        <w:tc>
          <w:tcPr>
            <w:tcW w:w="0" w:type="auto"/>
            <w:gridSpan w:val="2"/>
            <w:shd w:val="clear" w:color="auto" w:fill="FFFFFF"/>
            <w:tcMar>
              <w:top w:w="30" w:type="dxa"/>
              <w:left w:w="20" w:type="dxa"/>
              <w:bottom w:w="30" w:type="dxa"/>
              <w:right w:w="0" w:type="dxa"/>
            </w:tcMar>
            <w:vAlign w:val="bottom"/>
            <w:hideMark/>
          </w:tcPr>
          <w:p w14:paraId="7CA4F6F6" w14:textId="77777777" w:rsidR="00000000" w:rsidRDefault="00C01C43">
            <w:pPr>
              <w:jc w:val="right"/>
              <w:rPr>
                <w:rFonts w:eastAsia="Times New Roman"/>
              </w:rPr>
            </w:pPr>
            <w:r>
              <w:rPr>
                <w:rFonts w:ascii="Arial" w:eastAsia="Times New Roman" w:hAnsi="Arial" w:cs="Arial"/>
                <w:color w:val="000000"/>
                <w:sz w:val="20"/>
                <w:szCs w:val="20"/>
              </w:rPr>
              <w:t>29.68 </w:t>
            </w:r>
          </w:p>
        </w:tc>
        <w:tc>
          <w:tcPr>
            <w:tcW w:w="0" w:type="auto"/>
            <w:shd w:val="clear" w:color="auto" w:fill="FFFFFF"/>
            <w:tcMar>
              <w:top w:w="30" w:type="dxa"/>
              <w:left w:w="0" w:type="dxa"/>
              <w:bottom w:w="30" w:type="dxa"/>
              <w:right w:w="20" w:type="dxa"/>
            </w:tcMar>
            <w:vAlign w:val="bottom"/>
            <w:hideMark/>
          </w:tcPr>
          <w:p w14:paraId="5FA330C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33469"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4E6C1F"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96C225"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A2D9F7"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908803"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BEA62A" w14:textId="77777777" w:rsidR="00000000" w:rsidRDefault="00C01C43">
            <w:pPr>
              <w:rPr>
                <w:rFonts w:eastAsia="Times New Roman"/>
                <w:sz w:val="20"/>
                <w:szCs w:val="20"/>
              </w:rPr>
            </w:pPr>
          </w:p>
        </w:tc>
      </w:tr>
      <w:tr w:rsidR="00000000" w14:paraId="03366B45" w14:textId="77777777">
        <w:trPr>
          <w:divId w:val="266036942"/>
        </w:trPr>
        <w:tc>
          <w:tcPr>
            <w:tcW w:w="0" w:type="auto"/>
            <w:gridSpan w:val="3"/>
            <w:shd w:val="clear" w:color="auto" w:fill="CCEEFF"/>
            <w:tcMar>
              <w:top w:w="30" w:type="dxa"/>
              <w:left w:w="20" w:type="dxa"/>
              <w:bottom w:w="30" w:type="dxa"/>
              <w:right w:w="20" w:type="dxa"/>
            </w:tcMar>
            <w:vAlign w:val="bottom"/>
            <w:hideMark/>
          </w:tcPr>
          <w:p w14:paraId="4886D55B" w14:textId="77777777" w:rsidR="00000000" w:rsidRDefault="00C01C43">
            <w:pPr>
              <w:rPr>
                <w:rFonts w:eastAsia="Times New Roman"/>
              </w:rPr>
            </w:pPr>
            <w:r>
              <w:rPr>
                <w:rFonts w:ascii="Arial" w:eastAsia="Times New Roman" w:hAnsi="Arial" w:cs="Arial"/>
                <w:color w:val="000000"/>
                <w:sz w:val="20"/>
                <w:szCs w:val="20"/>
              </w:rPr>
              <w:t>Exercised</w:t>
            </w:r>
          </w:p>
        </w:tc>
        <w:tc>
          <w:tcPr>
            <w:tcW w:w="0" w:type="auto"/>
            <w:gridSpan w:val="3"/>
            <w:shd w:val="clear" w:color="auto" w:fill="CCEEFF"/>
            <w:tcMar>
              <w:top w:w="30" w:type="dxa"/>
              <w:left w:w="20" w:type="dxa"/>
              <w:bottom w:w="30" w:type="dxa"/>
              <w:right w:w="20" w:type="dxa"/>
            </w:tcMar>
            <w:vAlign w:val="bottom"/>
            <w:hideMark/>
          </w:tcPr>
          <w:p w14:paraId="77B3DC3F"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4A155512"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2F6D7AD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0F5CA2"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617F5A"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5F8AFE"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64104E"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D27EF8"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5DA2AB" w14:textId="77777777" w:rsidR="00000000" w:rsidRDefault="00C01C43">
            <w:pPr>
              <w:rPr>
                <w:rFonts w:eastAsia="Times New Roman"/>
                <w:sz w:val="20"/>
                <w:szCs w:val="20"/>
              </w:rPr>
            </w:pPr>
          </w:p>
        </w:tc>
      </w:tr>
      <w:tr w:rsidR="00000000" w14:paraId="0983B266" w14:textId="77777777">
        <w:trPr>
          <w:divId w:val="266036942"/>
        </w:trPr>
        <w:tc>
          <w:tcPr>
            <w:tcW w:w="0" w:type="auto"/>
            <w:gridSpan w:val="3"/>
            <w:shd w:val="clear" w:color="auto" w:fill="FFFFFF"/>
            <w:tcMar>
              <w:top w:w="30" w:type="dxa"/>
              <w:left w:w="20" w:type="dxa"/>
              <w:bottom w:w="30" w:type="dxa"/>
              <w:right w:w="20" w:type="dxa"/>
            </w:tcMar>
            <w:vAlign w:val="bottom"/>
            <w:hideMark/>
          </w:tcPr>
          <w:p w14:paraId="59BDE4D2" w14:textId="77777777" w:rsidR="00000000" w:rsidRDefault="00C01C43">
            <w:pPr>
              <w:rPr>
                <w:rFonts w:eastAsia="Times New Roman"/>
              </w:rPr>
            </w:pPr>
            <w:r>
              <w:rPr>
                <w:rFonts w:ascii="Arial" w:eastAsia="Times New Roman" w:hAnsi="Arial" w:cs="Arial"/>
                <w:color w:val="000000"/>
                <w:sz w:val="20"/>
                <w:szCs w:val="20"/>
              </w:rPr>
              <w:t>Forfeited</w:t>
            </w:r>
          </w:p>
        </w:tc>
        <w:tc>
          <w:tcPr>
            <w:tcW w:w="0" w:type="auto"/>
            <w:gridSpan w:val="3"/>
            <w:shd w:val="clear" w:color="auto" w:fill="FFFFFF"/>
            <w:tcMar>
              <w:top w:w="30" w:type="dxa"/>
              <w:left w:w="20" w:type="dxa"/>
              <w:bottom w:w="30" w:type="dxa"/>
              <w:right w:w="20" w:type="dxa"/>
            </w:tcMar>
            <w:vAlign w:val="bottom"/>
            <w:hideMark/>
          </w:tcPr>
          <w:p w14:paraId="65003351"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14:paraId="53BD91E7"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A931ED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12E25D"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82F5D6"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1DC35E"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DCE8EE"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E0CEFF"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71F2FE" w14:textId="77777777" w:rsidR="00000000" w:rsidRDefault="00C01C43">
            <w:pPr>
              <w:rPr>
                <w:rFonts w:eastAsia="Times New Roman"/>
                <w:sz w:val="20"/>
                <w:szCs w:val="20"/>
              </w:rPr>
            </w:pPr>
          </w:p>
        </w:tc>
      </w:tr>
      <w:tr w:rsidR="00000000" w14:paraId="32D0ECF2" w14:textId="77777777">
        <w:trPr>
          <w:divId w:val="266036942"/>
        </w:trPr>
        <w:tc>
          <w:tcPr>
            <w:tcW w:w="0" w:type="auto"/>
            <w:gridSpan w:val="3"/>
            <w:shd w:val="clear" w:color="auto" w:fill="CCEEFF"/>
            <w:tcMar>
              <w:top w:w="30" w:type="dxa"/>
              <w:left w:w="20" w:type="dxa"/>
              <w:bottom w:w="30" w:type="dxa"/>
              <w:right w:w="20" w:type="dxa"/>
            </w:tcMar>
            <w:vAlign w:val="bottom"/>
            <w:hideMark/>
          </w:tcPr>
          <w:p w14:paraId="1C5FA868" w14:textId="77777777" w:rsidR="00000000" w:rsidRDefault="00C01C43">
            <w:pPr>
              <w:rPr>
                <w:rFonts w:eastAsia="Times New Roman"/>
              </w:rPr>
            </w:pPr>
            <w:r>
              <w:rPr>
                <w:rFonts w:ascii="Arial" w:eastAsia="Times New Roman" w:hAnsi="Arial" w:cs="Arial"/>
                <w:color w:val="000000"/>
                <w:sz w:val="20"/>
                <w:szCs w:val="20"/>
              </w:rPr>
              <w:t>As of December 31, 2019</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CC5DD9" w14:textId="77777777" w:rsidR="00000000" w:rsidRDefault="00C01C43">
            <w:pPr>
              <w:jc w:val="center"/>
              <w:rPr>
                <w:rFonts w:eastAsia="Times New Roman"/>
              </w:rPr>
            </w:pPr>
            <w:r>
              <w:rPr>
                <w:rFonts w:ascii="Arial" w:eastAsia="Times New Roman" w:hAnsi="Arial" w:cs="Arial"/>
                <w:color w:val="000000"/>
                <w:sz w:val="20"/>
                <w:szCs w:val="20"/>
              </w:rPr>
              <w:t>2.2</w:t>
            </w:r>
          </w:p>
        </w:tc>
        <w:tc>
          <w:tcPr>
            <w:tcW w:w="0" w:type="auto"/>
            <w:gridSpan w:val="2"/>
            <w:shd w:val="clear" w:color="auto" w:fill="CCEEFF"/>
            <w:tcMar>
              <w:top w:w="30" w:type="dxa"/>
              <w:left w:w="20" w:type="dxa"/>
              <w:bottom w:w="30" w:type="dxa"/>
              <w:right w:w="0" w:type="dxa"/>
            </w:tcMar>
            <w:vAlign w:val="bottom"/>
            <w:hideMark/>
          </w:tcPr>
          <w:p w14:paraId="67390CEB" w14:textId="77777777" w:rsidR="00000000" w:rsidRDefault="00C01C43">
            <w:pPr>
              <w:jc w:val="right"/>
              <w:rPr>
                <w:rFonts w:eastAsia="Times New Roman"/>
              </w:rPr>
            </w:pPr>
            <w:r>
              <w:rPr>
                <w:rFonts w:ascii="Arial" w:eastAsia="Times New Roman" w:hAnsi="Arial" w:cs="Arial"/>
                <w:color w:val="000000"/>
                <w:sz w:val="20"/>
                <w:szCs w:val="20"/>
              </w:rPr>
              <w:t>29.72 </w:t>
            </w:r>
          </w:p>
        </w:tc>
        <w:tc>
          <w:tcPr>
            <w:tcW w:w="0" w:type="auto"/>
            <w:shd w:val="clear" w:color="auto" w:fill="CCEEFF"/>
            <w:tcMar>
              <w:top w:w="30" w:type="dxa"/>
              <w:left w:w="0" w:type="dxa"/>
              <w:bottom w:w="30" w:type="dxa"/>
              <w:right w:w="20" w:type="dxa"/>
            </w:tcMar>
            <w:vAlign w:val="bottom"/>
            <w:hideMark/>
          </w:tcPr>
          <w:p w14:paraId="12B19154"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2103F4" w14:textId="77777777" w:rsidR="00000000" w:rsidRDefault="00C01C43">
            <w:pPr>
              <w:jc w:val="right"/>
              <w:rPr>
                <w:rFonts w:eastAsia="Times New Roman"/>
              </w:rPr>
            </w:pPr>
            <w:r>
              <w:rPr>
                <w:rFonts w:ascii="Arial" w:eastAsia="Times New Roman" w:hAnsi="Arial" w:cs="Arial"/>
                <w:color w:val="000000"/>
                <w:sz w:val="20"/>
                <w:szCs w:val="20"/>
              </w:rPr>
              <w:t>31.3 </w:t>
            </w:r>
          </w:p>
        </w:tc>
        <w:tc>
          <w:tcPr>
            <w:tcW w:w="0" w:type="auto"/>
            <w:shd w:val="clear" w:color="auto" w:fill="CCEEFF"/>
            <w:tcMar>
              <w:top w:w="30" w:type="dxa"/>
              <w:left w:w="0" w:type="dxa"/>
              <w:bottom w:w="30" w:type="dxa"/>
              <w:right w:w="20" w:type="dxa"/>
            </w:tcMar>
            <w:vAlign w:val="bottom"/>
            <w:hideMark/>
          </w:tcPr>
          <w:p w14:paraId="2AA18993" w14:textId="77777777" w:rsidR="00000000" w:rsidRDefault="00C01C4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2278F64" w14:textId="77777777" w:rsidR="00000000" w:rsidRDefault="00C01C43">
            <w:pPr>
              <w:jc w:val="center"/>
              <w:rPr>
                <w:rFonts w:eastAsia="Times New Roman"/>
              </w:rPr>
            </w:pPr>
            <w:r>
              <w:rPr>
                <w:rFonts w:ascii="Arial" w:eastAsia="Times New Roman" w:hAnsi="Arial" w:cs="Arial"/>
                <w:color w:val="000000"/>
                <w:sz w:val="20"/>
                <w:szCs w:val="20"/>
              </w:rPr>
              <w:t>3.4</w:t>
            </w:r>
          </w:p>
        </w:tc>
        <w:tc>
          <w:tcPr>
            <w:tcW w:w="0" w:type="auto"/>
            <w:gridSpan w:val="3"/>
            <w:shd w:val="clear" w:color="auto" w:fill="CCEEFF"/>
            <w:tcMar>
              <w:top w:w="30" w:type="dxa"/>
              <w:left w:w="20" w:type="dxa"/>
              <w:bottom w:w="30" w:type="dxa"/>
              <w:right w:w="20" w:type="dxa"/>
            </w:tcMar>
            <w:vAlign w:val="bottom"/>
            <w:hideMark/>
          </w:tcPr>
          <w:p w14:paraId="12B4B1A5" w14:textId="77777777" w:rsidR="00000000" w:rsidRDefault="00C01C43">
            <w:pPr>
              <w:jc w:val="center"/>
              <w:rPr>
                <w:rFonts w:eastAsia="Times New Roman"/>
              </w:rPr>
            </w:pPr>
            <w:r>
              <w:rPr>
                <w:rFonts w:ascii="Arial" w:eastAsia="Times New Roman" w:hAnsi="Arial" w:cs="Arial"/>
                <w:color w:val="000000"/>
                <w:sz w:val="20"/>
                <w:szCs w:val="20"/>
              </w:rPr>
              <w:t>0.1</w:t>
            </w:r>
          </w:p>
        </w:tc>
        <w:tc>
          <w:tcPr>
            <w:tcW w:w="0" w:type="auto"/>
            <w:gridSpan w:val="2"/>
            <w:shd w:val="clear" w:color="auto" w:fill="CCEEFF"/>
            <w:tcMar>
              <w:top w:w="30" w:type="dxa"/>
              <w:left w:w="20" w:type="dxa"/>
              <w:bottom w:w="30" w:type="dxa"/>
              <w:right w:w="0" w:type="dxa"/>
            </w:tcMar>
            <w:vAlign w:val="bottom"/>
            <w:hideMark/>
          </w:tcPr>
          <w:p w14:paraId="390FB0E7" w14:textId="77777777" w:rsidR="00000000" w:rsidRDefault="00C01C43">
            <w:pPr>
              <w:jc w:val="right"/>
              <w:rPr>
                <w:rFonts w:eastAsia="Times New Roman"/>
              </w:rPr>
            </w:pPr>
            <w:r>
              <w:rPr>
                <w:rFonts w:ascii="Arial" w:eastAsia="Times New Roman" w:hAnsi="Arial" w:cs="Arial"/>
                <w:color w:val="000000"/>
                <w:sz w:val="20"/>
                <w:szCs w:val="20"/>
              </w:rPr>
              <w:t>50.12 </w:t>
            </w:r>
          </w:p>
        </w:tc>
        <w:tc>
          <w:tcPr>
            <w:tcW w:w="0" w:type="auto"/>
            <w:shd w:val="clear" w:color="auto" w:fill="CCEEFF"/>
            <w:tcMar>
              <w:top w:w="30" w:type="dxa"/>
              <w:left w:w="0" w:type="dxa"/>
              <w:bottom w:w="30" w:type="dxa"/>
              <w:right w:w="20" w:type="dxa"/>
            </w:tcMar>
            <w:vAlign w:val="bottom"/>
            <w:hideMark/>
          </w:tcPr>
          <w:p w14:paraId="2A025CF8" w14:textId="77777777" w:rsidR="00000000" w:rsidRDefault="00C01C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B561C6"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4474ADF0" w14:textId="77777777" w:rsidR="00000000" w:rsidRDefault="00C01C4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B41B531" w14:textId="77777777" w:rsidR="00000000" w:rsidRDefault="00C01C43">
            <w:pPr>
              <w:jc w:val="center"/>
              <w:rPr>
                <w:rFonts w:eastAsia="Times New Roman"/>
              </w:rPr>
            </w:pPr>
            <w:r>
              <w:rPr>
                <w:rFonts w:ascii="Arial" w:eastAsia="Times New Roman" w:hAnsi="Arial" w:cs="Arial"/>
                <w:color w:val="000000"/>
                <w:sz w:val="20"/>
                <w:szCs w:val="20"/>
              </w:rPr>
              <w:t>1.1</w:t>
            </w:r>
          </w:p>
        </w:tc>
      </w:tr>
      <w:tr w:rsidR="00000000" w14:paraId="4D67844F" w14:textId="77777777">
        <w:trPr>
          <w:divId w:val="266036942"/>
        </w:trPr>
        <w:tc>
          <w:tcPr>
            <w:tcW w:w="0" w:type="auto"/>
            <w:gridSpan w:val="3"/>
            <w:shd w:val="clear" w:color="auto" w:fill="FFFFFF"/>
            <w:tcMar>
              <w:top w:w="30" w:type="dxa"/>
              <w:left w:w="20" w:type="dxa"/>
              <w:bottom w:w="30" w:type="dxa"/>
              <w:right w:w="20" w:type="dxa"/>
            </w:tcMar>
            <w:vAlign w:val="bottom"/>
            <w:hideMark/>
          </w:tcPr>
          <w:p w14:paraId="141ED915" w14:textId="77777777" w:rsidR="00000000" w:rsidRDefault="00C01C43">
            <w:pPr>
              <w:rPr>
                <w:rFonts w:eastAsia="Times New Roman"/>
              </w:rPr>
            </w:pPr>
            <w:r>
              <w:rPr>
                <w:rFonts w:ascii="Arial" w:eastAsia="Times New Roman" w:hAnsi="Arial" w:cs="Arial"/>
                <w:color w:val="000000"/>
                <w:sz w:val="20"/>
                <w:szCs w:val="20"/>
              </w:rPr>
              <w:t>Granted</w:t>
            </w:r>
          </w:p>
        </w:tc>
        <w:tc>
          <w:tcPr>
            <w:tcW w:w="0" w:type="auto"/>
            <w:gridSpan w:val="3"/>
            <w:shd w:val="clear" w:color="auto" w:fill="FFFFFF"/>
            <w:tcMar>
              <w:top w:w="30" w:type="dxa"/>
              <w:left w:w="20" w:type="dxa"/>
              <w:bottom w:w="30" w:type="dxa"/>
              <w:right w:w="20" w:type="dxa"/>
            </w:tcMar>
            <w:vAlign w:val="bottom"/>
            <w:hideMark/>
          </w:tcPr>
          <w:p w14:paraId="7E7AB3F2" w14:textId="77777777" w:rsidR="00000000" w:rsidRDefault="00C01C43">
            <w:pPr>
              <w:jc w:val="center"/>
              <w:rPr>
                <w:rFonts w:eastAsia="Times New Roman"/>
              </w:rPr>
            </w:pPr>
            <w:r>
              <w:rPr>
                <w:rFonts w:ascii="Arial" w:eastAsia="Times New Roman" w:hAnsi="Arial" w:cs="Arial"/>
                <w:color w:val="000000"/>
                <w:sz w:val="20"/>
                <w:szCs w:val="20"/>
              </w:rPr>
              <w:t>0.1</w:t>
            </w:r>
          </w:p>
        </w:tc>
        <w:tc>
          <w:tcPr>
            <w:tcW w:w="0" w:type="auto"/>
            <w:gridSpan w:val="2"/>
            <w:shd w:val="clear" w:color="auto" w:fill="FFFFFF"/>
            <w:tcMar>
              <w:top w:w="30" w:type="dxa"/>
              <w:left w:w="20" w:type="dxa"/>
              <w:bottom w:w="30" w:type="dxa"/>
              <w:right w:w="0" w:type="dxa"/>
            </w:tcMar>
            <w:vAlign w:val="bottom"/>
            <w:hideMark/>
          </w:tcPr>
          <w:p w14:paraId="44564965" w14:textId="77777777" w:rsidR="00000000" w:rsidRDefault="00C01C43">
            <w:pPr>
              <w:jc w:val="right"/>
              <w:rPr>
                <w:rFonts w:eastAsia="Times New Roman"/>
              </w:rPr>
            </w:pPr>
            <w:r>
              <w:rPr>
                <w:rFonts w:ascii="Arial" w:eastAsia="Times New Roman" w:hAnsi="Arial" w:cs="Arial"/>
                <w:color w:val="000000"/>
                <w:sz w:val="20"/>
                <w:szCs w:val="20"/>
              </w:rPr>
              <w:t>23.39 </w:t>
            </w:r>
          </w:p>
        </w:tc>
        <w:tc>
          <w:tcPr>
            <w:tcW w:w="0" w:type="auto"/>
            <w:shd w:val="clear" w:color="auto" w:fill="FFFFFF"/>
            <w:tcMar>
              <w:top w:w="30" w:type="dxa"/>
              <w:left w:w="0" w:type="dxa"/>
              <w:bottom w:w="30" w:type="dxa"/>
              <w:right w:w="20" w:type="dxa"/>
            </w:tcMar>
            <w:vAlign w:val="bottom"/>
            <w:hideMark/>
          </w:tcPr>
          <w:p w14:paraId="3D4A728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1929F1"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6AEE86"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4D5AC7"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A064CD"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47E483"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165FD7" w14:textId="77777777" w:rsidR="00000000" w:rsidRDefault="00C01C43">
            <w:pPr>
              <w:rPr>
                <w:rFonts w:eastAsia="Times New Roman"/>
                <w:sz w:val="20"/>
                <w:szCs w:val="20"/>
              </w:rPr>
            </w:pPr>
          </w:p>
        </w:tc>
      </w:tr>
      <w:tr w:rsidR="00000000" w14:paraId="60F5E322" w14:textId="77777777">
        <w:trPr>
          <w:divId w:val="266036942"/>
        </w:trPr>
        <w:tc>
          <w:tcPr>
            <w:tcW w:w="0" w:type="auto"/>
            <w:gridSpan w:val="3"/>
            <w:shd w:val="clear" w:color="auto" w:fill="CCEEFF"/>
            <w:tcMar>
              <w:top w:w="30" w:type="dxa"/>
              <w:left w:w="20" w:type="dxa"/>
              <w:bottom w:w="30" w:type="dxa"/>
              <w:right w:w="20" w:type="dxa"/>
            </w:tcMar>
            <w:vAlign w:val="bottom"/>
            <w:hideMark/>
          </w:tcPr>
          <w:p w14:paraId="174BB64D" w14:textId="77777777" w:rsidR="00000000" w:rsidRDefault="00C01C43">
            <w:pPr>
              <w:rPr>
                <w:rFonts w:eastAsia="Times New Roman"/>
              </w:rPr>
            </w:pPr>
            <w:r>
              <w:rPr>
                <w:rFonts w:ascii="Arial" w:eastAsia="Times New Roman" w:hAnsi="Arial" w:cs="Arial"/>
                <w:color w:val="000000"/>
                <w:sz w:val="20"/>
                <w:szCs w:val="20"/>
              </w:rPr>
              <w:t>Exercised</w:t>
            </w:r>
          </w:p>
        </w:tc>
        <w:tc>
          <w:tcPr>
            <w:tcW w:w="0" w:type="auto"/>
            <w:gridSpan w:val="3"/>
            <w:shd w:val="clear" w:color="auto" w:fill="CCEEFF"/>
            <w:tcMar>
              <w:top w:w="30" w:type="dxa"/>
              <w:left w:w="20" w:type="dxa"/>
              <w:bottom w:w="30" w:type="dxa"/>
              <w:right w:w="20" w:type="dxa"/>
            </w:tcMar>
            <w:vAlign w:val="bottom"/>
            <w:hideMark/>
          </w:tcPr>
          <w:p w14:paraId="4E9D5527"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04D8A751"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697825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08BCF"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B09196"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CE1E67"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71395F"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B2D730"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F63902" w14:textId="77777777" w:rsidR="00000000" w:rsidRDefault="00C01C43">
            <w:pPr>
              <w:rPr>
                <w:rFonts w:eastAsia="Times New Roman"/>
                <w:sz w:val="20"/>
                <w:szCs w:val="20"/>
              </w:rPr>
            </w:pPr>
          </w:p>
        </w:tc>
      </w:tr>
      <w:tr w:rsidR="00000000" w14:paraId="78D29759" w14:textId="77777777">
        <w:trPr>
          <w:divId w:val="266036942"/>
        </w:trPr>
        <w:tc>
          <w:tcPr>
            <w:tcW w:w="0" w:type="auto"/>
            <w:gridSpan w:val="3"/>
            <w:shd w:val="clear" w:color="auto" w:fill="FFFFFF"/>
            <w:tcMar>
              <w:top w:w="30" w:type="dxa"/>
              <w:left w:w="20" w:type="dxa"/>
              <w:bottom w:w="30" w:type="dxa"/>
              <w:right w:w="20" w:type="dxa"/>
            </w:tcMar>
            <w:vAlign w:val="bottom"/>
            <w:hideMark/>
          </w:tcPr>
          <w:p w14:paraId="54176E49" w14:textId="77777777" w:rsidR="00000000" w:rsidRDefault="00C01C43">
            <w:pPr>
              <w:rPr>
                <w:rFonts w:eastAsia="Times New Roman"/>
              </w:rPr>
            </w:pPr>
            <w:r>
              <w:rPr>
                <w:rFonts w:ascii="Arial" w:eastAsia="Times New Roman" w:hAnsi="Arial" w:cs="Arial"/>
                <w:color w:val="000000"/>
                <w:sz w:val="20"/>
                <w:szCs w:val="20"/>
              </w:rPr>
              <w:t>Forfeited</w:t>
            </w:r>
          </w:p>
        </w:tc>
        <w:tc>
          <w:tcPr>
            <w:tcW w:w="0" w:type="auto"/>
            <w:gridSpan w:val="3"/>
            <w:shd w:val="clear" w:color="auto" w:fill="FFFFFF"/>
            <w:tcMar>
              <w:top w:w="30" w:type="dxa"/>
              <w:left w:w="20" w:type="dxa"/>
              <w:bottom w:w="30" w:type="dxa"/>
              <w:right w:w="20" w:type="dxa"/>
            </w:tcMar>
            <w:vAlign w:val="bottom"/>
            <w:hideMark/>
          </w:tcPr>
          <w:p w14:paraId="21EEC5AE" w14:textId="77777777" w:rsidR="00000000" w:rsidRDefault="00C01C43">
            <w:pPr>
              <w:jc w:val="center"/>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14:paraId="602271E9" w14:textId="77777777" w:rsidR="00000000" w:rsidRDefault="00C01C43">
            <w:pPr>
              <w:jc w:val="right"/>
              <w:rPr>
                <w:rFonts w:eastAsia="Times New Roman"/>
              </w:rPr>
            </w:pPr>
            <w:r>
              <w:rPr>
                <w:rFonts w:ascii="Arial" w:eastAsia="Times New Roman" w:hAnsi="Arial" w:cs="Arial"/>
                <w:color w:val="000000"/>
                <w:sz w:val="20"/>
                <w:szCs w:val="20"/>
              </w:rPr>
              <w:t>57.48 </w:t>
            </w:r>
          </w:p>
        </w:tc>
        <w:tc>
          <w:tcPr>
            <w:tcW w:w="0" w:type="auto"/>
            <w:shd w:val="clear" w:color="auto" w:fill="FFFFFF"/>
            <w:tcMar>
              <w:top w:w="30" w:type="dxa"/>
              <w:left w:w="0" w:type="dxa"/>
              <w:bottom w:w="30" w:type="dxa"/>
              <w:right w:w="20" w:type="dxa"/>
            </w:tcMar>
            <w:vAlign w:val="bottom"/>
            <w:hideMark/>
          </w:tcPr>
          <w:p w14:paraId="2478DF5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D1BCB" w14:textId="77777777" w:rsidR="00000000" w:rsidRDefault="00C01C4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C01902"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8C2889"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FBDC32"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3B4E7F"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3F19ED" w14:textId="77777777" w:rsidR="00000000" w:rsidRDefault="00C01C43">
            <w:pPr>
              <w:rPr>
                <w:rFonts w:eastAsia="Times New Roman"/>
                <w:sz w:val="20"/>
                <w:szCs w:val="20"/>
              </w:rPr>
            </w:pPr>
          </w:p>
        </w:tc>
      </w:tr>
      <w:tr w:rsidR="00000000" w14:paraId="7241F8E2" w14:textId="77777777">
        <w:trPr>
          <w:divId w:val="266036942"/>
        </w:trPr>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14:paraId="42053415" w14:textId="77777777" w:rsidR="00000000" w:rsidRDefault="00C01C43">
            <w:pPr>
              <w:rPr>
                <w:rFonts w:eastAsia="Times New Roman"/>
              </w:rPr>
            </w:pPr>
            <w:r>
              <w:rPr>
                <w:rFonts w:ascii="Arial" w:eastAsia="Times New Roman" w:hAnsi="Arial" w:cs="Arial"/>
                <w:color w:val="000000"/>
                <w:sz w:val="20"/>
                <w:szCs w:val="20"/>
              </w:rPr>
              <w:t>As of December 31, 2020</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5CABE21E" w14:textId="77777777" w:rsidR="00000000" w:rsidRDefault="00C01C43">
            <w:pPr>
              <w:jc w:val="center"/>
              <w:rPr>
                <w:rFonts w:eastAsia="Times New Roman"/>
              </w:rPr>
            </w:pPr>
            <w:r>
              <w:rPr>
                <w:rFonts w:ascii="Arial" w:eastAsia="Times New Roman" w:hAnsi="Arial" w:cs="Arial"/>
                <w:color w:val="000000"/>
                <w:sz w:val="20"/>
                <w:szCs w:val="20"/>
              </w:rPr>
              <w:t>2.3</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490E869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D4E4C0F" w14:textId="77777777" w:rsidR="00000000" w:rsidRDefault="00C01C43">
            <w:pPr>
              <w:jc w:val="right"/>
              <w:rPr>
                <w:rFonts w:eastAsia="Times New Roman"/>
              </w:rPr>
            </w:pPr>
            <w:r>
              <w:rPr>
                <w:rFonts w:ascii="Arial" w:eastAsia="Times New Roman" w:hAnsi="Arial" w:cs="Arial"/>
                <w:color w:val="000000"/>
                <w:sz w:val="20"/>
                <w:szCs w:val="20"/>
              </w:rPr>
              <w:t>29.08 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FC8C94B" w14:textId="77777777" w:rsidR="00000000" w:rsidRDefault="00C01C43">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64DF270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FE8F6C8" w14:textId="77777777" w:rsidR="00000000" w:rsidRDefault="00C01C43">
            <w:pPr>
              <w:jc w:val="right"/>
              <w:rPr>
                <w:rFonts w:eastAsia="Times New Roman"/>
              </w:rPr>
            </w:pPr>
            <w:r>
              <w:rPr>
                <w:rFonts w:ascii="Arial" w:eastAsia="Times New Roman" w:hAnsi="Arial" w:cs="Arial"/>
                <w:color w:val="000000"/>
                <w:sz w:val="20"/>
                <w:szCs w:val="20"/>
              </w:rPr>
              <w:t>7.3 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07503C30" w14:textId="77777777" w:rsidR="00000000" w:rsidRDefault="00C01C43">
            <w:pPr>
              <w:jc w:val="right"/>
              <w:rPr>
                <w:rFonts w:eastAsia="Times New Roman"/>
              </w:rPr>
            </w:pPr>
          </w:p>
        </w:tc>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14:paraId="2C21B5A3" w14:textId="77777777" w:rsidR="00000000" w:rsidRDefault="00C01C43">
            <w:pPr>
              <w:jc w:val="center"/>
              <w:rPr>
                <w:rFonts w:eastAsia="Times New Roman"/>
              </w:rPr>
            </w:pPr>
            <w:r>
              <w:rPr>
                <w:rFonts w:ascii="Arial" w:eastAsia="Times New Roman" w:hAnsi="Arial" w:cs="Arial"/>
                <w:color w:val="000000"/>
                <w:sz w:val="20"/>
                <w:szCs w:val="20"/>
              </w:rPr>
              <w:t>2.5</w:t>
            </w:r>
          </w:p>
        </w:tc>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14:paraId="2441EA89" w14:textId="77777777" w:rsidR="00000000" w:rsidRDefault="00C01C43">
            <w:pPr>
              <w:jc w:val="center"/>
              <w:rPr>
                <w:rFonts w:eastAsia="Times New Roman"/>
              </w:rPr>
            </w:pPr>
            <w:r>
              <w:rPr>
                <w:rFonts w:ascii="Arial" w:eastAsia="Times New Roman" w:hAnsi="Arial" w:cs="Arial"/>
                <w:color w:val="000000"/>
                <w:sz w:val="20"/>
                <w:szCs w:val="20"/>
              </w:rPr>
              <w:t>0.2</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0FCF45B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DB23CF2" w14:textId="77777777" w:rsidR="00000000" w:rsidRDefault="00C01C43">
            <w:pPr>
              <w:jc w:val="right"/>
              <w:rPr>
                <w:rFonts w:eastAsia="Times New Roman"/>
              </w:rPr>
            </w:pPr>
            <w:r>
              <w:rPr>
                <w:rFonts w:ascii="Arial" w:eastAsia="Times New Roman" w:hAnsi="Arial" w:cs="Arial"/>
                <w:color w:val="000000"/>
                <w:sz w:val="20"/>
                <w:szCs w:val="20"/>
              </w:rPr>
              <w:t>41.85 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59D8E3FB" w14:textId="77777777" w:rsidR="00000000" w:rsidRDefault="00C01C43">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70AF0CB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88B8D5"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62774C2" w14:textId="77777777" w:rsidR="00000000" w:rsidRDefault="00C01C43">
            <w:pPr>
              <w:jc w:val="right"/>
              <w:rPr>
                <w:rFonts w:eastAsia="Times New Roman"/>
              </w:rPr>
            </w:pPr>
          </w:p>
        </w:tc>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14:paraId="72B704D9" w14:textId="77777777" w:rsidR="00000000" w:rsidRDefault="00C01C43">
            <w:pPr>
              <w:jc w:val="center"/>
              <w:rPr>
                <w:rFonts w:eastAsia="Times New Roman"/>
              </w:rPr>
            </w:pPr>
            <w:r>
              <w:rPr>
                <w:rFonts w:ascii="Arial" w:eastAsia="Times New Roman" w:hAnsi="Arial" w:cs="Arial"/>
                <w:color w:val="000000"/>
                <w:sz w:val="20"/>
                <w:szCs w:val="20"/>
              </w:rPr>
              <w:t>0.8</w:t>
            </w:r>
          </w:p>
        </w:tc>
      </w:tr>
    </w:tbl>
    <w:p w14:paraId="67F5E046" w14:textId="77777777" w:rsidR="00000000" w:rsidRDefault="00C01C43">
      <w:pPr>
        <w:jc w:val="both"/>
        <w:divId w:val="580410866"/>
        <w:rPr>
          <w:rFonts w:eastAsia="Times New Roman"/>
        </w:rPr>
      </w:pPr>
      <w:r>
        <w:rPr>
          <w:rFonts w:ascii="Arial" w:eastAsia="Times New Roman" w:hAnsi="Arial" w:cs="Arial"/>
          <w:color w:val="000000"/>
          <w:sz w:val="20"/>
          <w:szCs w:val="20"/>
        </w:rPr>
        <w:t>The aggregate intrinsic value of SSAR Awards exercised during 2020, 2019, and 2018 was zero, respectively.</w:t>
      </w:r>
    </w:p>
    <w:p w14:paraId="5EA9C61A" w14:textId="77777777" w:rsidR="00000000" w:rsidRDefault="00C01C43">
      <w:pPr>
        <w:jc w:val="both"/>
        <w:divId w:val="569343761"/>
        <w:rPr>
          <w:rFonts w:eastAsia="Times New Roman"/>
        </w:rPr>
      </w:pPr>
      <w:r>
        <w:rPr>
          <w:rFonts w:ascii="Arial" w:eastAsia="Times New Roman" w:hAnsi="Arial" w:cs="Arial"/>
          <w:color w:val="000000"/>
          <w:sz w:val="20"/>
          <w:szCs w:val="20"/>
        </w:rPr>
        <w:t>We currently use the Black Scholes option pricin</w:t>
      </w:r>
      <w:r>
        <w:rPr>
          <w:rFonts w:ascii="Arial" w:eastAsia="Times New Roman" w:hAnsi="Arial" w:cs="Arial"/>
          <w:color w:val="000000"/>
          <w:sz w:val="20"/>
          <w:szCs w:val="20"/>
        </w:rPr>
        <w:t>g model to estimate the fair value of SSAR Awards granted to employees. The weighted average fair value of the SSAR Awards for 2020 was $6.88 and the assumptions used to determine such fair value were as follows: expected term of 4.5 years, volatility of 3</w:t>
      </w:r>
      <w:r>
        <w:rPr>
          <w:rFonts w:ascii="Arial" w:eastAsia="Times New Roman" w:hAnsi="Arial" w:cs="Arial"/>
          <w:color w:val="000000"/>
          <w:sz w:val="20"/>
          <w:szCs w:val="20"/>
        </w:rPr>
        <w:t>8.6%, dividend yields of 1.2% and risk-free interest rates of 0.7%. The weighted average fair value of the SSAR Awards for 2019 was $9.15 and the assumptions used to determine such fair value were as follows: expected term of 4.5 years, volatility of 36.1%</w:t>
      </w:r>
      <w:r>
        <w:rPr>
          <w:rFonts w:ascii="Arial" w:eastAsia="Times New Roman" w:hAnsi="Arial" w:cs="Arial"/>
          <w:color w:val="000000"/>
          <w:sz w:val="20"/>
          <w:szCs w:val="20"/>
        </w:rPr>
        <w:t>, dividend yields of 0.9% and risk-free interest rates of 2.4%. The weighted average fair value of the SSAR Awards for 2018 was $6.56 and the assumptions used to determine such fair value were as follows: expected term of 4.5 years, volatility of 30.8%, di</w:t>
      </w:r>
      <w:r>
        <w:rPr>
          <w:rFonts w:ascii="Arial" w:eastAsia="Times New Roman" w:hAnsi="Arial" w:cs="Arial"/>
          <w:color w:val="000000"/>
          <w:sz w:val="20"/>
          <w:szCs w:val="20"/>
        </w:rPr>
        <w:t>vidend yields of 1.0% and risk-free interest rates of 2.6%.</w:t>
      </w:r>
    </w:p>
    <w:p w14:paraId="3221CA22" w14:textId="77777777" w:rsidR="00000000" w:rsidRDefault="00C01C43">
      <w:pPr>
        <w:jc w:val="both"/>
        <w:divId w:val="1680426611"/>
        <w:rPr>
          <w:rFonts w:eastAsia="Times New Roman"/>
        </w:rPr>
      </w:pPr>
      <w:r>
        <w:rPr>
          <w:rFonts w:ascii="Arial" w:eastAsia="Times New Roman" w:hAnsi="Arial" w:cs="Arial"/>
          <w:b/>
          <w:bCs/>
          <w:color w:val="000000"/>
          <w:sz w:val="20"/>
          <w:szCs w:val="20"/>
        </w:rPr>
        <w:t>Unrecognized Compensation Cost</w:t>
      </w:r>
    </w:p>
    <w:p w14:paraId="55544966" w14:textId="77777777" w:rsidR="00000000" w:rsidRDefault="00C01C43">
      <w:pPr>
        <w:jc w:val="both"/>
        <w:divId w:val="1368867240"/>
        <w:rPr>
          <w:rFonts w:eastAsia="Times New Roman"/>
        </w:rPr>
      </w:pPr>
      <w:r>
        <w:rPr>
          <w:rFonts w:ascii="Arial" w:eastAsia="Times New Roman" w:hAnsi="Arial" w:cs="Arial"/>
          <w:color w:val="000000"/>
          <w:sz w:val="20"/>
          <w:szCs w:val="20"/>
        </w:rPr>
        <w:t>As of December 31, 2020, there was $16.6 million of total unrecognized compensation cost related to unvested share-based payment awards, which is included as Capital</w:t>
      </w:r>
      <w:r>
        <w:rPr>
          <w:rFonts w:ascii="Arial" w:eastAsia="Times New Roman" w:hAnsi="Arial" w:cs="Arial"/>
          <w:color w:val="000000"/>
          <w:sz w:val="20"/>
          <w:szCs w:val="20"/>
        </w:rPr>
        <w:t xml:space="preserve"> in excess of par value within our Consolidated Balance Sheets. The unrecognized compensation cost as of December 31, 2020 is expected to be recognized as compensation expense over a weighted average period of 1.1 years as follows (in millions):</w:t>
      </w:r>
    </w:p>
    <w:tbl>
      <w:tblPr>
        <w:tblW w:w="4992" w:type="pct"/>
        <w:tblCellMar>
          <w:top w:w="15" w:type="dxa"/>
          <w:left w:w="15" w:type="dxa"/>
          <w:bottom w:w="15" w:type="dxa"/>
          <w:right w:w="15" w:type="dxa"/>
        </w:tblCellMar>
        <w:tblLook w:val="04A0" w:firstRow="1" w:lastRow="0" w:firstColumn="1" w:lastColumn="0" w:noHBand="0" w:noVBand="1"/>
      </w:tblPr>
      <w:tblGrid>
        <w:gridCol w:w="48"/>
        <w:gridCol w:w="7439"/>
        <w:gridCol w:w="36"/>
        <w:gridCol w:w="132"/>
        <w:gridCol w:w="602"/>
        <w:gridCol w:w="36"/>
      </w:tblGrid>
      <w:tr w:rsidR="00000000" w14:paraId="1884EF80" w14:textId="77777777">
        <w:trPr>
          <w:divId w:val="71510089"/>
        </w:trPr>
        <w:tc>
          <w:tcPr>
            <w:tcW w:w="50" w:type="pct"/>
            <w:vAlign w:val="center"/>
            <w:hideMark/>
          </w:tcPr>
          <w:p w14:paraId="1D90C019" w14:textId="77777777" w:rsidR="00000000" w:rsidRDefault="00C01C43">
            <w:pPr>
              <w:jc w:val="both"/>
              <w:rPr>
                <w:rFonts w:eastAsia="Times New Roman"/>
              </w:rPr>
            </w:pPr>
          </w:p>
        </w:tc>
        <w:tc>
          <w:tcPr>
            <w:tcW w:w="4505" w:type="pct"/>
            <w:vAlign w:val="center"/>
            <w:hideMark/>
          </w:tcPr>
          <w:p w14:paraId="55264417" w14:textId="77777777" w:rsidR="00000000" w:rsidRDefault="00C01C43">
            <w:pPr>
              <w:rPr>
                <w:rFonts w:eastAsia="Times New Roman"/>
                <w:sz w:val="20"/>
                <w:szCs w:val="20"/>
              </w:rPr>
            </w:pPr>
          </w:p>
        </w:tc>
        <w:tc>
          <w:tcPr>
            <w:tcW w:w="5" w:type="pct"/>
            <w:vAlign w:val="center"/>
            <w:hideMark/>
          </w:tcPr>
          <w:p w14:paraId="380F0B5C" w14:textId="77777777" w:rsidR="00000000" w:rsidRDefault="00C01C43">
            <w:pPr>
              <w:rPr>
                <w:rFonts w:eastAsia="Times New Roman"/>
                <w:sz w:val="20"/>
                <w:szCs w:val="20"/>
              </w:rPr>
            </w:pPr>
          </w:p>
        </w:tc>
        <w:tc>
          <w:tcPr>
            <w:tcW w:w="50" w:type="pct"/>
            <w:vAlign w:val="center"/>
            <w:hideMark/>
          </w:tcPr>
          <w:p w14:paraId="34339C91" w14:textId="77777777" w:rsidR="00000000" w:rsidRDefault="00C01C43">
            <w:pPr>
              <w:rPr>
                <w:rFonts w:eastAsia="Times New Roman"/>
                <w:sz w:val="20"/>
                <w:szCs w:val="20"/>
              </w:rPr>
            </w:pPr>
          </w:p>
        </w:tc>
        <w:tc>
          <w:tcPr>
            <w:tcW w:w="384" w:type="pct"/>
            <w:vAlign w:val="center"/>
            <w:hideMark/>
          </w:tcPr>
          <w:p w14:paraId="3B0A3FD7" w14:textId="77777777" w:rsidR="00000000" w:rsidRDefault="00C01C43">
            <w:pPr>
              <w:rPr>
                <w:rFonts w:eastAsia="Times New Roman"/>
                <w:sz w:val="20"/>
                <w:szCs w:val="20"/>
              </w:rPr>
            </w:pPr>
          </w:p>
        </w:tc>
        <w:tc>
          <w:tcPr>
            <w:tcW w:w="5" w:type="pct"/>
            <w:vAlign w:val="center"/>
            <w:hideMark/>
          </w:tcPr>
          <w:p w14:paraId="133FFACB" w14:textId="77777777" w:rsidR="00000000" w:rsidRDefault="00C01C43">
            <w:pPr>
              <w:rPr>
                <w:rFonts w:eastAsia="Times New Roman"/>
                <w:sz w:val="20"/>
                <w:szCs w:val="20"/>
              </w:rPr>
            </w:pPr>
          </w:p>
        </w:tc>
      </w:tr>
      <w:tr w:rsidR="00000000" w14:paraId="6A808424" w14:textId="77777777">
        <w:trPr>
          <w:divId w:val="71510089"/>
        </w:trPr>
        <w:tc>
          <w:tcPr>
            <w:tcW w:w="0" w:type="auto"/>
            <w:gridSpan w:val="6"/>
            <w:tcMar>
              <w:top w:w="30" w:type="dxa"/>
              <w:left w:w="20" w:type="dxa"/>
              <w:bottom w:w="30" w:type="dxa"/>
              <w:right w:w="20" w:type="dxa"/>
            </w:tcMar>
            <w:vAlign w:val="bottom"/>
            <w:hideMark/>
          </w:tcPr>
          <w:p w14:paraId="3EE4CC5B" w14:textId="77777777" w:rsidR="00000000" w:rsidRDefault="00C01C43">
            <w:pPr>
              <w:jc w:val="center"/>
              <w:rPr>
                <w:rFonts w:eastAsia="Times New Roman"/>
              </w:rPr>
            </w:pPr>
            <w:r>
              <w:rPr>
                <w:rFonts w:ascii="Arial" w:eastAsia="Times New Roman" w:hAnsi="Arial" w:cs="Arial"/>
                <w:b/>
                <w:bCs/>
                <w:color w:val="000000"/>
                <w:sz w:val="16"/>
                <w:szCs w:val="16"/>
              </w:rPr>
              <w:t>Year Ended December 31,</w:t>
            </w:r>
          </w:p>
        </w:tc>
      </w:tr>
      <w:tr w:rsidR="00000000" w14:paraId="626004D9" w14:textId="77777777">
        <w:trPr>
          <w:divId w:val="7151008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F5A450C" w14:textId="77777777" w:rsidR="00000000" w:rsidRDefault="00C01C43">
            <w:pPr>
              <w:rPr>
                <w:rFonts w:eastAsia="Times New Roman"/>
              </w:rPr>
            </w:pPr>
            <w:r>
              <w:rPr>
                <w:rFonts w:ascii="Arial" w:eastAsia="Times New Roman" w:hAnsi="Arial" w:cs="Arial"/>
                <w:color w:val="000000"/>
                <w:sz w:val="20"/>
                <w:szCs w:val="20"/>
              </w:rPr>
              <w:t>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17D3B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231FEE" w14:textId="77777777" w:rsidR="00000000" w:rsidRDefault="00C01C43">
            <w:pPr>
              <w:jc w:val="right"/>
              <w:rPr>
                <w:rFonts w:eastAsia="Times New Roman"/>
              </w:rPr>
            </w:pPr>
            <w:r>
              <w:rPr>
                <w:rFonts w:ascii="Arial" w:eastAsia="Times New Roman" w:hAnsi="Arial" w:cs="Arial"/>
                <w:color w:val="000000"/>
                <w:sz w:val="20"/>
                <w:szCs w:val="20"/>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8CA342" w14:textId="77777777" w:rsidR="00000000" w:rsidRDefault="00C01C43">
            <w:pPr>
              <w:jc w:val="right"/>
              <w:rPr>
                <w:rFonts w:eastAsia="Times New Roman"/>
              </w:rPr>
            </w:pPr>
          </w:p>
        </w:tc>
      </w:tr>
      <w:tr w:rsidR="00000000" w14:paraId="313F4D4B" w14:textId="77777777">
        <w:trPr>
          <w:divId w:val="71510089"/>
        </w:trPr>
        <w:tc>
          <w:tcPr>
            <w:tcW w:w="0" w:type="auto"/>
            <w:gridSpan w:val="3"/>
            <w:tcMar>
              <w:top w:w="30" w:type="dxa"/>
              <w:left w:w="20" w:type="dxa"/>
              <w:bottom w:w="30" w:type="dxa"/>
              <w:right w:w="20" w:type="dxa"/>
            </w:tcMar>
            <w:vAlign w:val="bottom"/>
            <w:hideMark/>
          </w:tcPr>
          <w:p w14:paraId="18A6EBED" w14:textId="77777777" w:rsidR="00000000" w:rsidRDefault="00C01C43">
            <w:pPr>
              <w:rPr>
                <w:rFonts w:eastAsia="Times New Roman"/>
              </w:rPr>
            </w:pPr>
            <w:r>
              <w:rPr>
                <w:rFonts w:ascii="Arial" w:eastAsia="Times New Roman" w:hAnsi="Arial" w:cs="Arial"/>
                <w:color w:val="000000"/>
                <w:sz w:val="20"/>
                <w:szCs w:val="20"/>
              </w:rPr>
              <w:t>2022</w:t>
            </w:r>
          </w:p>
        </w:tc>
        <w:tc>
          <w:tcPr>
            <w:tcW w:w="0" w:type="auto"/>
            <w:gridSpan w:val="2"/>
            <w:tcMar>
              <w:top w:w="30" w:type="dxa"/>
              <w:left w:w="20" w:type="dxa"/>
              <w:bottom w:w="30" w:type="dxa"/>
              <w:right w:w="0" w:type="dxa"/>
            </w:tcMar>
            <w:vAlign w:val="bottom"/>
            <w:hideMark/>
          </w:tcPr>
          <w:p w14:paraId="56B59693" w14:textId="77777777" w:rsidR="00000000" w:rsidRDefault="00C01C43">
            <w:pPr>
              <w:jc w:val="right"/>
              <w:rPr>
                <w:rFonts w:eastAsia="Times New Roman"/>
              </w:rPr>
            </w:pPr>
            <w:r>
              <w:rPr>
                <w:rFonts w:ascii="Arial" w:eastAsia="Times New Roman" w:hAnsi="Arial" w:cs="Arial"/>
                <w:color w:val="000000"/>
                <w:sz w:val="20"/>
                <w:szCs w:val="20"/>
              </w:rPr>
              <w:t>6.1 </w:t>
            </w:r>
          </w:p>
        </w:tc>
        <w:tc>
          <w:tcPr>
            <w:tcW w:w="0" w:type="auto"/>
            <w:tcMar>
              <w:top w:w="30" w:type="dxa"/>
              <w:left w:w="0" w:type="dxa"/>
              <w:bottom w:w="30" w:type="dxa"/>
              <w:right w:w="20" w:type="dxa"/>
            </w:tcMar>
            <w:vAlign w:val="bottom"/>
            <w:hideMark/>
          </w:tcPr>
          <w:p w14:paraId="0F5E5714" w14:textId="77777777" w:rsidR="00000000" w:rsidRDefault="00C01C43">
            <w:pPr>
              <w:jc w:val="right"/>
              <w:rPr>
                <w:rFonts w:eastAsia="Times New Roman"/>
              </w:rPr>
            </w:pPr>
          </w:p>
        </w:tc>
      </w:tr>
      <w:tr w:rsidR="00000000" w14:paraId="0C452C9B" w14:textId="77777777">
        <w:trPr>
          <w:divId w:val="71510089"/>
        </w:trPr>
        <w:tc>
          <w:tcPr>
            <w:tcW w:w="0" w:type="auto"/>
            <w:gridSpan w:val="3"/>
            <w:shd w:val="clear" w:color="auto" w:fill="CCEEFF"/>
            <w:tcMar>
              <w:top w:w="30" w:type="dxa"/>
              <w:left w:w="20" w:type="dxa"/>
              <w:bottom w:w="30" w:type="dxa"/>
              <w:right w:w="20" w:type="dxa"/>
            </w:tcMar>
            <w:vAlign w:val="bottom"/>
            <w:hideMark/>
          </w:tcPr>
          <w:p w14:paraId="64850478" w14:textId="77777777" w:rsidR="00000000" w:rsidRDefault="00C01C43">
            <w:pPr>
              <w:rPr>
                <w:rFonts w:eastAsia="Times New Roman"/>
              </w:rPr>
            </w:pPr>
            <w:r>
              <w:rPr>
                <w:rFonts w:ascii="Arial" w:eastAsia="Times New Roman" w:hAnsi="Arial" w:cs="Arial"/>
                <w:color w:val="000000"/>
                <w:sz w:val="20"/>
                <w:szCs w:val="20"/>
              </w:rPr>
              <w:t>2023</w:t>
            </w:r>
          </w:p>
        </w:tc>
        <w:tc>
          <w:tcPr>
            <w:tcW w:w="0" w:type="auto"/>
            <w:gridSpan w:val="2"/>
            <w:shd w:val="clear" w:color="auto" w:fill="CCEEFF"/>
            <w:tcMar>
              <w:top w:w="30" w:type="dxa"/>
              <w:left w:w="20" w:type="dxa"/>
              <w:bottom w:w="30" w:type="dxa"/>
              <w:right w:w="0" w:type="dxa"/>
            </w:tcMar>
            <w:vAlign w:val="bottom"/>
            <w:hideMark/>
          </w:tcPr>
          <w:p w14:paraId="5E0961B5" w14:textId="77777777" w:rsidR="00000000" w:rsidRDefault="00C01C43">
            <w:pPr>
              <w:jc w:val="right"/>
              <w:rPr>
                <w:rFonts w:eastAsia="Times New Roman"/>
              </w:rPr>
            </w:pPr>
            <w:r>
              <w:rPr>
                <w:rFonts w:ascii="Arial" w:eastAsia="Times New Roman" w:hAnsi="Arial" w:cs="Arial"/>
                <w:color w:val="000000"/>
                <w:sz w:val="20"/>
                <w:szCs w:val="20"/>
              </w:rPr>
              <w:t>1.6 </w:t>
            </w:r>
          </w:p>
        </w:tc>
        <w:tc>
          <w:tcPr>
            <w:tcW w:w="0" w:type="auto"/>
            <w:shd w:val="clear" w:color="auto" w:fill="CCEEFF"/>
            <w:tcMar>
              <w:top w:w="30" w:type="dxa"/>
              <w:left w:w="0" w:type="dxa"/>
              <w:bottom w:w="30" w:type="dxa"/>
              <w:right w:w="20" w:type="dxa"/>
            </w:tcMar>
            <w:vAlign w:val="bottom"/>
            <w:hideMark/>
          </w:tcPr>
          <w:p w14:paraId="28F64F19" w14:textId="77777777" w:rsidR="00000000" w:rsidRDefault="00C01C43">
            <w:pPr>
              <w:jc w:val="right"/>
              <w:rPr>
                <w:rFonts w:eastAsia="Times New Roman"/>
              </w:rPr>
            </w:pPr>
          </w:p>
        </w:tc>
      </w:tr>
      <w:tr w:rsidR="00000000" w14:paraId="47539621" w14:textId="77777777">
        <w:trPr>
          <w:divId w:val="71510089"/>
        </w:trPr>
        <w:tc>
          <w:tcPr>
            <w:tcW w:w="0" w:type="auto"/>
            <w:gridSpan w:val="3"/>
            <w:tcMar>
              <w:top w:w="30" w:type="dxa"/>
              <w:left w:w="20" w:type="dxa"/>
              <w:bottom w:w="30" w:type="dxa"/>
              <w:right w:w="20" w:type="dxa"/>
            </w:tcMar>
            <w:vAlign w:val="bottom"/>
            <w:hideMark/>
          </w:tcPr>
          <w:p w14:paraId="54CCE477" w14:textId="77777777" w:rsidR="00000000" w:rsidRDefault="00C01C43">
            <w:pPr>
              <w:rPr>
                <w:rFonts w:eastAsia="Times New Roman"/>
              </w:rPr>
            </w:pPr>
            <w:r>
              <w:rPr>
                <w:rFonts w:ascii="Arial" w:eastAsia="Times New Roman" w:hAnsi="Arial" w:cs="Arial"/>
                <w:color w:val="000000"/>
                <w:sz w:val="20"/>
                <w:szCs w:val="20"/>
              </w:rPr>
              <w:t>2024</w:t>
            </w:r>
          </w:p>
        </w:tc>
        <w:tc>
          <w:tcPr>
            <w:tcW w:w="0" w:type="auto"/>
            <w:gridSpan w:val="2"/>
            <w:tcMar>
              <w:top w:w="30" w:type="dxa"/>
              <w:left w:w="20" w:type="dxa"/>
              <w:bottom w:w="30" w:type="dxa"/>
              <w:right w:w="0" w:type="dxa"/>
            </w:tcMar>
            <w:vAlign w:val="bottom"/>
            <w:hideMark/>
          </w:tcPr>
          <w:p w14:paraId="53657EDF"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14:paraId="77C12273" w14:textId="77777777" w:rsidR="00000000" w:rsidRDefault="00C01C43">
            <w:pPr>
              <w:jc w:val="right"/>
              <w:rPr>
                <w:rFonts w:eastAsia="Times New Roman"/>
              </w:rPr>
            </w:pPr>
          </w:p>
        </w:tc>
      </w:tr>
      <w:tr w:rsidR="00000000" w14:paraId="5257BC8E" w14:textId="77777777">
        <w:trPr>
          <w:divId w:val="71510089"/>
        </w:trPr>
        <w:tc>
          <w:tcPr>
            <w:tcW w:w="0" w:type="auto"/>
            <w:gridSpan w:val="3"/>
            <w:shd w:val="clear" w:color="auto" w:fill="CCEEFF"/>
            <w:tcMar>
              <w:top w:w="30" w:type="dxa"/>
              <w:left w:w="20" w:type="dxa"/>
              <w:bottom w:w="30" w:type="dxa"/>
              <w:right w:w="20" w:type="dxa"/>
            </w:tcMar>
            <w:vAlign w:val="bottom"/>
            <w:hideMark/>
          </w:tcPr>
          <w:p w14:paraId="6CB34FAB" w14:textId="77777777" w:rsidR="00000000" w:rsidRDefault="00C01C43">
            <w:pPr>
              <w:rPr>
                <w:rFonts w:eastAsia="Times New Roman"/>
              </w:rPr>
            </w:pPr>
            <w:r>
              <w:rPr>
                <w:rFonts w:ascii="Arial" w:eastAsia="Times New Roman" w:hAnsi="Arial" w:cs="Arial"/>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14:paraId="3604519A"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5EBB4BCC" w14:textId="77777777" w:rsidR="00000000" w:rsidRDefault="00C01C43">
            <w:pPr>
              <w:jc w:val="right"/>
              <w:rPr>
                <w:rFonts w:eastAsia="Times New Roman"/>
              </w:rPr>
            </w:pPr>
          </w:p>
        </w:tc>
      </w:tr>
      <w:tr w:rsidR="00000000" w14:paraId="541916FB" w14:textId="77777777">
        <w:trPr>
          <w:divId w:val="71510089"/>
        </w:trPr>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14:paraId="0AE97F90" w14:textId="77777777" w:rsidR="00000000" w:rsidRDefault="00C01C43">
            <w:pPr>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ACF60F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0C809FF" w14:textId="77777777" w:rsidR="00000000" w:rsidRDefault="00C01C43">
            <w:pPr>
              <w:jc w:val="right"/>
              <w:rPr>
                <w:rFonts w:eastAsia="Times New Roman"/>
              </w:rPr>
            </w:pPr>
            <w:r>
              <w:rPr>
                <w:rFonts w:ascii="Arial" w:eastAsia="Times New Roman" w:hAnsi="Arial" w:cs="Arial"/>
                <w:color w:val="000000"/>
                <w:sz w:val="20"/>
                <w:szCs w:val="20"/>
              </w:rPr>
              <w:t>16.6 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53457CC" w14:textId="77777777" w:rsidR="00000000" w:rsidRDefault="00C01C43">
            <w:pPr>
              <w:jc w:val="right"/>
              <w:rPr>
                <w:rFonts w:eastAsia="Times New Roman"/>
              </w:rPr>
            </w:pPr>
          </w:p>
        </w:tc>
      </w:tr>
    </w:tbl>
    <w:p w14:paraId="61938E46" w14:textId="77777777" w:rsidR="00000000" w:rsidRDefault="00C01C43">
      <w:pPr>
        <w:jc w:val="center"/>
        <w:divId w:val="77485807"/>
        <w:rPr>
          <w:rFonts w:eastAsia="Times New Roman"/>
        </w:rPr>
      </w:pPr>
      <w:r>
        <w:rPr>
          <w:rFonts w:ascii="Arial" w:eastAsia="Times New Roman" w:hAnsi="Arial" w:cs="Arial"/>
          <w:color w:val="000000"/>
          <w:sz w:val="16"/>
          <w:szCs w:val="16"/>
        </w:rPr>
        <w:t>77</w:t>
      </w:r>
    </w:p>
    <w:p w14:paraId="74C5ED44" w14:textId="77777777" w:rsidR="00000000" w:rsidRDefault="00C01C43">
      <w:pPr>
        <w:rPr>
          <w:rFonts w:eastAsia="Times New Roman"/>
        </w:rPr>
      </w:pPr>
      <w:r>
        <w:rPr>
          <w:rFonts w:eastAsia="Times New Roman"/>
        </w:rPr>
        <w:pict w14:anchorId="76543DB2">
          <v:rect id="_x0000_i1106" style="width:0;height:1.5pt" o:hralign="center" o:hrstd="t" o:hr="t" fillcolor="#a0a0a0" stroked="f"/>
        </w:pict>
      </w:r>
    </w:p>
    <w:p w14:paraId="682C41BC" w14:textId="77777777" w:rsidR="00000000" w:rsidRDefault="00C01C43">
      <w:pPr>
        <w:divId w:val="1355688203"/>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04E2C934" w14:textId="77777777" w:rsidR="00000000" w:rsidRDefault="00C01C43">
      <w:pPr>
        <w:jc w:val="both"/>
        <w:rPr>
          <w:rFonts w:eastAsia="Times New Roman"/>
        </w:rPr>
      </w:pPr>
    </w:p>
    <w:p w14:paraId="0B4D85B1" w14:textId="77777777" w:rsidR="00000000" w:rsidRDefault="00C01C43">
      <w:pPr>
        <w:jc w:val="both"/>
        <w:divId w:val="1609240014"/>
        <w:rPr>
          <w:rFonts w:eastAsia="Times New Roman"/>
        </w:rPr>
      </w:pPr>
      <w:r>
        <w:rPr>
          <w:rFonts w:ascii="Arial" w:eastAsia="Times New Roman" w:hAnsi="Arial" w:cs="Arial"/>
          <w:b/>
          <w:bCs/>
          <w:color w:val="000000"/>
          <w:sz w:val="20"/>
          <w:szCs w:val="20"/>
        </w:rPr>
        <w:t>Other Comprehensive Loss and Accumulated Other Comprehensive Loss</w:t>
      </w:r>
    </w:p>
    <w:p w14:paraId="380E9AD0" w14:textId="77777777" w:rsidR="00000000" w:rsidRDefault="00C01C43">
      <w:pPr>
        <w:jc w:val="both"/>
        <w:divId w:val="354574412"/>
        <w:rPr>
          <w:rFonts w:eastAsia="Times New Roman"/>
        </w:rPr>
      </w:pPr>
      <w:r>
        <w:rPr>
          <w:rFonts w:ascii="Arial" w:eastAsia="Times New Roman" w:hAnsi="Arial" w:cs="Arial"/>
          <w:color w:val="000000"/>
          <w:sz w:val="20"/>
          <w:szCs w:val="20"/>
        </w:rPr>
        <w:t>Our other comprehensive loss, consisting of foreign currency translation adj</w:t>
      </w:r>
      <w:r>
        <w:rPr>
          <w:rFonts w:ascii="Arial" w:eastAsia="Times New Roman" w:hAnsi="Arial" w:cs="Arial"/>
          <w:color w:val="000000"/>
          <w:sz w:val="20"/>
          <w:szCs w:val="20"/>
        </w:rPr>
        <w:t>ustments related to our subsidiaries that have a functional currency other than the U.S. dollar and cash flow hedges, was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716"/>
        <w:gridCol w:w="37"/>
        <w:gridCol w:w="133"/>
        <w:gridCol w:w="935"/>
        <w:gridCol w:w="36"/>
        <w:gridCol w:w="36"/>
        <w:gridCol w:w="36"/>
        <w:gridCol w:w="36"/>
        <w:gridCol w:w="132"/>
        <w:gridCol w:w="693"/>
        <w:gridCol w:w="36"/>
        <w:gridCol w:w="36"/>
        <w:gridCol w:w="36"/>
        <w:gridCol w:w="36"/>
        <w:gridCol w:w="133"/>
        <w:gridCol w:w="1140"/>
        <w:gridCol w:w="36"/>
      </w:tblGrid>
      <w:tr w:rsidR="00000000" w14:paraId="5B8F1A27" w14:textId="77777777">
        <w:trPr>
          <w:divId w:val="1168835635"/>
        </w:trPr>
        <w:tc>
          <w:tcPr>
            <w:tcW w:w="50" w:type="pct"/>
            <w:vAlign w:val="center"/>
            <w:hideMark/>
          </w:tcPr>
          <w:p w14:paraId="2355EA4B" w14:textId="77777777" w:rsidR="00000000" w:rsidRDefault="00C01C43">
            <w:pPr>
              <w:jc w:val="both"/>
              <w:rPr>
                <w:rFonts w:eastAsia="Times New Roman"/>
              </w:rPr>
            </w:pPr>
          </w:p>
        </w:tc>
        <w:tc>
          <w:tcPr>
            <w:tcW w:w="2928" w:type="pct"/>
            <w:vAlign w:val="center"/>
            <w:hideMark/>
          </w:tcPr>
          <w:p w14:paraId="3209F2B9" w14:textId="77777777" w:rsidR="00000000" w:rsidRDefault="00C01C43">
            <w:pPr>
              <w:rPr>
                <w:rFonts w:eastAsia="Times New Roman"/>
                <w:sz w:val="20"/>
                <w:szCs w:val="20"/>
              </w:rPr>
            </w:pPr>
          </w:p>
        </w:tc>
        <w:tc>
          <w:tcPr>
            <w:tcW w:w="5" w:type="pct"/>
            <w:vAlign w:val="center"/>
            <w:hideMark/>
          </w:tcPr>
          <w:p w14:paraId="42B174E1" w14:textId="77777777" w:rsidR="00000000" w:rsidRDefault="00C01C43">
            <w:pPr>
              <w:rPr>
                <w:rFonts w:eastAsia="Times New Roman"/>
                <w:sz w:val="20"/>
                <w:szCs w:val="20"/>
              </w:rPr>
            </w:pPr>
          </w:p>
        </w:tc>
        <w:tc>
          <w:tcPr>
            <w:tcW w:w="50" w:type="pct"/>
            <w:vAlign w:val="center"/>
            <w:hideMark/>
          </w:tcPr>
          <w:p w14:paraId="2CDDB521" w14:textId="77777777" w:rsidR="00000000" w:rsidRDefault="00C01C43">
            <w:pPr>
              <w:rPr>
                <w:rFonts w:eastAsia="Times New Roman"/>
                <w:sz w:val="20"/>
                <w:szCs w:val="20"/>
              </w:rPr>
            </w:pPr>
          </w:p>
        </w:tc>
        <w:tc>
          <w:tcPr>
            <w:tcW w:w="626" w:type="pct"/>
            <w:vAlign w:val="center"/>
            <w:hideMark/>
          </w:tcPr>
          <w:p w14:paraId="507A8136" w14:textId="77777777" w:rsidR="00000000" w:rsidRDefault="00C01C43">
            <w:pPr>
              <w:rPr>
                <w:rFonts w:eastAsia="Times New Roman"/>
                <w:sz w:val="20"/>
                <w:szCs w:val="20"/>
              </w:rPr>
            </w:pPr>
          </w:p>
        </w:tc>
        <w:tc>
          <w:tcPr>
            <w:tcW w:w="5" w:type="pct"/>
            <w:vAlign w:val="center"/>
            <w:hideMark/>
          </w:tcPr>
          <w:p w14:paraId="06BBE6BD" w14:textId="77777777" w:rsidR="00000000" w:rsidRDefault="00C01C43">
            <w:pPr>
              <w:rPr>
                <w:rFonts w:eastAsia="Times New Roman"/>
                <w:sz w:val="20"/>
                <w:szCs w:val="20"/>
              </w:rPr>
            </w:pPr>
          </w:p>
        </w:tc>
        <w:tc>
          <w:tcPr>
            <w:tcW w:w="5" w:type="pct"/>
            <w:vAlign w:val="center"/>
            <w:hideMark/>
          </w:tcPr>
          <w:p w14:paraId="718F8645" w14:textId="77777777" w:rsidR="00000000" w:rsidRDefault="00C01C43">
            <w:pPr>
              <w:rPr>
                <w:rFonts w:eastAsia="Times New Roman"/>
                <w:sz w:val="20"/>
                <w:szCs w:val="20"/>
              </w:rPr>
            </w:pPr>
          </w:p>
        </w:tc>
        <w:tc>
          <w:tcPr>
            <w:tcW w:w="26" w:type="pct"/>
            <w:vAlign w:val="center"/>
            <w:hideMark/>
          </w:tcPr>
          <w:p w14:paraId="2A1F0C50" w14:textId="77777777" w:rsidR="00000000" w:rsidRDefault="00C01C43">
            <w:pPr>
              <w:rPr>
                <w:rFonts w:eastAsia="Times New Roman"/>
                <w:sz w:val="20"/>
                <w:szCs w:val="20"/>
              </w:rPr>
            </w:pPr>
          </w:p>
        </w:tc>
        <w:tc>
          <w:tcPr>
            <w:tcW w:w="5" w:type="pct"/>
            <w:vAlign w:val="center"/>
            <w:hideMark/>
          </w:tcPr>
          <w:p w14:paraId="04282DA9" w14:textId="77777777" w:rsidR="00000000" w:rsidRDefault="00C01C43">
            <w:pPr>
              <w:rPr>
                <w:rFonts w:eastAsia="Times New Roman"/>
                <w:sz w:val="20"/>
                <w:szCs w:val="20"/>
              </w:rPr>
            </w:pPr>
          </w:p>
        </w:tc>
        <w:tc>
          <w:tcPr>
            <w:tcW w:w="50" w:type="pct"/>
            <w:vAlign w:val="center"/>
            <w:hideMark/>
          </w:tcPr>
          <w:p w14:paraId="146C62A5" w14:textId="77777777" w:rsidR="00000000" w:rsidRDefault="00C01C43">
            <w:pPr>
              <w:rPr>
                <w:rFonts w:eastAsia="Times New Roman"/>
                <w:sz w:val="20"/>
                <w:szCs w:val="20"/>
              </w:rPr>
            </w:pPr>
          </w:p>
        </w:tc>
        <w:tc>
          <w:tcPr>
            <w:tcW w:w="524" w:type="pct"/>
            <w:vAlign w:val="center"/>
            <w:hideMark/>
          </w:tcPr>
          <w:p w14:paraId="1D111AE7" w14:textId="77777777" w:rsidR="00000000" w:rsidRDefault="00C01C43">
            <w:pPr>
              <w:rPr>
                <w:rFonts w:eastAsia="Times New Roman"/>
                <w:sz w:val="20"/>
                <w:szCs w:val="20"/>
              </w:rPr>
            </w:pPr>
          </w:p>
        </w:tc>
        <w:tc>
          <w:tcPr>
            <w:tcW w:w="5" w:type="pct"/>
            <w:vAlign w:val="center"/>
            <w:hideMark/>
          </w:tcPr>
          <w:p w14:paraId="3441C3EB" w14:textId="77777777" w:rsidR="00000000" w:rsidRDefault="00C01C43">
            <w:pPr>
              <w:rPr>
                <w:rFonts w:eastAsia="Times New Roman"/>
                <w:sz w:val="20"/>
                <w:szCs w:val="20"/>
              </w:rPr>
            </w:pPr>
          </w:p>
        </w:tc>
        <w:tc>
          <w:tcPr>
            <w:tcW w:w="5" w:type="pct"/>
            <w:vAlign w:val="center"/>
            <w:hideMark/>
          </w:tcPr>
          <w:p w14:paraId="5A05EA75" w14:textId="77777777" w:rsidR="00000000" w:rsidRDefault="00C01C43">
            <w:pPr>
              <w:rPr>
                <w:rFonts w:eastAsia="Times New Roman"/>
                <w:sz w:val="20"/>
                <w:szCs w:val="20"/>
              </w:rPr>
            </w:pPr>
          </w:p>
        </w:tc>
        <w:tc>
          <w:tcPr>
            <w:tcW w:w="26" w:type="pct"/>
            <w:vAlign w:val="center"/>
            <w:hideMark/>
          </w:tcPr>
          <w:p w14:paraId="30006D69" w14:textId="77777777" w:rsidR="00000000" w:rsidRDefault="00C01C43">
            <w:pPr>
              <w:rPr>
                <w:rFonts w:eastAsia="Times New Roman"/>
                <w:sz w:val="20"/>
                <w:szCs w:val="20"/>
              </w:rPr>
            </w:pPr>
          </w:p>
        </w:tc>
        <w:tc>
          <w:tcPr>
            <w:tcW w:w="5" w:type="pct"/>
            <w:vAlign w:val="center"/>
            <w:hideMark/>
          </w:tcPr>
          <w:p w14:paraId="1B7225FF" w14:textId="77777777" w:rsidR="00000000" w:rsidRDefault="00C01C43">
            <w:pPr>
              <w:rPr>
                <w:rFonts w:eastAsia="Times New Roman"/>
                <w:sz w:val="20"/>
                <w:szCs w:val="20"/>
              </w:rPr>
            </w:pPr>
          </w:p>
        </w:tc>
        <w:tc>
          <w:tcPr>
            <w:tcW w:w="50" w:type="pct"/>
            <w:vAlign w:val="center"/>
            <w:hideMark/>
          </w:tcPr>
          <w:p w14:paraId="05285ABE" w14:textId="77777777" w:rsidR="00000000" w:rsidRDefault="00C01C43">
            <w:pPr>
              <w:rPr>
                <w:rFonts w:eastAsia="Times New Roman"/>
                <w:sz w:val="20"/>
                <w:szCs w:val="20"/>
              </w:rPr>
            </w:pPr>
          </w:p>
        </w:tc>
        <w:tc>
          <w:tcPr>
            <w:tcW w:w="626" w:type="pct"/>
            <w:vAlign w:val="center"/>
            <w:hideMark/>
          </w:tcPr>
          <w:p w14:paraId="782DD9DA" w14:textId="77777777" w:rsidR="00000000" w:rsidRDefault="00C01C43">
            <w:pPr>
              <w:rPr>
                <w:rFonts w:eastAsia="Times New Roman"/>
                <w:sz w:val="20"/>
                <w:szCs w:val="20"/>
              </w:rPr>
            </w:pPr>
          </w:p>
        </w:tc>
        <w:tc>
          <w:tcPr>
            <w:tcW w:w="5" w:type="pct"/>
            <w:vAlign w:val="center"/>
            <w:hideMark/>
          </w:tcPr>
          <w:p w14:paraId="120B6E31" w14:textId="77777777" w:rsidR="00000000" w:rsidRDefault="00C01C43">
            <w:pPr>
              <w:rPr>
                <w:rFonts w:eastAsia="Times New Roman"/>
                <w:sz w:val="20"/>
                <w:szCs w:val="20"/>
              </w:rPr>
            </w:pPr>
          </w:p>
        </w:tc>
      </w:tr>
      <w:tr w:rsidR="00000000" w14:paraId="5A9F1FDC" w14:textId="77777777">
        <w:trPr>
          <w:divId w:val="1168835635"/>
        </w:trPr>
        <w:tc>
          <w:tcPr>
            <w:tcW w:w="0" w:type="auto"/>
            <w:gridSpan w:val="3"/>
            <w:tcMar>
              <w:top w:w="0" w:type="dxa"/>
              <w:left w:w="20" w:type="dxa"/>
              <w:bottom w:w="0" w:type="dxa"/>
              <w:right w:w="20" w:type="dxa"/>
            </w:tcMar>
            <w:vAlign w:val="center"/>
            <w:hideMark/>
          </w:tcPr>
          <w:p w14:paraId="1BEB2788"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27584C52" w14:textId="77777777" w:rsidR="00000000" w:rsidRDefault="00C01C43">
            <w:pPr>
              <w:jc w:val="center"/>
              <w:rPr>
                <w:rFonts w:eastAsia="Times New Roman"/>
              </w:rPr>
            </w:pPr>
            <w:r>
              <w:rPr>
                <w:rFonts w:ascii="Arial" w:eastAsia="Times New Roman" w:hAnsi="Arial" w:cs="Arial"/>
                <w:b/>
                <w:bCs/>
                <w:color w:val="000000"/>
                <w:sz w:val="16"/>
                <w:szCs w:val="16"/>
              </w:rPr>
              <w:t>Foreign Currency Translation Adjustments</w:t>
            </w:r>
          </w:p>
        </w:tc>
        <w:tc>
          <w:tcPr>
            <w:tcW w:w="0" w:type="auto"/>
            <w:gridSpan w:val="3"/>
            <w:tcMar>
              <w:top w:w="0" w:type="dxa"/>
              <w:left w:w="20" w:type="dxa"/>
              <w:bottom w:w="0" w:type="dxa"/>
              <w:right w:w="20" w:type="dxa"/>
            </w:tcMar>
            <w:vAlign w:val="center"/>
            <w:hideMark/>
          </w:tcPr>
          <w:p w14:paraId="0174BD4F"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768F392B" w14:textId="77777777" w:rsidR="00000000" w:rsidRDefault="00C01C43">
            <w:pPr>
              <w:jc w:val="center"/>
              <w:rPr>
                <w:rFonts w:eastAsia="Times New Roman"/>
              </w:rPr>
            </w:pPr>
            <w:r>
              <w:rPr>
                <w:rFonts w:ascii="Arial" w:eastAsia="Times New Roman" w:hAnsi="Arial" w:cs="Arial"/>
                <w:b/>
                <w:bCs/>
                <w:color w:val="000000"/>
                <w:sz w:val="16"/>
                <w:szCs w:val="16"/>
              </w:rPr>
              <w:t>Cash Flow Hedges</w:t>
            </w:r>
          </w:p>
        </w:tc>
        <w:tc>
          <w:tcPr>
            <w:tcW w:w="0" w:type="auto"/>
            <w:gridSpan w:val="3"/>
            <w:tcMar>
              <w:top w:w="0" w:type="dxa"/>
              <w:left w:w="20" w:type="dxa"/>
              <w:bottom w:w="0" w:type="dxa"/>
              <w:right w:w="20" w:type="dxa"/>
            </w:tcMar>
            <w:vAlign w:val="center"/>
            <w:hideMark/>
          </w:tcPr>
          <w:p w14:paraId="6F910CAC"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2AA01700" w14:textId="77777777" w:rsidR="00000000" w:rsidRDefault="00C01C43">
            <w:pPr>
              <w:jc w:val="center"/>
              <w:rPr>
                <w:rFonts w:eastAsia="Times New Roman"/>
              </w:rPr>
            </w:pPr>
            <w:r>
              <w:rPr>
                <w:rFonts w:ascii="Arial" w:eastAsia="Times New Roman" w:hAnsi="Arial" w:cs="Arial"/>
                <w:b/>
                <w:bCs/>
                <w:color w:val="000000"/>
                <w:sz w:val="16"/>
                <w:szCs w:val="16"/>
              </w:rPr>
              <w:t>Accumulated Other Comprehensive Loss</w:t>
            </w:r>
          </w:p>
        </w:tc>
      </w:tr>
      <w:tr w:rsidR="00000000" w14:paraId="4AD58B48" w14:textId="77777777">
        <w:trPr>
          <w:divId w:val="116883563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59611FE" w14:textId="77777777" w:rsidR="00000000" w:rsidRDefault="00C01C43">
            <w:pPr>
              <w:rPr>
                <w:rFonts w:eastAsia="Times New Roman"/>
              </w:rPr>
            </w:pPr>
            <w:r>
              <w:rPr>
                <w:rFonts w:ascii="Arial" w:eastAsia="Times New Roman" w:hAnsi="Arial" w:cs="Arial"/>
                <w:color w:val="000000"/>
                <w:sz w:val="20"/>
                <w:szCs w:val="20"/>
              </w:rPr>
              <w:t>Balance as of December 31, 2018</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3CF34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4E8307" w14:textId="77777777" w:rsidR="00000000" w:rsidRDefault="00C01C43">
            <w:pPr>
              <w:jc w:val="right"/>
              <w:rPr>
                <w:rFonts w:eastAsia="Times New Roman"/>
              </w:rPr>
            </w:pPr>
            <w:r>
              <w:rPr>
                <w:rFonts w:ascii="Arial" w:eastAsia="Times New Roman" w:hAnsi="Arial" w:cs="Arial"/>
                <w:color w:val="000000"/>
                <w:sz w:val="20"/>
                <w:szCs w:val="20"/>
              </w:rPr>
              <w:t>(145.0)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0563E9"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D6963E"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4ECD0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1B31DF" w14:textId="77777777" w:rsidR="00000000" w:rsidRDefault="00C01C43">
            <w:pPr>
              <w:jc w:val="right"/>
              <w:rPr>
                <w:rFonts w:eastAsia="Times New Roman"/>
              </w:rPr>
            </w:pPr>
            <w:r>
              <w:rPr>
                <w:rFonts w:ascii="Arial" w:eastAsia="Times New Roman" w:hAnsi="Arial" w:cs="Arial"/>
                <w:color w:val="000000"/>
                <w:sz w:val="20"/>
                <w:szCs w:val="20"/>
              </w:rPr>
              <w:t>13.3 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550CAE"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D452CA"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78F895"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E546DF" w14:textId="77777777" w:rsidR="00000000" w:rsidRDefault="00C01C43">
            <w:pPr>
              <w:jc w:val="right"/>
              <w:rPr>
                <w:rFonts w:eastAsia="Times New Roman"/>
              </w:rPr>
            </w:pPr>
            <w:r>
              <w:rPr>
                <w:rFonts w:ascii="Arial" w:eastAsia="Times New Roman" w:hAnsi="Arial" w:cs="Arial"/>
                <w:color w:val="000000"/>
                <w:sz w:val="20"/>
                <w:szCs w:val="20"/>
              </w:rPr>
              <w:t>(131.7)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DC8B36" w14:textId="77777777" w:rsidR="00000000" w:rsidRDefault="00C01C43">
            <w:pPr>
              <w:jc w:val="right"/>
              <w:rPr>
                <w:rFonts w:eastAsia="Times New Roman"/>
              </w:rPr>
            </w:pPr>
          </w:p>
        </w:tc>
      </w:tr>
      <w:tr w:rsidR="00000000" w14:paraId="74562863" w14:textId="77777777">
        <w:trPr>
          <w:divId w:val="1168835635"/>
        </w:trPr>
        <w:tc>
          <w:tcPr>
            <w:tcW w:w="0" w:type="auto"/>
            <w:gridSpan w:val="3"/>
            <w:shd w:val="clear" w:color="auto" w:fill="FFFFFF"/>
            <w:tcMar>
              <w:top w:w="30" w:type="dxa"/>
              <w:left w:w="20" w:type="dxa"/>
              <w:bottom w:w="30" w:type="dxa"/>
              <w:right w:w="20" w:type="dxa"/>
            </w:tcMar>
            <w:vAlign w:val="bottom"/>
            <w:hideMark/>
          </w:tcPr>
          <w:p w14:paraId="7D4D1BF3" w14:textId="77777777" w:rsidR="00000000" w:rsidRDefault="00C01C43">
            <w:pPr>
              <w:rPr>
                <w:rFonts w:eastAsia="Times New Roman"/>
              </w:rPr>
            </w:pPr>
            <w:r>
              <w:rPr>
                <w:rFonts w:ascii="Arial" w:eastAsia="Times New Roman" w:hAnsi="Arial" w:cs="Arial"/>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14:paraId="12362E78" w14:textId="77777777" w:rsidR="00000000" w:rsidRDefault="00C01C43">
            <w:pPr>
              <w:jc w:val="right"/>
              <w:rPr>
                <w:rFonts w:eastAsia="Times New Roman"/>
              </w:rPr>
            </w:pPr>
            <w:r>
              <w:rPr>
                <w:rFonts w:ascii="Arial" w:eastAsia="Times New Roman" w:hAnsi="Arial" w:cs="Arial"/>
                <w:color w:val="000000"/>
                <w:sz w:val="20"/>
                <w:szCs w:val="20"/>
              </w:rPr>
              <w:t>8.2 </w:t>
            </w:r>
          </w:p>
        </w:tc>
        <w:tc>
          <w:tcPr>
            <w:tcW w:w="0" w:type="auto"/>
            <w:shd w:val="clear" w:color="auto" w:fill="FFFFFF"/>
            <w:tcMar>
              <w:top w:w="30" w:type="dxa"/>
              <w:left w:w="0" w:type="dxa"/>
              <w:bottom w:w="30" w:type="dxa"/>
              <w:right w:w="20" w:type="dxa"/>
            </w:tcMar>
            <w:vAlign w:val="bottom"/>
            <w:hideMark/>
          </w:tcPr>
          <w:p w14:paraId="43A1685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DAF8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B36532" w14:textId="77777777" w:rsidR="00000000" w:rsidRDefault="00C01C43">
            <w:pPr>
              <w:jc w:val="right"/>
              <w:rPr>
                <w:rFonts w:eastAsia="Times New Roman"/>
              </w:rPr>
            </w:pPr>
            <w:r>
              <w:rPr>
                <w:rFonts w:ascii="Arial" w:eastAsia="Times New Roman" w:hAnsi="Arial" w:cs="Arial"/>
                <w:color w:val="000000"/>
                <w:sz w:val="20"/>
                <w:szCs w:val="20"/>
              </w:rPr>
              <w:t>(25.5)</w:t>
            </w:r>
          </w:p>
        </w:tc>
        <w:tc>
          <w:tcPr>
            <w:tcW w:w="0" w:type="auto"/>
            <w:shd w:val="clear" w:color="auto" w:fill="FFFFFF"/>
            <w:tcMar>
              <w:top w:w="30" w:type="dxa"/>
              <w:left w:w="0" w:type="dxa"/>
              <w:bottom w:w="30" w:type="dxa"/>
              <w:right w:w="20" w:type="dxa"/>
            </w:tcMar>
            <w:vAlign w:val="bottom"/>
            <w:hideMark/>
          </w:tcPr>
          <w:p w14:paraId="763E0DD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714A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CF3EA1" w14:textId="77777777" w:rsidR="00000000" w:rsidRDefault="00C01C43">
            <w:pPr>
              <w:jc w:val="right"/>
              <w:rPr>
                <w:rFonts w:eastAsia="Times New Roman"/>
              </w:rPr>
            </w:pPr>
            <w:r>
              <w:rPr>
                <w:rFonts w:ascii="Arial" w:eastAsia="Times New Roman" w:hAnsi="Arial" w:cs="Arial"/>
                <w:color w:val="000000"/>
                <w:sz w:val="20"/>
                <w:szCs w:val="20"/>
              </w:rPr>
              <w:t>(17.3)</w:t>
            </w:r>
          </w:p>
        </w:tc>
        <w:tc>
          <w:tcPr>
            <w:tcW w:w="0" w:type="auto"/>
            <w:shd w:val="clear" w:color="auto" w:fill="FFFFFF"/>
            <w:tcMar>
              <w:top w:w="30" w:type="dxa"/>
              <w:left w:w="0" w:type="dxa"/>
              <w:bottom w:w="30" w:type="dxa"/>
              <w:right w:w="20" w:type="dxa"/>
            </w:tcMar>
            <w:vAlign w:val="bottom"/>
            <w:hideMark/>
          </w:tcPr>
          <w:p w14:paraId="6AA26DAB" w14:textId="77777777" w:rsidR="00000000" w:rsidRDefault="00C01C43">
            <w:pPr>
              <w:jc w:val="right"/>
              <w:rPr>
                <w:rFonts w:eastAsia="Times New Roman"/>
              </w:rPr>
            </w:pPr>
          </w:p>
        </w:tc>
      </w:tr>
      <w:tr w:rsidR="00000000" w14:paraId="6DCEFFEC" w14:textId="77777777">
        <w:trPr>
          <w:divId w:val="1168835635"/>
        </w:trPr>
        <w:tc>
          <w:tcPr>
            <w:tcW w:w="0" w:type="auto"/>
            <w:gridSpan w:val="3"/>
            <w:shd w:val="clear" w:color="auto" w:fill="CCEEFF"/>
            <w:tcMar>
              <w:top w:w="30" w:type="dxa"/>
              <w:left w:w="20" w:type="dxa"/>
              <w:bottom w:w="30" w:type="dxa"/>
              <w:right w:w="20" w:type="dxa"/>
            </w:tcMar>
            <w:vAlign w:val="bottom"/>
            <w:hideMark/>
          </w:tcPr>
          <w:p w14:paraId="2858540E" w14:textId="77777777" w:rsidR="00000000" w:rsidRDefault="00C01C43">
            <w:pPr>
              <w:rPr>
                <w:rFonts w:eastAsia="Times New Roman"/>
              </w:rPr>
            </w:pPr>
            <w:r>
              <w:rPr>
                <w:rFonts w:ascii="Arial" w:eastAsia="Times New Roman" w:hAnsi="Arial" w:cs="Arial"/>
                <w:color w:val="000000"/>
                <w:sz w:val="20"/>
                <w:szCs w:val="20"/>
              </w:rPr>
              <w:t>Less: Net other comprehensive (income) loss attributable to noncontrolling interest</w:t>
            </w:r>
          </w:p>
        </w:tc>
        <w:tc>
          <w:tcPr>
            <w:tcW w:w="0" w:type="auto"/>
            <w:gridSpan w:val="2"/>
            <w:shd w:val="clear" w:color="auto" w:fill="CCEEFF"/>
            <w:tcMar>
              <w:top w:w="30" w:type="dxa"/>
              <w:left w:w="20" w:type="dxa"/>
              <w:bottom w:w="30" w:type="dxa"/>
              <w:right w:w="0" w:type="dxa"/>
            </w:tcMar>
            <w:vAlign w:val="bottom"/>
            <w:hideMark/>
          </w:tcPr>
          <w:p w14:paraId="5F9D5AC0" w14:textId="77777777" w:rsidR="00000000" w:rsidRDefault="00C01C43">
            <w:pPr>
              <w:jc w:val="right"/>
              <w:rPr>
                <w:rFonts w:eastAsia="Times New Roman"/>
              </w:rPr>
            </w:pPr>
            <w:r>
              <w:rPr>
                <w:rFonts w:ascii="Arial" w:eastAsia="Times New Roman" w:hAnsi="Arial" w:cs="Arial"/>
                <w:color w:val="000000"/>
                <w:sz w:val="20"/>
                <w:szCs w:val="20"/>
              </w:rPr>
              <w:t>2.7 </w:t>
            </w:r>
          </w:p>
        </w:tc>
        <w:tc>
          <w:tcPr>
            <w:tcW w:w="0" w:type="auto"/>
            <w:shd w:val="clear" w:color="auto" w:fill="CCEEFF"/>
            <w:tcMar>
              <w:top w:w="30" w:type="dxa"/>
              <w:left w:w="0" w:type="dxa"/>
              <w:bottom w:w="30" w:type="dxa"/>
              <w:right w:w="20" w:type="dxa"/>
            </w:tcMar>
            <w:vAlign w:val="bottom"/>
            <w:hideMark/>
          </w:tcPr>
          <w:p w14:paraId="32AF646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AB5F1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6AE9FE"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5A9F6E7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CD59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7B1251" w14:textId="77777777" w:rsidR="00000000" w:rsidRDefault="00C01C43">
            <w:pPr>
              <w:jc w:val="right"/>
              <w:rPr>
                <w:rFonts w:eastAsia="Times New Roman"/>
              </w:rPr>
            </w:pPr>
            <w:r>
              <w:rPr>
                <w:rFonts w:ascii="Arial" w:eastAsia="Times New Roman" w:hAnsi="Arial" w:cs="Arial"/>
                <w:color w:val="000000"/>
                <w:sz w:val="20"/>
                <w:szCs w:val="20"/>
              </w:rPr>
              <w:t>2.7 </w:t>
            </w:r>
          </w:p>
        </w:tc>
        <w:tc>
          <w:tcPr>
            <w:tcW w:w="0" w:type="auto"/>
            <w:shd w:val="clear" w:color="auto" w:fill="CCEEFF"/>
            <w:tcMar>
              <w:top w:w="30" w:type="dxa"/>
              <w:left w:w="0" w:type="dxa"/>
              <w:bottom w:w="30" w:type="dxa"/>
              <w:right w:w="20" w:type="dxa"/>
            </w:tcMar>
            <w:vAlign w:val="bottom"/>
            <w:hideMark/>
          </w:tcPr>
          <w:p w14:paraId="797A8F0E" w14:textId="77777777" w:rsidR="00000000" w:rsidRDefault="00C01C43">
            <w:pPr>
              <w:jc w:val="right"/>
              <w:rPr>
                <w:rFonts w:eastAsia="Times New Roman"/>
              </w:rPr>
            </w:pPr>
          </w:p>
        </w:tc>
      </w:tr>
      <w:tr w:rsidR="00000000" w14:paraId="334F343C" w14:textId="77777777">
        <w:trPr>
          <w:divId w:val="116883563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93CFA0B" w14:textId="77777777" w:rsidR="00000000" w:rsidRDefault="00C01C43">
            <w:pPr>
              <w:rPr>
                <w:rFonts w:eastAsia="Times New Roman"/>
              </w:rPr>
            </w:pPr>
            <w:r>
              <w:rPr>
                <w:rFonts w:ascii="Arial" w:eastAsia="Times New Roman" w:hAnsi="Arial" w:cs="Arial"/>
                <w:color w:val="000000"/>
                <w:sz w:val="20"/>
                <w:szCs w:val="20"/>
              </w:rPr>
              <w:t>Balance as of December 31,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5154D4" w14:textId="77777777" w:rsidR="00000000" w:rsidRDefault="00C01C43">
            <w:pPr>
              <w:jc w:val="right"/>
              <w:rPr>
                <w:rFonts w:eastAsia="Times New Roman"/>
              </w:rPr>
            </w:pPr>
            <w:r>
              <w:rPr>
                <w:rFonts w:ascii="Arial" w:eastAsia="Times New Roman" w:hAnsi="Arial" w:cs="Arial"/>
                <w:color w:val="000000"/>
                <w:sz w:val="20"/>
                <w:szCs w:val="20"/>
              </w:rPr>
              <w:t>(134.1)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304B3E"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1C357AC"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074CA2" w14:textId="77777777" w:rsidR="00000000" w:rsidRDefault="00C01C43">
            <w:pPr>
              <w:jc w:val="right"/>
              <w:rPr>
                <w:rFonts w:eastAsia="Times New Roman"/>
              </w:rPr>
            </w:pPr>
            <w:r>
              <w:rPr>
                <w:rFonts w:ascii="Arial" w:eastAsia="Times New Roman" w:hAnsi="Arial" w:cs="Arial"/>
                <w:color w:val="000000"/>
                <w:sz w:val="20"/>
                <w:szCs w:val="20"/>
              </w:rPr>
              <w:t>(12.2)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13B2F4"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3C4F4C9"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EF9B0F" w14:textId="77777777" w:rsidR="00000000" w:rsidRDefault="00C01C43">
            <w:pPr>
              <w:jc w:val="right"/>
              <w:rPr>
                <w:rFonts w:eastAsia="Times New Roman"/>
              </w:rPr>
            </w:pPr>
            <w:r>
              <w:rPr>
                <w:rFonts w:ascii="Arial" w:eastAsia="Times New Roman" w:hAnsi="Arial" w:cs="Arial"/>
                <w:color w:val="000000"/>
                <w:sz w:val="20"/>
                <w:szCs w:val="20"/>
              </w:rPr>
              <w:t>(146.3)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1C78B2" w14:textId="77777777" w:rsidR="00000000" w:rsidRDefault="00C01C43">
            <w:pPr>
              <w:jc w:val="right"/>
              <w:rPr>
                <w:rFonts w:eastAsia="Times New Roman"/>
              </w:rPr>
            </w:pPr>
          </w:p>
        </w:tc>
      </w:tr>
      <w:tr w:rsidR="00000000" w14:paraId="3B7B560D" w14:textId="77777777">
        <w:trPr>
          <w:divId w:val="1168835635"/>
        </w:trPr>
        <w:tc>
          <w:tcPr>
            <w:tcW w:w="0" w:type="auto"/>
            <w:gridSpan w:val="3"/>
            <w:shd w:val="clear" w:color="auto" w:fill="CCEEFF"/>
            <w:tcMar>
              <w:top w:w="30" w:type="dxa"/>
              <w:left w:w="20" w:type="dxa"/>
              <w:bottom w:w="30" w:type="dxa"/>
              <w:right w:w="20" w:type="dxa"/>
            </w:tcMar>
            <w:vAlign w:val="bottom"/>
            <w:hideMark/>
          </w:tcPr>
          <w:p w14:paraId="0093A709" w14:textId="77777777" w:rsidR="00000000" w:rsidRDefault="00C01C43">
            <w:pPr>
              <w:rPr>
                <w:rFonts w:eastAsia="Times New Roman"/>
              </w:rPr>
            </w:pPr>
            <w:r>
              <w:rPr>
                <w:rFonts w:ascii="Arial" w:eastAsia="Times New Roman" w:hAnsi="Arial" w:cs="Arial"/>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14:paraId="3B7BB174" w14:textId="77777777" w:rsidR="00000000" w:rsidRDefault="00C01C43">
            <w:pPr>
              <w:jc w:val="right"/>
              <w:rPr>
                <w:rFonts w:eastAsia="Times New Roman"/>
              </w:rPr>
            </w:pPr>
            <w:r>
              <w:rPr>
                <w:rFonts w:ascii="Arial" w:eastAsia="Times New Roman" w:hAnsi="Arial" w:cs="Arial"/>
                <w:color w:val="000000"/>
                <w:sz w:val="20"/>
                <w:szCs w:val="20"/>
              </w:rPr>
              <w:t>13.8 </w:t>
            </w:r>
          </w:p>
        </w:tc>
        <w:tc>
          <w:tcPr>
            <w:tcW w:w="0" w:type="auto"/>
            <w:shd w:val="clear" w:color="auto" w:fill="CCEEFF"/>
            <w:tcMar>
              <w:top w:w="30" w:type="dxa"/>
              <w:left w:w="0" w:type="dxa"/>
              <w:bottom w:w="30" w:type="dxa"/>
              <w:right w:w="20" w:type="dxa"/>
            </w:tcMar>
            <w:vAlign w:val="bottom"/>
            <w:hideMark/>
          </w:tcPr>
          <w:p w14:paraId="135376E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06217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3F8582" w14:textId="77777777" w:rsidR="00000000" w:rsidRDefault="00C01C43">
            <w:pPr>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14:paraId="71F1C8E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B54FB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BFD475" w14:textId="77777777" w:rsidR="00000000" w:rsidRDefault="00C01C43">
            <w:pPr>
              <w:jc w:val="right"/>
              <w:rPr>
                <w:rFonts w:eastAsia="Times New Roman"/>
              </w:rPr>
            </w:pPr>
            <w:r>
              <w:rPr>
                <w:rFonts w:ascii="Arial" w:eastAsia="Times New Roman" w:hAnsi="Arial" w:cs="Arial"/>
                <w:color w:val="000000"/>
                <w:sz w:val="20"/>
                <w:szCs w:val="20"/>
              </w:rPr>
              <w:t>13.7 </w:t>
            </w:r>
          </w:p>
        </w:tc>
        <w:tc>
          <w:tcPr>
            <w:tcW w:w="0" w:type="auto"/>
            <w:shd w:val="clear" w:color="auto" w:fill="CCEEFF"/>
            <w:tcMar>
              <w:top w:w="30" w:type="dxa"/>
              <w:left w:w="0" w:type="dxa"/>
              <w:bottom w:w="30" w:type="dxa"/>
              <w:right w:w="20" w:type="dxa"/>
            </w:tcMar>
            <w:vAlign w:val="bottom"/>
            <w:hideMark/>
          </w:tcPr>
          <w:p w14:paraId="03465018" w14:textId="77777777" w:rsidR="00000000" w:rsidRDefault="00C01C43">
            <w:pPr>
              <w:jc w:val="right"/>
              <w:rPr>
                <w:rFonts w:eastAsia="Times New Roman"/>
              </w:rPr>
            </w:pPr>
          </w:p>
        </w:tc>
      </w:tr>
      <w:tr w:rsidR="00000000" w14:paraId="2F1F0417" w14:textId="77777777">
        <w:trPr>
          <w:divId w:val="1168835635"/>
        </w:trPr>
        <w:tc>
          <w:tcPr>
            <w:tcW w:w="0" w:type="auto"/>
            <w:gridSpan w:val="3"/>
            <w:vAlign w:val="center"/>
            <w:hideMark/>
          </w:tcPr>
          <w:p w14:paraId="05A10672" w14:textId="77777777" w:rsidR="00000000" w:rsidRDefault="00C01C43">
            <w:pPr>
              <w:jc w:val="right"/>
              <w:rPr>
                <w:rFonts w:eastAsia="Times New Roman"/>
                <w:sz w:val="20"/>
                <w:szCs w:val="20"/>
              </w:rPr>
            </w:pPr>
          </w:p>
        </w:tc>
        <w:tc>
          <w:tcPr>
            <w:tcW w:w="0" w:type="auto"/>
            <w:gridSpan w:val="3"/>
            <w:vAlign w:val="center"/>
            <w:hideMark/>
          </w:tcPr>
          <w:p w14:paraId="0D81061B" w14:textId="77777777" w:rsidR="00000000" w:rsidRDefault="00C01C43">
            <w:pPr>
              <w:rPr>
                <w:rFonts w:eastAsia="Times New Roman"/>
                <w:sz w:val="20"/>
                <w:szCs w:val="20"/>
              </w:rPr>
            </w:pPr>
          </w:p>
        </w:tc>
        <w:tc>
          <w:tcPr>
            <w:tcW w:w="0" w:type="auto"/>
            <w:gridSpan w:val="3"/>
            <w:vAlign w:val="center"/>
            <w:hideMark/>
          </w:tcPr>
          <w:p w14:paraId="29D3E040" w14:textId="77777777" w:rsidR="00000000" w:rsidRDefault="00C01C43">
            <w:pPr>
              <w:rPr>
                <w:rFonts w:eastAsia="Times New Roman"/>
                <w:sz w:val="20"/>
                <w:szCs w:val="20"/>
              </w:rPr>
            </w:pPr>
          </w:p>
        </w:tc>
        <w:tc>
          <w:tcPr>
            <w:tcW w:w="0" w:type="auto"/>
            <w:gridSpan w:val="3"/>
            <w:vAlign w:val="center"/>
            <w:hideMark/>
          </w:tcPr>
          <w:p w14:paraId="404EB1B2" w14:textId="77777777" w:rsidR="00000000" w:rsidRDefault="00C01C43">
            <w:pPr>
              <w:rPr>
                <w:rFonts w:eastAsia="Times New Roman"/>
                <w:sz w:val="20"/>
                <w:szCs w:val="20"/>
              </w:rPr>
            </w:pPr>
          </w:p>
        </w:tc>
        <w:tc>
          <w:tcPr>
            <w:tcW w:w="0" w:type="auto"/>
            <w:gridSpan w:val="3"/>
            <w:vAlign w:val="center"/>
            <w:hideMark/>
          </w:tcPr>
          <w:p w14:paraId="2603C737" w14:textId="77777777" w:rsidR="00000000" w:rsidRDefault="00C01C43">
            <w:pPr>
              <w:rPr>
                <w:rFonts w:eastAsia="Times New Roman"/>
                <w:sz w:val="20"/>
                <w:szCs w:val="20"/>
              </w:rPr>
            </w:pPr>
          </w:p>
        </w:tc>
        <w:tc>
          <w:tcPr>
            <w:tcW w:w="0" w:type="auto"/>
            <w:gridSpan w:val="3"/>
            <w:vAlign w:val="center"/>
            <w:hideMark/>
          </w:tcPr>
          <w:p w14:paraId="79FE62BE" w14:textId="77777777" w:rsidR="00000000" w:rsidRDefault="00C01C43">
            <w:pPr>
              <w:rPr>
                <w:rFonts w:eastAsia="Times New Roman"/>
                <w:sz w:val="20"/>
                <w:szCs w:val="20"/>
              </w:rPr>
            </w:pPr>
          </w:p>
        </w:tc>
      </w:tr>
      <w:tr w:rsidR="00000000" w14:paraId="48BF93E7" w14:textId="77777777">
        <w:trPr>
          <w:divId w:val="1168835635"/>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53ECC3F1" w14:textId="77777777" w:rsidR="00000000" w:rsidRDefault="00C01C43">
            <w:pPr>
              <w:rPr>
                <w:rFonts w:eastAsia="Times New Roman"/>
              </w:rPr>
            </w:pPr>
            <w:r>
              <w:rPr>
                <w:rFonts w:ascii="Arial" w:eastAsia="Times New Roman" w:hAnsi="Arial" w:cs="Arial"/>
                <w:color w:val="000000"/>
                <w:sz w:val="20"/>
                <w:szCs w:val="20"/>
              </w:rPr>
              <w:t>Balance as of December 31,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25C95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AB0CAA" w14:textId="77777777" w:rsidR="00000000" w:rsidRDefault="00C01C43">
            <w:pPr>
              <w:jc w:val="right"/>
              <w:rPr>
                <w:rFonts w:eastAsia="Times New Roman"/>
              </w:rPr>
            </w:pPr>
            <w:r>
              <w:rPr>
                <w:rFonts w:ascii="Arial" w:eastAsia="Times New Roman" w:hAnsi="Arial" w:cs="Arial"/>
                <w:color w:val="000000"/>
                <w:sz w:val="20"/>
                <w:szCs w:val="20"/>
              </w:rPr>
              <w:t>(120.3)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11B6B7"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09B661F"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A96C5B"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2AEC8A2" w14:textId="77777777" w:rsidR="00000000" w:rsidRDefault="00C01C43">
            <w:pPr>
              <w:jc w:val="right"/>
              <w:rPr>
                <w:rFonts w:eastAsia="Times New Roman"/>
              </w:rPr>
            </w:pPr>
            <w:r>
              <w:rPr>
                <w:rFonts w:ascii="Arial" w:eastAsia="Times New Roman" w:hAnsi="Arial" w:cs="Arial"/>
                <w:color w:val="000000"/>
                <w:sz w:val="20"/>
                <w:szCs w:val="20"/>
              </w:rPr>
              <w:t>(12.3)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53D189"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89A30B7"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4B9BF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AA66FB" w14:textId="77777777" w:rsidR="00000000" w:rsidRDefault="00C01C43">
            <w:pPr>
              <w:jc w:val="right"/>
              <w:rPr>
                <w:rFonts w:eastAsia="Times New Roman"/>
              </w:rPr>
            </w:pPr>
            <w:r>
              <w:rPr>
                <w:rFonts w:ascii="Arial" w:eastAsia="Times New Roman" w:hAnsi="Arial" w:cs="Arial"/>
                <w:color w:val="000000"/>
                <w:sz w:val="20"/>
                <w:szCs w:val="20"/>
              </w:rPr>
              <w:t>(132.6)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3DA3BF" w14:textId="77777777" w:rsidR="00000000" w:rsidRDefault="00C01C43">
            <w:pPr>
              <w:jc w:val="right"/>
              <w:rPr>
                <w:rFonts w:eastAsia="Times New Roman"/>
              </w:rPr>
            </w:pPr>
          </w:p>
        </w:tc>
      </w:tr>
    </w:tbl>
    <w:p w14:paraId="7899E3A0" w14:textId="77777777" w:rsidR="00000000" w:rsidRDefault="00C01C43">
      <w:pPr>
        <w:jc w:val="both"/>
        <w:divId w:val="607390799"/>
        <w:rPr>
          <w:rFonts w:eastAsia="Times New Roman"/>
        </w:rPr>
      </w:pPr>
      <w:r>
        <w:rPr>
          <w:rFonts w:ascii="Arial" w:eastAsia="Times New Roman" w:hAnsi="Arial" w:cs="Arial"/>
          <w:color w:val="000000"/>
          <w:sz w:val="20"/>
          <w:szCs w:val="20"/>
        </w:rPr>
        <w:t>The foreign currency translation adjustment gain for 2020 was primarily due to the effect of weakness in the U.S. dollar compared to most foreign currencies, including the British Pound. The foreign currency trans</w:t>
      </w:r>
      <w:r>
        <w:rPr>
          <w:rFonts w:ascii="Arial" w:eastAsia="Times New Roman" w:hAnsi="Arial" w:cs="Arial"/>
          <w:color w:val="000000"/>
          <w:sz w:val="20"/>
          <w:szCs w:val="20"/>
        </w:rPr>
        <w:t>lation adjustment gain for 2019 was primarily due to the effect of the relative weakness of the U.S. dollar against certain foreign currencies, including the British Pound and the South African rand.</w:t>
      </w:r>
    </w:p>
    <w:p w14:paraId="42BE61BE" w14:textId="77777777" w:rsidR="00000000" w:rsidRDefault="00C01C43">
      <w:pPr>
        <w:jc w:val="both"/>
        <w:rPr>
          <w:rFonts w:eastAsia="Times New Roman"/>
        </w:rPr>
      </w:pPr>
    </w:p>
    <w:p w14:paraId="1CB8902A" w14:textId="77777777" w:rsidR="00000000" w:rsidRDefault="00C01C43">
      <w:pPr>
        <w:jc w:val="both"/>
        <w:divId w:val="1017461008"/>
        <w:rPr>
          <w:rFonts w:eastAsia="Times New Roman"/>
        </w:rPr>
      </w:pPr>
    </w:p>
    <w:p w14:paraId="6F7F6270" w14:textId="77777777" w:rsidR="00000000" w:rsidRDefault="00C01C43">
      <w:pPr>
        <w:jc w:val="both"/>
        <w:divId w:val="687029434"/>
        <w:rPr>
          <w:rFonts w:eastAsia="Times New Roman"/>
        </w:rPr>
      </w:pPr>
      <w:r>
        <w:rPr>
          <w:rFonts w:ascii="Arial" w:eastAsia="Times New Roman" w:hAnsi="Arial" w:cs="Arial"/>
          <w:b/>
          <w:bCs/>
          <w:color w:val="000000"/>
          <w:sz w:val="20"/>
          <w:szCs w:val="20"/>
        </w:rPr>
        <w:t>11. Income Taxes</w:t>
      </w:r>
    </w:p>
    <w:p w14:paraId="04F051F6" w14:textId="77777777" w:rsidR="00000000" w:rsidRDefault="00C01C43">
      <w:pPr>
        <w:jc w:val="both"/>
        <w:rPr>
          <w:rFonts w:eastAsia="Times New Roman"/>
        </w:rPr>
      </w:pPr>
      <w:r>
        <w:rPr>
          <w:rFonts w:ascii="Arial" w:eastAsia="Times New Roman" w:hAnsi="Arial" w:cs="Arial"/>
          <w:color w:val="000000"/>
          <w:sz w:val="20"/>
          <w:szCs w:val="20"/>
        </w:rPr>
        <w:t>U.S. and foreign income before inco</w:t>
      </w:r>
      <w:r>
        <w:rPr>
          <w:rFonts w:ascii="Arial" w:eastAsia="Times New Roman" w:hAnsi="Arial" w:cs="Arial"/>
          <w:color w:val="000000"/>
          <w:sz w:val="20"/>
          <w:szCs w:val="20"/>
        </w:rPr>
        <w:t>me taxes consist of the following (in millions):</w:t>
      </w:r>
    </w:p>
    <w:tbl>
      <w:tblPr>
        <w:tblW w:w="4978" w:type="pct"/>
        <w:tblCellMar>
          <w:top w:w="15" w:type="dxa"/>
          <w:left w:w="15" w:type="dxa"/>
          <w:bottom w:w="15" w:type="dxa"/>
          <w:right w:w="15" w:type="dxa"/>
        </w:tblCellMar>
        <w:tblLook w:val="04A0" w:firstRow="1" w:lastRow="0" w:firstColumn="1" w:lastColumn="0" w:noHBand="0" w:noVBand="1"/>
      </w:tblPr>
      <w:tblGrid>
        <w:gridCol w:w="38"/>
        <w:gridCol w:w="4609"/>
        <w:gridCol w:w="37"/>
        <w:gridCol w:w="132"/>
        <w:gridCol w:w="985"/>
        <w:gridCol w:w="36"/>
        <w:gridCol w:w="36"/>
        <w:gridCol w:w="36"/>
        <w:gridCol w:w="36"/>
        <w:gridCol w:w="132"/>
        <w:gridCol w:w="940"/>
        <w:gridCol w:w="36"/>
        <w:gridCol w:w="36"/>
        <w:gridCol w:w="36"/>
        <w:gridCol w:w="36"/>
        <w:gridCol w:w="132"/>
        <w:gridCol w:w="940"/>
        <w:gridCol w:w="36"/>
      </w:tblGrid>
      <w:tr w:rsidR="00000000" w14:paraId="68CECFF9" w14:textId="77777777">
        <w:trPr>
          <w:divId w:val="1695301625"/>
        </w:trPr>
        <w:tc>
          <w:tcPr>
            <w:tcW w:w="50" w:type="pct"/>
            <w:vAlign w:val="center"/>
            <w:hideMark/>
          </w:tcPr>
          <w:p w14:paraId="1284F3CE" w14:textId="77777777" w:rsidR="00000000" w:rsidRDefault="00C01C43">
            <w:pPr>
              <w:jc w:val="both"/>
              <w:rPr>
                <w:rFonts w:eastAsia="Times New Roman"/>
              </w:rPr>
            </w:pPr>
          </w:p>
        </w:tc>
        <w:tc>
          <w:tcPr>
            <w:tcW w:w="2823" w:type="pct"/>
            <w:vAlign w:val="center"/>
            <w:hideMark/>
          </w:tcPr>
          <w:p w14:paraId="1189EA79" w14:textId="77777777" w:rsidR="00000000" w:rsidRDefault="00C01C43">
            <w:pPr>
              <w:rPr>
                <w:rFonts w:eastAsia="Times New Roman"/>
                <w:sz w:val="20"/>
                <w:szCs w:val="20"/>
              </w:rPr>
            </w:pPr>
          </w:p>
        </w:tc>
        <w:tc>
          <w:tcPr>
            <w:tcW w:w="5" w:type="pct"/>
            <w:vAlign w:val="center"/>
            <w:hideMark/>
          </w:tcPr>
          <w:p w14:paraId="72F4E61E" w14:textId="77777777" w:rsidR="00000000" w:rsidRDefault="00C01C43">
            <w:pPr>
              <w:rPr>
                <w:rFonts w:eastAsia="Times New Roman"/>
                <w:sz w:val="20"/>
                <w:szCs w:val="20"/>
              </w:rPr>
            </w:pPr>
          </w:p>
        </w:tc>
        <w:tc>
          <w:tcPr>
            <w:tcW w:w="50" w:type="pct"/>
            <w:vAlign w:val="center"/>
            <w:hideMark/>
          </w:tcPr>
          <w:p w14:paraId="382CF5A6" w14:textId="77777777" w:rsidR="00000000" w:rsidRDefault="00C01C43">
            <w:pPr>
              <w:rPr>
                <w:rFonts w:eastAsia="Times New Roman"/>
                <w:sz w:val="20"/>
                <w:szCs w:val="20"/>
              </w:rPr>
            </w:pPr>
          </w:p>
        </w:tc>
        <w:tc>
          <w:tcPr>
            <w:tcW w:w="627" w:type="pct"/>
            <w:vAlign w:val="center"/>
            <w:hideMark/>
          </w:tcPr>
          <w:p w14:paraId="2FD8B8BF" w14:textId="77777777" w:rsidR="00000000" w:rsidRDefault="00C01C43">
            <w:pPr>
              <w:rPr>
                <w:rFonts w:eastAsia="Times New Roman"/>
                <w:sz w:val="20"/>
                <w:szCs w:val="20"/>
              </w:rPr>
            </w:pPr>
          </w:p>
        </w:tc>
        <w:tc>
          <w:tcPr>
            <w:tcW w:w="5" w:type="pct"/>
            <w:vAlign w:val="center"/>
            <w:hideMark/>
          </w:tcPr>
          <w:p w14:paraId="28345041" w14:textId="77777777" w:rsidR="00000000" w:rsidRDefault="00C01C43">
            <w:pPr>
              <w:rPr>
                <w:rFonts w:eastAsia="Times New Roman"/>
                <w:sz w:val="20"/>
                <w:szCs w:val="20"/>
              </w:rPr>
            </w:pPr>
          </w:p>
        </w:tc>
        <w:tc>
          <w:tcPr>
            <w:tcW w:w="5" w:type="pct"/>
            <w:vAlign w:val="center"/>
            <w:hideMark/>
          </w:tcPr>
          <w:p w14:paraId="79F7916C" w14:textId="77777777" w:rsidR="00000000" w:rsidRDefault="00C01C43">
            <w:pPr>
              <w:rPr>
                <w:rFonts w:eastAsia="Times New Roman"/>
                <w:sz w:val="20"/>
                <w:szCs w:val="20"/>
              </w:rPr>
            </w:pPr>
          </w:p>
        </w:tc>
        <w:tc>
          <w:tcPr>
            <w:tcW w:w="26" w:type="pct"/>
            <w:vAlign w:val="center"/>
            <w:hideMark/>
          </w:tcPr>
          <w:p w14:paraId="2992C4D6" w14:textId="77777777" w:rsidR="00000000" w:rsidRDefault="00C01C43">
            <w:pPr>
              <w:rPr>
                <w:rFonts w:eastAsia="Times New Roman"/>
                <w:sz w:val="20"/>
                <w:szCs w:val="20"/>
              </w:rPr>
            </w:pPr>
          </w:p>
        </w:tc>
        <w:tc>
          <w:tcPr>
            <w:tcW w:w="5" w:type="pct"/>
            <w:vAlign w:val="center"/>
            <w:hideMark/>
          </w:tcPr>
          <w:p w14:paraId="7E960F18" w14:textId="77777777" w:rsidR="00000000" w:rsidRDefault="00C01C43">
            <w:pPr>
              <w:rPr>
                <w:rFonts w:eastAsia="Times New Roman"/>
                <w:sz w:val="20"/>
                <w:szCs w:val="20"/>
              </w:rPr>
            </w:pPr>
          </w:p>
        </w:tc>
        <w:tc>
          <w:tcPr>
            <w:tcW w:w="50" w:type="pct"/>
            <w:vAlign w:val="center"/>
            <w:hideMark/>
          </w:tcPr>
          <w:p w14:paraId="5DCE0540" w14:textId="77777777" w:rsidR="00000000" w:rsidRDefault="00C01C43">
            <w:pPr>
              <w:rPr>
                <w:rFonts w:eastAsia="Times New Roman"/>
                <w:sz w:val="20"/>
                <w:szCs w:val="20"/>
              </w:rPr>
            </w:pPr>
          </w:p>
        </w:tc>
        <w:tc>
          <w:tcPr>
            <w:tcW w:w="627" w:type="pct"/>
            <w:vAlign w:val="center"/>
            <w:hideMark/>
          </w:tcPr>
          <w:p w14:paraId="43AC5A11" w14:textId="77777777" w:rsidR="00000000" w:rsidRDefault="00C01C43">
            <w:pPr>
              <w:rPr>
                <w:rFonts w:eastAsia="Times New Roman"/>
                <w:sz w:val="20"/>
                <w:szCs w:val="20"/>
              </w:rPr>
            </w:pPr>
          </w:p>
        </w:tc>
        <w:tc>
          <w:tcPr>
            <w:tcW w:w="5" w:type="pct"/>
            <w:vAlign w:val="center"/>
            <w:hideMark/>
          </w:tcPr>
          <w:p w14:paraId="460814A5" w14:textId="77777777" w:rsidR="00000000" w:rsidRDefault="00C01C43">
            <w:pPr>
              <w:rPr>
                <w:rFonts w:eastAsia="Times New Roman"/>
                <w:sz w:val="20"/>
                <w:szCs w:val="20"/>
              </w:rPr>
            </w:pPr>
          </w:p>
        </w:tc>
        <w:tc>
          <w:tcPr>
            <w:tcW w:w="5" w:type="pct"/>
            <w:vAlign w:val="center"/>
            <w:hideMark/>
          </w:tcPr>
          <w:p w14:paraId="3F0CC8F2" w14:textId="77777777" w:rsidR="00000000" w:rsidRDefault="00C01C43">
            <w:pPr>
              <w:rPr>
                <w:rFonts w:eastAsia="Times New Roman"/>
                <w:sz w:val="20"/>
                <w:szCs w:val="20"/>
              </w:rPr>
            </w:pPr>
          </w:p>
        </w:tc>
        <w:tc>
          <w:tcPr>
            <w:tcW w:w="26" w:type="pct"/>
            <w:vAlign w:val="center"/>
            <w:hideMark/>
          </w:tcPr>
          <w:p w14:paraId="6885BEEF" w14:textId="77777777" w:rsidR="00000000" w:rsidRDefault="00C01C43">
            <w:pPr>
              <w:rPr>
                <w:rFonts w:eastAsia="Times New Roman"/>
                <w:sz w:val="20"/>
                <w:szCs w:val="20"/>
              </w:rPr>
            </w:pPr>
          </w:p>
        </w:tc>
        <w:tc>
          <w:tcPr>
            <w:tcW w:w="5" w:type="pct"/>
            <w:vAlign w:val="center"/>
            <w:hideMark/>
          </w:tcPr>
          <w:p w14:paraId="6DFABA8D" w14:textId="77777777" w:rsidR="00000000" w:rsidRDefault="00C01C43">
            <w:pPr>
              <w:rPr>
                <w:rFonts w:eastAsia="Times New Roman"/>
                <w:sz w:val="20"/>
                <w:szCs w:val="20"/>
              </w:rPr>
            </w:pPr>
          </w:p>
        </w:tc>
        <w:tc>
          <w:tcPr>
            <w:tcW w:w="50" w:type="pct"/>
            <w:vAlign w:val="center"/>
            <w:hideMark/>
          </w:tcPr>
          <w:p w14:paraId="46D3AA5C" w14:textId="77777777" w:rsidR="00000000" w:rsidRDefault="00C01C43">
            <w:pPr>
              <w:rPr>
                <w:rFonts w:eastAsia="Times New Roman"/>
                <w:sz w:val="20"/>
                <w:szCs w:val="20"/>
              </w:rPr>
            </w:pPr>
          </w:p>
        </w:tc>
        <w:tc>
          <w:tcPr>
            <w:tcW w:w="627" w:type="pct"/>
            <w:vAlign w:val="center"/>
            <w:hideMark/>
          </w:tcPr>
          <w:p w14:paraId="413B5E11" w14:textId="77777777" w:rsidR="00000000" w:rsidRDefault="00C01C43">
            <w:pPr>
              <w:rPr>
                <w:rFonts w:eastAsia="Times New Roman"/>
                <w:sz w:val="20"/>
                <w:szCs w:val="20"/>
              </w:rPr>
            </w:pPr>
          </w:p>
        </w:tc>
        <w:tc>
          <w:tcPr>
            <w:tcW w:w="5" w:type="pct"/>
            <w:vAlign w:val="center"/>
            <w:hideMark/>
          </w:tcPr>
          <w:p w14:paraId="1D94996E" w14:textId="77777777" w:rsidR="00000000" w:rsidRDefault="00C01C43">
            <w:pPr>
              <w:rPr>
                <w:rFonts w:eastAsia="Times New Roman"/>
                <w:sz w:val="20"/>
                <w:szCs w:val="20"/>
              </w:rPr>
            </w:pPr>
          </w:p>
        </w:tc>
      </w:tr>
      <w:tr w:rsidR="00000000" w14:paraId="10F2E0C1" w14:textId="77777777">
        <w:trPr>
          <w:divId w:val="1695301625"/>
        </w:trPr>
        <w:tc>
          <w:tcPr>
            <w:tcW w:w="0" w:type="auto"/>
            <w:gridSpan w:val="3"/>
            <w:tcMar>
              <w:top w:w="0" w:type="dxa"/>
              <w:left w:w="20" w:type="dxa"/>
              <w:bottom w:w="0" w:type="dxa"/>
              <w:right w:w="20" w:type="dxa"/>
            </w:tcMar>
            <w:vAlign w:val="center"/>
            <w:hideMark/>
          </w:tcPr>
          <w:p w14:paraId="610D7A71"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5D1F2BF9"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0FE6D104"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24ED4CF6"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3EAE5049"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404ACEF8"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31B2AC1D" w14:textId="77777777">
        <w:trPr>
          <w:divId w:val="16953016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A50BBA" w14:textId="77777777" w:rsidR="00000000" w:rsidRDefault="00C01C43">
            <w:pPr>
              <w:rPr>
                <w:rFonts w:eastAsia="Times New Roman"/>
              </w:rPr>
            </w:pPr>
            <w:r>
              <w:rPr>
                <w:rFonts w:ascii="Arial" w:eastAsia="Times New Roman" w:hAnsi="Arial" w:cs="Arial"/>
                <w:color w:val="000000"/>
                <w:sz w:val="20"/>
                <w:szCs w:val="20"/>
              </w:rPr>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BFC09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4BB7B8" w14:textId="77777777" w:rsidR="00000000" w:rsidRDefault="00C01C43">
            <w:pPr>
              <w:jc w:val="right"/>
              <w:rPr>
                <w:rFonts w:eastAsia="Times New Roman"/>
              </w:rPr>
            </w:pPr>
            <w:r>
              <w:rPr>
                <w:rFonts w:ascii="Arial" w:eastAsia="Times New Roman" w:hAnsi="Arial" w:cs="Arial"/>
                <w:color w:val="000000"/>
                <w:sz w:val="20"/>
                <w:szCs w:val="20"/>
              </w:rPr>
              <w:t>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D3F26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0703C0"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27CEA5"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2F4704" w14:textId="77777777" w:rsidR="00000000" w:rsidRDefault="00C01C43">
            <w:pPr>
              <w:jc w:val="right"/>
              <w:rPr>
                <w:rFonts w:eastAsia="Times New Roman"/>
              </w:rPr>
            </w:pPr>
            <w:r>
              <w:rPr>
                <w:rFonts w:ascii="Arial" w:eastAsia="Times New Roman" w:hAnsi="Arial" w:cs="Arial"/>
                <w:color w:val="000000"/>
                <w:sz w:val="20"/>
                <w:szCs w:val="20"/>
              </w:rPr>
              <w:t>(59.1)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C42B55"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BF55A3"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452E6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12C7C5" w14:textId="77777777" w:rsidR="00000000" w:rsidRDefault="00C01C43">
            <w:pPr>
              <w:jc w:val="right"/>
              <w:rPr>
                <w:rFonts w:eastAsia="Times New Roman"/>
              </w:rPr>
            </w:pPr>
            <w:r>
              <w:rPr>
                <w:rFonts w:ascii="Arial" w:eastAsia="Times New Roman" w:hAnsi="Arial" w:cs="Arial"/>
                <w:color w:val="000000"/>
                <w:sz w:val="20"/>
                <w:szCs w:val="20"/>
              </w:rPr>
              <w:t>(63.6)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867E93" w14:textId="77777777" w:rsidR="00000000" w:rsidRDefault="00C01C43">
            <w:pPr>
              <w:jc w:val="right"/>
              <w:rPr>
                <w:rFonts w:eastAsia="Times New Roman"/>
              </w:rPr>
            </w:pPr>
          </w:p>
        </w:tc>
      </w:tr>
      <w:tr w:rsidR="00000000" w14:paraId="668356AA" w14:textId="77777777">
        <w:trPr>
          <w:divId w:val="1695301625"/>
        </w:trPr>
        <w:tc>
          <w:tcPr>
            <w:tcW w:w="0" w:type="auto"/>
            <w:gridSpan w:val="3"/>
            <w:tcMar>
              <w:top w:w="30" w:type="dxa"/>
              <w:left w:w="20" w:type="dxa"/>
              <w:bottom w:w="30" w:type="dxa"/>
              <w:right w:w="20" w:type="dxa"/>
            </w:tcMar>
            <w:vAlign w:val="bottom"/>
            <w:hideMark/>
          </w:tcPr>
          <w:p w14:paraId="2E819ECA" w14:textId="77777777" w:rsidR="00000000" w:rsidRDefault="00C01C43">
            <w:pPr>
              <w:rPr>
                <w:rFonts w:eastAsia="Times New Roman"/>
              </w:rPr>
            </w:pPr>
            <w:r>
              <w:rPr>
                <w:rFonts w:ascii="Arial" w:eastAsia="Times New Roman" w:hAnsi="Arial" w:cs="Arial"/>
                <w:color w:val="000000"/>
                <w:sz w:val="20"/>
                <w:szCs w:val="20"/>
              </w:rPr>
              <w:t>Foreign</w:t>
            </w:r>
          </w:p>
        </w:tc>
        <w:tc>
          <w:tcPr>
            <w:tcW w:w="0" w:type="auto"/>
            <w:gridSpan w:val="2"/>
            <w:tcMar>
              <w:top w:w="30" w:type="dxa"/>
              <w:left w:w="20" w:type="dxa"/>
              <w:bottom w:w="30" w:type="dxa"/>
              <w:right w:w="0" w:type="dxa"/>
            </w:tcMar>
            <w:vAlign w:val="bottom"/>
            <w:hideMark/>
          </w:tcPr>
          <w:p w14:paraId="3DB58572" w14:textId="77777777" w:rsidR="00000000" w:rsidRDefault="00C01C43">
            <w:pPr>
              <w:jc w:val="right"/>
              <w:rPr>
                <w:rFonts w:eastAsia="Times New Roman"/>
              </w:rPr>
            </w:pPr>
            <w:r>
              <w:rPr>
                <w:rFonts w:ascii="Arial" w:eastAsia="Times New Roman" w:hAnsi="Arial" w:cs="Arial"/>
                <w:color w:val="000000"/>
                <w:sz w:val="20"/>
                <w:szCs w:val="20"/>
              </w:rPr>
              <w:t>110.5 </w:t>
            </w:r>
          </w:p>
        </w:tc>
        <w:tc>
          <w:tcPr>
            <w:tcW w:w="0" w:type="auto"/>
            <w:tcMar>
              <w:top w:w="30" w:type="dxa"/>
              <w:left w:w="0" w:type="dxa"/>
              <w:bottom w:w="30" w:type="dxa"/>
              <w:right w:w="20" w:type="dxa"/>
            </w:tcMar>
            <w:vAlign w:val="bottom"/>
            <w:hideMark/>
          </w:tcPr>
          <w:p w14:paraId="77CD4CFD"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1A0F794D"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EAD4E52" w14:textId="77777777" w:rsidR="00000000" w:rsidRDefault="00C01C43">
            <w:pPr>
              <w:jc w:val="right"/>
              <w:rPr>
                <w:rFonts w:eastAsia="Times New Roman"/>
              </w:rPr>
            </w:pPr>
            <w:r>
              <w:rPr>
                <w:rFonts w:ascii="Arial" w:eastAsia="Times New Roman" w:hAnsi="Arial" w:cs="Arial"/>
                <w:color w:val="000000"/>
                <w:sz w:val="20"/>
                <w:szCs w:val="20"/>
              </w:rPr>
              <w:t>296.4 </w:t>
            </w:r>
          </w:p>
        </w:tc>
        <w:tc>
          <w:tcPr>
            <w:tcW w:w="0" w:type="auto"/>
            <w:tcMar>
              <w:top w:w="30" w:type="dxa"/>
              <w:left w:w="0" w:type="dxa"/>
              <w:bottom w:w="30" w:type="dxa"/>
              <w:right w:w="20" w:type="dxa"/>
            </w:tcMar>
            <w:vAlign w:val="bottom"/>
            <w:hideMark/>
          </w:tcPr>
          <w:p w14:paraId="39A28757"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2B2EEF7F"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2A69B47" w14:textId="77777777" w:rsidR="00000000" w:rsidRDefault="00C01C43">
            <w:pPr>
              <w:jc w:val="right"/>
              <w:rPr>
                <w:rFonts w:eastAsia="Times New Roman"/>
              </w:rPr>
            </w:pPr>
            <w:r>
              <w:rPr>
                <w:rFonts w:ascii="Arial" w:eastAsia="Times New Roman" w:hAnsi="Arial" w:cs="Arial"/>
                <w:color w:val="000000"/>
                <w:sz w:val="20"/>
                <w:szCs w:val="20"/>
              </w:rPr>
              <w:t>248.5 </w:t>
            </w:r>
          </w:p>
        </w:tc>
        <w:tc>
          <w:tcPr>
            <w:tcW w:w="0" w:type="auto"/>
            <w:tcMar>
              <w:top w:w="30" w:type="dxa"/>
              <w:left w:w="0" w:type="dxa"/>
              <w:bottom w:w="30" w:type="dxa"/>
              <w:right w:w="20" w:type="dxa"/>
            </w:tcMar>
            <w:vAlign w:val="bottom"/>
            <w:hideMark/>
          </w:tcPr>
          <w:p w14:paraId="0C9FB8DB" w14:textId="77777777" w:rsidR="00000000" w:rsidRDefault="00C01C43">
            <w:pPr>
              <w:jc w:val="right"/>
              <w:rPr>
                <w:rFonts w:eastAsia="Times New Roman"/>
              </w:rPr>
            </w:pPr>
          </w:p>
        </w:tc>
      </w:tr>
      <w:tr w:rsidR="00000000" w14:paraId="502E52CB" w14:textId="77777777">
        <w:trPr>
          <w:divId w:val="1695301625"/>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7A09EEF"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FE153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81738A" w14:textId="77777777" w:rsidR="00000000" w:rsidRDefault="00C01C43">
            <w:pPr>
              <w:jc w:val="right"/>
              <w:rPr>
                <w:rFonts w:eastAsia="Times New Roman"/>
              </w:rPr>
            </w:pPr>
            <w:r>
              <w:rPr>
                <w:rFonts w:ascii="Arial" w:eastAsia="Times New Roman" w:hAnsi="Arial" w:cs="Arial"/>
                <w:color w:val="000000"/>
                <w:sz w:val="20"/>
                <w:szCs w:val="20"/>
              </w:rPr>
              <w:t>161.7 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3A5FAE"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8757B71"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0D60D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47DF55" w14:textId="77777777" w:rsidR="00000000" w:rsidRDefault="00C01C43">
            <w:pPr>
              <w:jc w:val="right"/>
              <w:rPr>
                <w:rFonts w:eastAsia="Times New Roman"/>
              </w:rPr>
            </w:pPr>
            <w:r>
              <w:rPr>
                <w:rFonts w:ascii="Arial" w:eastAsia="Times New Roman" w:hAnsi="Arial" w:cs="Arial"/>
                <w:color w:val="000000"/>
                <w:sz w:val="20"/>
                <w:szCs w:val="20"/>
              </w:rPr>
              <w:t>237.3 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4F9C92"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B36349A"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8CCE3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9CEE3E7" w14:textId="77777777" w:rsidR="00000000" w:rsidRDefault="00C01C43">
            <w:pPr>
              <w:jc w:val="right"/>
              <w:rPr>
                <w:rFonts w:eastAsia="Times New Roman"/>
              </w:rPr>
            </w:pPr>
            <w:r>
              <w:rPr>
                <w:rFonts w:ascii="Arial" w:eastAsia="Times New Roman" w:hAnsi="Arial" w:cs="Arial"/>
                <w:color w:val="000000"/>
                <w:sz w:val="20"/>
                <w:szCs w:val="20"/>
              </w:rPr>
              <w:t>184.9 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09CDF0" w14:textId="77777777" w:rsidR="00000000" w:rsidRDefault="00C01C43">
            <w:pPr>
              <w:jc w:val="right"/>
              <w:rPr>
                <w:rFonts w:eastAsia="Times New Roman"/>
              </w:rPr>
            </w:pPr>
          </w:p>
        </w:tc>
      </w:tr>
    </w:tbl>
    <w:p w14:paraId="1C2B1116" w14:textId="77777777" w:rsidR="00000000" w:rsidRDefault="00C01C43">
      <w:pPr>
        <w:jc w:val="both"/>
        <w:divId w:val="1460302591"/>
        <w:rPr>
          <w:rFonts w:eastAsia="Times New Roman"/>
        </w:rPr>
      </w:pPr>
      <w:r>
        <w:rPr>
          <w:rFonts w:ascii="Arial" w:eastAsia="Times New Roman" w:hAnsi="Arial" w:cs="Arial"/>
          <w:color w:val="000000"/>
          <w:sz w:val="20"/>
          <w:szCs w:val="20"/>
        </w:rPr>
        <w:t>The income tax provision (benefit) related to income before income taxes consists of the following components (in millions):</w:t>
      </w:r>
    </w:p>
    <w:tbl>
      <w:tblPr>
        <w:tblW w:w="4978" w:type="pct"/>
        <w:tblCellMar>
          <w:top w:w="15" w:type="dxa"/>
          <w:left w:w="15" w:type="dxa"/>
          <w:bottom w:w="15" w:type="dxa"/>
          <w:right w:w="15" w:type="dxa"/>
        </w:tblCellMar>
        <w:tblLook w:val="04A0" w:firstRow="1" w:lastRow="0" w:firstColumn="1" w:lastColumn="0" w:noHBand="0" w:noVBand="1"/>
      </w:tblPr>
      <w:tblGrid>
        <w:gridCol w:w="38"/>
        <w:gridCol w:w="4609"/>
        <w:gridCol w:w="37"/>
        <w:gridCol w:w="132"/>
        <w:gridCol w:w="985"/>
        <w:gridCol w:w="36"/>
        <w:gridCol w:w="36"/>
        <w:gridCol w:w="36"/>
        <w:gridCol w:w="36"/>
        <w:gridCol w:w="132"/>
        <w:gridCol w:w="940"/>
        <w:gridCol w:w="36"/>
        <w:gridCol w:w="36"/>
        <w:gridCol w:w="36"/>
        <w:gridCol w:w="36"/>
        <w:gridCol w:w="132"/>
        <w:gridCol w:w="940"/>
        <w:gridCol w:w="36"/>
      </w:tblGrid>
      <w:tr w:rsidR="00000000" w14:paraId="107ED6ED" w14:textId="77777777">
        <w:trPr>
          <w:divId w:val="1237474059"/>
        </w:trPr>
        <w:tc>
          <w:tcPr>
            <w:tcW w:w="50" w:type="pct"/>
            <w:vAlign w:val="center"/>
            <w:hideMark/>
          </w:tcPr>
          <w:p w14:paraId="3B3B3C94" w14:textId="77777777" w:rsidR="00000000" w:rsidRDefault="00C01C43">
            <w:pPr>
              <w:jc w:val="both"/>
              <w:rPr>
                <w:rFonts w:eastAsia="Times New Roman"/>
              </w:rPr>
            </w:pPr>
          </w:p>
        </w:tc>
        <w:tc>
          <w:tcPr>
            <w:tcW w:w="2823" w:type="pct"/>
            <w:vAlign w:val="center"/>
            <w:hideMark/>
          </w:tcPr>
          <w:p w14:paraId="6A8FCD75" w14:textId="77777777" w:rsidR="00000000" w:rsidRDefault="00C01C43">
            <w:pPr>
              <w:rPr>
                <w:rFonts w:eastAsia="Times New Roman"/>
                <w:sz w:val="20"/>
                <w:szCs w:val="20"/>
              </w:rPr>
            </w:pPr>
          </w:p>
        </w:tc>
        <w:tc>
          <w:tcPr>
            <w:tcW w:w="5" w:type="pct"/>
            <w:vAlign w:val="center"/>
            <w:hideMark/>
          </w:tcPr>
          <w:p w14:paraId="29C9FD96" w14:textId="77777777" w:rsidR="00000000" w:rsidRDefault="00C01C43">
            <w:pPr>
              <w:rPr>
                <w:rFonts w:eastAsia="Times New Roman"/>
                <w:sz w:val="20"/>
                <w:szCs w:val="20"/>
              </w:rPr>
            </w:pPr>
          </w:p>
        </w:tc>
        <w:tc>
          <w:tcPr>
            <w:tcW w:w="50" w:type="pct"/>
            <w:vAlign w:val="center"/>
            <w:hideMark/>
          </w:tcPr>
          <w:p w14:paraId="4512358A" w14:textId="77777777" w:rsidR="00000000" w:rsidRDefault="00C01C43">
            <w:pPr>
              <w:rPr>
                <w:rFonts w:eastAsia="Times New Roman"/>
                <w:sz w:val="20"/>
                <w:szCs w:val="20"/>
              </w:rPr>
            </w:pPr>
          </w:p>
        </w:tc>
        <w:tc>
          <w:tcPr>
            <w:tcW w:w="627" w:type="pct"/>
            <w:vAlign w:val="center"/>
            <w:hideMark/>
          </w:tcPr>
          <w:p w14:paraId="669CC500" w14:textId="77777777" w:rsidR="00000000" w:rsidRDefault="00C01C43">
            <w:pPr>
              <w:rPr>
                <w:rFonts w:eastAsia="Times New Roman"/>
                <w:sz w:val="20"/>
                <w:szCs w:val="20"/>
              </w:rPr>
            </w:pPr>
          </w:p>
        </w:tc>
        <w:tc>
          <w:tcPr>
            <w:tcW w:w="5" w:type="pct"/>
            <w:vAlign w:val="center"/>
            <w:hideMark/>
          </w:tcPr>
          <w:p w14:paraId="273E70FC" w14:textId="77777777" w:rsidR="00000000" w:rsidRDefault="00C01C43">
            <w:pPr>
              <w:rPr>
                <w:rFonts w:eastAsia="Times New Roman"/>
                <w:sz w:val="20"/>
                <w:szCs w:val="20"/>
              </w:rPr>
            </w:pPr>
          </w:p>
        </w:tc>
        <w:tc>
          <w:tcPr>
            <w:tcW w:w="5" w:type="pct"/>
            <w:vAlign w:val="center"/>
            <w:hideMark/>
          </w:tcPr>
          <w:p w14:paraId="2181412D" w14:textId="77777777" w:rsidR="00000000" w:rsidRDefault="00C01C43">
            <w:pPr>
              <w:rPr>
                <w:rFonts w:eastAsia="Times New Roman"/>
                <w:sz w:val="20"/>
                <w:szCs w:val="20"/>
              </w:rPr>
            </w:pPr>
          </w:p>
        </w:tc>
        <w:tc>
          <w:tcPr>
            <w:tcW w:w="26" w:type="pct"/>
            <w:vAlign w:val="center"/>
            <w:hideMark/>
          </w:tcPr>
          <w:p w14:paraId="76AE15B7" w14:textId="77777777" w:rsidR="00000000" w:rsidRDefault="00C01C43">
            <w:pPr>
              <w:rPr>
                <w:rFonts w:eastAsia="Times New Roman"/>
                <w:sz w:val="20"/>
                <w:szCs w:val="20"/>
              </w:rPr>
            </w:pPr>
          </w:p>
        </w:tc>
        <w:tc>
          <w:tcPr>
            <w:tcW w:w="5" w:type="pct"/>
            <w:vAlign w:val="center"/>
            <w:hideMark/>
          </w:tcPr>
          <w:p w14:paraId="0F83FA6E" w14:textId="77777777" w:rsidR="00000000" w:rsidRDefault="00C01C43">
            <w:pPr>
              <w:rPr>
                <w:rFonts w:eastAsia="Times New Roman"/>
                <w:sz w:val="20"/>
                <w:szCs w:val="20"/>
              </w:rPr>
            </w:pPr>
          </w:p>
        </w:tc>
        <w:tc>
          <w:tcPr>
            <w:tcW w:w="50" w:type="pct"/>
            <w:vAlign w:val="center"/>
            <w:hideMark/>
          </w:tcPr>
          <w:p w14:paraId="552B05A2" w14:textId="77777777" w:rsidR="00000000" w:rsidRDefault="00C01C43">
            <w:pPr>
              <w:rPr>
                <w:rFonts w:eastAsia="Times New Roman"/>
                <w:sz w:val="20"/>
                <w:szCs w:val="20"/>
              </w:rPr>
            </w:pPr>
          </w:p>
        </w:tc>
        <w:tc>
          <w:tcPr>
            <w:tcW w:w="627" w:type="pct"/>
            <w:vAlign w:val="center"/>
            <w:hideMark/>
          </w:tcPr>
          <w:p w14:paraId="6E83F01D" w14:textId="77777777" w:rsidR="00000000" w:rsidRDefault="00C01C43">
            <w:pPr>
              <w:rPr>
                <w:rFonts w:eastAsia="Times New Roman"/>
                <w:sz w:val="20"/>
                <w:szCs w:val="20"/>
              </w:rPr>
            </w:pPr>
          </w:p>
        </w:tc>
        <w:tc>
          <w:tcPr>
            <w:tcW w:w="5" w:type="pct"/>
            <w:vAlign w:val="center"/>
            <w:hideMark/>
          </w:tcPr>
          <w:p w14:paraId="569F87B0" w14:textId="77777777" w:rsidR="00000000" w:rsidRDefault="00C01C43">
            <w:pPr>
              <w:rPr>
                <w:rFonts w:eastAsia="Times New Roman"/>
                <w:sz w:val="20"/>
                <w:szCs w:val="20"/>
              </w:rPr>
            </w:pPr>
          </w:p>
        </w:tc>
        <w:tc>
          <w:tcPr>
            <w:tcW w:w="5" w:type="pct"/>
            <w:vAlign w:val="center"/>
            <w:hideMark/>
          </w:tcPr>
          <w:p w14:paraId="41254E38" w14:textId="77777777" w:rsidR="00000000" w:rsidRDefault="00C01C43">
            <w:pPr>
              <w:rPr>
                <w:rFonts w:eastAsia="Times New Roman"/>
                <w:sz w:val="20"/>
                <w:szCs w:val="20"/>
              </w:rPr>
            </w:pPr>
          </w:p>
        </w:tc>
        <w:tc>
          <w:tcPr>
            <w:tcW w:w="26" w:type="pct"/>
            <w:vAlign w:val="center"/>
            <w:hideMark/>
          </w:tcPr>
          <w:p w14:paraId="4F3687AB" w14:textId="77777777" w:rsidR="00000000" w:rsidRDefault="00C01C43">
            <w:pPr>
              <w:rPr>
                <w:rFonts w:eastAsia="Times New Roman"/>
                <w:sz w:val="20"/>
                <w:szCs w:val="20"/>
              </w:rPr>
            </w:pPr>
          </w:p>
        </w:tc>
        <w:tc>
          <w:tcPr>
            <w:tcW w:w="5" w:type="pct"/>
            <w:vAlign w:val="center"/>
            <w:hideMark/>
          </w:tcPr>
          <w:p w14:paraId="79FF9657" w14:textId="77777777" w:rsidR="00000000" w:rsidRDefault="00C01C43">
            <w:pPr>
              <w:rPr>
                <w:rFonts w:eastAsia="Times New Roman"/>
                <w:sz w:val="20"/>
                <w:szCs w:val="20"/>
              </w:rPr>
            </w:pPr>
          </w:p>
        </w:tc>
        <w:tc>
          <w:tcPr>
            <w:tcW w:w="50" w:type="pct"/>
            <w:vAlign w:val="center"/>
            <w:hideMark/>
          </w:tcPr>
          <w:p w14:paraId="5D378509" w14:textId="77777777" w:rsidR="00000000" w:rsidRDefault="00C01C43">
            <w:pPr>
              <w:rPr>
                <w:rFonts w:eastAsia="Times New Roman"/>
                <w:sz w:val="20"/>
                <w:szCs w:val="20"/>
              </w:rPr>
            </w:pPr>
          </w:p>
        </w:tc>
        <w:tc>
          <w:tcPr>
            <w:tcW w:w="627" w:type="pct"/>
            <w:vAlign w:val="center"/>
            <w:hideMark/>
          </w:tcPr>
          <w:p w14:paraId="35F786CF" w14:textId="77777777" w:rsidR="00000000" w:rsidRDefault="00C01C43">
            <w:pPr>
              <w:rPr>
                <w:rFonts w:eastAsia="Times New Roman"/>
                <w:sz w:val="20"/>
                <w:szCs w:val="20"/>
              </w:rPr>
            </w:pPr>
          </w:p>
        </w:tc>
        <w:tc>
          <w:tcPr>
            <w:tcW w:w="5" w:type="pct"/>
            <w:vAlign w:val="center"/>
            <w:hideMark/>
          </w:tcPr>
          <w:p w14:paraId="73FB732F" w14:textId="77777777" w:rsidR="00000000" w:rsidRDefault="00C01C43">
            <w:pPr>
              <w:rPr>
                <w:rFonts w:eastAsia="Times New Roman"/>
                <w:sz w:val="20"/>
                <w:szCs w:val="20"/>
              </w:rPr>
            </w:pPr>
          </w:p>
        </w:tc>
      </w:tr>
      <w:tr w:rsidR="00000000" w14:paraId="029BF79F" w14:textId="77777777">
        <w:trPr>
          <w:divId w:val="1237474059"/>
        </w:trPr>
        <w:tc>
          <w:tcPr>
            <w:tcW w:w="0" w:type="auto"/>
            <w:gridSpan w:val="3"/>
            <w:tcMar>
              <w:top w:w="0" w:type="dxa"/>
              <w:left w:w="20" w:type="dxa"/>
              <w:bottom w:w="0" w:type="dxa"/>
              <w:right w:w="20" w:type="dxa"/>
            </w:tcMar>
            <w:vAlign w:val="center"/>
            <w:hideMark/>
          </w:tcPr>
          <w:p w14:paraId="6D07F785"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65AF96B6"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1C35A574"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511904BE"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47D7D04E"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3D5F0DAA"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5FDD90C5" w14:textId="77777777">
        <w:trPr>
          <w:divId w:val="123747405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4773F77" w14:textId="77777777" w:rsidR="00000000" w:rsidRDefault="00C01C43">
            <w:pPr>
              <w:rPr>
                <w:rFonts w:eastAsia="Times New Roman"/>
              </w:rPr>
            </w:pPr>
            <w:r>
              <w:rPr>
                <w:rFonts w:ascii="Arial" w:eastAsia="Times New Roman" w:hAnsi="Arial" w:cs="Arial"/>
                <w:color w:val="000000"/>
                <w:sz w:val="20"/>
                <w:szCs w:val="20"/>
              </w:rPr>
              <w:t>Current: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CA949E"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B460D1"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F30F97"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A9C947"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9B9631" w14:textId="77777777" w:rsidR="00000000" w:rsidRDefault="00C01C43">
            <w:pPr>
              <w:rPr>
                <w:rFonts w:eastAsia="Times New Roman"/>
                <w:sz w:val="20"/>
                <w:szCs w:val="20"/>
              </w:rPr>
            </w:pPr>
          </w:p>
        </w:tc>
      </w:tr>
      <w:tr w:rsidR="00000000" w14:paraId="4F42AA46" w14:textId="77777777">
        <w:trPr>
          <w:divId w:val="1237474059"/>
        </w:trPr>
        <w:tc>
          <w:tcPr>
            <w:tcW w:w="0" w:type="auto"/>
            <w:gridSpan w:val="3"/>
            <w:tcMar>
              <w:top w:w="30" w:type="dxa"/>
              <w:left w:w="20" w:type="dxa"/>
              <w:bottom w:w="30" w:type="dxa"/>
              <w:right w:w="20" w:type="dxa"/>
            </w:tcMar>
            <w:vAlign w:val="bottom"/>
            <w:hideMark/>
          </w:tcPr>
          <w:p w14:paraId="5207AD88" w14:textId="77777777" w:rsidR="00000000" w:rsidRDefault="00C01C43">
            <w:pPr>
              <w:rPr>
                <w:rFonts w:eastAsia="Times New Roman"/>
              </w:rPr>
            </w:pPr>
            <w:r>
              <w:rPr>
                <w:rFonts w:ascii="Arial" w:eastAsia="Times New Roman" w:hAnsi="Arial" w:cs="Arial"/>
                <w:color w:val="000000"/>
                <w:sz w:val="20"/>
                <w:szCs w:val="20"/>
              </w:rPr>
              <w:t>U.S. federal statutory tax</w:t>
            </w:r>
          </w:p>
        </w:tc>
        <w:tc>
          <w:tcPr>
            <w:tcW w:w="0" w:type="auto"/>
            <w:tcMar>
              <w:top w:w="30" w:type="dxa"/>
              <w:left w:w="20" w:type="dxa"/>
              <w:bottom w:w="30" w:type="dxa"/>
              <w:right w:w="0" w:type="dxa"/>
            </w:tcMar>
            <w:vAlign w:val="bottom"/>
            <w:hideMark/>
          </w:tcPr>
          <w:p w14:paraId="0B991DB1" w14:textId="77777777" w:rsidR="00000000" w:rsidRDefault="00C01C4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bottom"/>
            <w:hideMark/>
          </w:tcPr>
          <w:p w14:paraId="0C14B644" w14:textId="77777777" w:rsidR="00000000" w:rsidRDefault="00C01C43">
            <w:pPr>
              <w:jc w:val="right"/>
              <w:rPr>
                <w:rFonts w:eastAsia="Times New Roman"/>
              </w:rPr>
            </w:pPr>
            <w:r>
              <w:rPr>
                <w:rFonts w:ascii="Arial" w:eastAsia="Times New Roman" w:hAnsi="Arial" w:cs="Arial"/>
                <w:color w:val="000000"/>
                <w:sz w:val="20"/>
                <w:szCs w:val="20"/>
              </w:rPr>
              <w:t>10.1 </w:t>
            </w:r>
          </w:p>
        </w:tc>
        <w:tc>
          <w:tcPr>
            <w:tcW w:w="0" w:type="auto"/>
            <w:tcMar>
              <w:top w:w="30" w:type="dxa"/>
              <w:left w:w="0" w:type="dxa"/>
              <w:bottom w:w="30" w:type="dxa"/>
              <w:right w:w="20" w:type="dxa"/>
            </w:tcMar>
            <w:vAlign w:val="bottom"/>
            <w:hideMark/>
          </w:tcPr>
          <w:p w14:paraId="11A11391"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6B785260" w14:textId="77777777" w:rsidR="00000000" w:rsidRDefault="00C01C43">
            <w:pPr>
              <w:jc w:val="right"/>
              <w:rPr>
                <w:rFonts w:eastAsia="Times New Roman"/>
                <w:sz w:val="20"/>
                <w:szCs w:val="20"/>
              </w:rPr>
            </w:pPr>
          </w:p>
        </w:tc>
        <w:tc>
          <w:tcPr>
            <w:tcW w:w="0" w:type="auto"/>
            <w:tcMar>
              <w:top w:w="30" w:type="dxa"/>
              <w:left w:w="20" w:type="dxa"/>
              <w:bottom w:w="30" w:type="dxa"/>
              <w:right w:w="0" w:type="dxa"/>
            </w:tcMar>
            <w:vAlign w:val="bottom"/>
            <w:hideMark/>
          </w:tcPr>
          <w:p w14:paraId="01FD2FA1" w14:textId="77777777" w:rsidR="00000000" w:rsidRDefault="00C01C4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bottom"/>
            <w:hideMark/>
          </w:tcPr>
          <w:p w14:paraId="6918E59D" w14:textId="77777777" w:rsidR="00000000" w:rsidRDefault="00C01C43">
            <w:pPr>
              <w:jc w:val="right"/>
              <w:rPr>
                <w:rFonts w:eastAsia="Times New Roman"/>
              </w:rPr>
            </w:pPr>
            <w:r>
              <w:rPr>
                <w:rFonts w:ascii="Arial" w:eastAsia="Times New Roman" w:hAnsi="Arial" w:cs="Arial"/>
                <w:color w:val="000000"/>
                <w:sz w:val="20"/>
                <w:szCs w:val="20"/>
              </w:rPr>
              <w:t>(4.0)</w:t>
            </w:r>
          </w:p>
        </w:tc>
        <w:tc>
          <w:tcPr>
            <w:tcW w:w="0" w:type="auto"/>
            <w:tcMar>
              <w:top w:w="30" w:type="dxa"/>
              <w:left w:w="0" w:type="dxa"/>
              <w:bottom w:w="30" w:type="dxa"/>
              <w:right w:w="20" w:type="dxa"/>
            </w:tcMar>
            <w:vAlign w:val="bottom"/>
            <w:hideMark/>
          </w:tcPr>
          <w:p w14:paraId="7B2DA5BB"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213BE4C8" w14:textId="77777777" w:rsidR="00000000" w:rsidRDefault="00C01C43">
            <w:pPr>
              <w:jc w:val="right"/>
              <w:rPr>
                <w:rFonts w:eastAsia="Times New Roman"/>
                <w:sz w:val="20"/>
                <w:szCs w:val="20"/>
              </w:rPr>
            </w:pPr>
          </w:p>
        </w:tc>
        <w:tc>
          <w:tcPr>
            <w:tcW w:w="0" w:type="auto"/>
            <w:tcMar>
              <w:top w:w="30" w:type="dxa"/>
              <w:left w:w="20" w:type="dxa"/>
              <w:bottom w:w="30" w:type="dxa"/>
              <w:right w:w="0" w:type="dxa"/>
            </w:tcMar>
            <w:vAlign w:val="bottom"/>
            <w:hideMark/>
          </w:tcPr>
          <w:p w14:paraId="11C48B39" w14:textId="77777777" w:rsidR="00000000" w:rsidRDefault="00C01C4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bottom"/>
            <w:hideMark/>
          </w:tcPr>
          <w:p w14:paraId="3C1DD6E2" w14:textId="77777777" w:rsidR="00000000" w:rsidRDefault="00C01C43">
            <w:pPr>
              <w:jc w:val="right"/>
              <w:rPr>
                <w:rFonts w:eastAsia="Times New Roman"/>
              </w:rPr>
            </w:pPr>
            <w:r>
              <w:rPr>
                <w:rFonts w:ascii="Arial" w:eastAsia="Times New Roman" w:hAnsi="Arial" w:cs="Arial"/>
                <w:color w:val="000000"/>
                <w:sz w:val="20"/>
                <w:szCs w:val="20"/>
              </w:rPr>
              <w:t>8.2 </w:t>
            </w:r>
          </w:p>
        </w:tc>
        <w:tc>
          <w:tcPr>
            <w:tcW w:w="0" w:type="auto"/>
            <w:tcMar>
              <w:top w:w="30" w:type="dxa"/>
              <w:left w:w="0" w:type="dxa"/>
              <w:bottom w:w="30" w:type="dxa"/>
              <w:right w:w="20" w:type="dxa"/>
            </w:tcMar>
            <w:vAlign w:val="bottom"/>
            <w:hideMark/>
          </w:tcPr>
          <w:p w14:paraId="5FC97963" w14:textId="77777777" w:rsidR="00000000" w:rsidRDefault="00C01C43">
            <w:pPr>
              <w:jc w:val="right"/>
              <w:rPr>
                <w:rFonts w:eastAsia="Times New Roman"/>
              </w:rPr>
            </w:pPr>
          </w:p>
        </w:tc>
      </w:tr>
      <w:tr w:rsidR="00000000" w14:paraId="59A338AB" w14:textId="77777777">
        <w:trPr>
          <w:divId w:val="1237474059"/>
        </w:trPr>
        <w:tc>
          <w:tcPr>
            <w:tcW w:w="0" w:type="auto"/>
            <w:gridSpan w:val="3"/>
            <w:shd w:val="clear" w:color="auto" w:fill="CCEEFF"/>
            <w:tcMar>
              <w:top w:w="30" w:type="dxa"/>
              <w:left w:w="20" w:type="dxa"/>
              <w:bottom w:w="30" w:type="dxa"/>
              <w:right w:w="20" w:type="dxa"/>
            </w:tcMar>
            <w:vAlign w:val="bottom"/>
            <w:hideMark/>
          </w:tcPr>
          <w:p w14:paraId="4B8B1B11" w14:textId="77777777" w:rsidR="00000000" w:rsidRDefault="00C01C43">
            <w:pPr>
              <w:rPr>
                <w:rFonts w:eastAsia="Times New Roman"/>
              </w:rPr>
            </w:pPr>
            <w:r>
              <w:rPr>
                <w:rFonts w:ascii="Arial" w:eastAsia="Times New Roman" w:hAnsi="Arial" w:cs="Arial"/>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14:paraId="329A3AA3" w14:textId="77777777" w:rsidR="00000000" w:rsidRDefault="00C01C43">
            <w:pPr>
              <w:jc w:val="right"/>
              <w:rPr>
                <w:rFonts w:eastAsia="Times New Roman"/>
              </w:rPr>
            </w:pPr>
            <w:r>
              <w:rPr>
                <w:rFonts w:ascii="Arial" w:eastAsia="Times New Roman" w:hAnsi="Arial" w:cs="Arial"/>
                <w:color w:val="000000"/>
                <w:sz w:val="20"/>
                <w:szCs w:val="20"/>
              </w:rPr>
              <w:t>2.6 </w:t>
            </w:r>
          </w:p>
        </w:tc>
        <w:tc>
          <w:tcPr>
            <w:tcW w:w="0" w:type="auto"/>
            <w:shd w:val="clear" w:color="auto" w:fill="CCEEFF"/>
            <w:tcMar>
              <w:top w:w="30" w:type="dxa"/>
              <w:left w:w="0" w:type="dxa"/>
              <w:bottom w:w="30" w:type="dxa"/>
              <w:right w:w="20" w:type="dxa"/>
            </w:tcMar>
            <w:vAlign w:val="bottom"/>
            <w:hideMark/>
          </w:tcPr>
          <w:p w14:paraId="61C8426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926D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42E3E3" w14:textId="77777777" w:rsidR="00000000" w:rsidRDefault="00C01C43">
            <w:pPr>
              <w:jc w:val="right"/>
              <w:rPr>
                <w:rFonts w:eastAsia="Times New Roman"/>
              </w:rPr>
            </w:pPr>
            <w:r>
              <w:rPr>
                <w:rFonts w:ascii="Arial" w:eastAsia="Times New Roman" w:hAnsi="Arial" w:cs="Arial"/>
                <w:color w:val="000000"/>
                <w:sz w:val="20"/>
                <w:szCs w:val="20"/>
              </w:rPr>
              <w:t>1.6 </w:t>
            </w:r>
          </w:p>
        </w:tc>
        <w:tc>
          <w:tcPr>
            <w:tcW w:w="0" w:type="auto"/>
            <w:shd w:val="clear" w:color="auto" w:fill="CCEEFF"/>
            <w:tcMar>
              <w:top w:w="30" w:type="dxa"/>
              <w:left w:w="0" w:type="dxa"/>
              <w:bottom w:w="30" w:type="dxa"/>
              <w:right w:w="20" w:type="dxa"/>
            </w:tcMar>
            <w:vAlign w:val="bottom"/>
            <w:hideMark/>
          </w:tcPr>
          <w:p w14:paraId="6F2D4BA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B93B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1DC14C" w14:textId="77777777" w:rsidR="00000000" w:rsidRDefault="00C01C43">
            <w:pPr>
              <w:jc w:val="right"/>
              <w:rPr>
                <w:rFonts w:eastAsia="Times New Roman"/>
              </w:rPr>
            </w:pPr>
            <w:r>
              <w:rPr>
                <w:rFonts w:ascii="Arial" w:eastAsia="Times New Roman" w:hAnsi="Arial" w:cs="Arial"/>
                <w:color w:val="000000"/>
                <w:sz w:val="20"/>
                <w:szCs w:val="20"/>
              </w:rPr>
              <w:t>(1.6)</w:t>
            </w:r>
          </w:p>
        </w:tc>
        <w:tc>
          <w:tcPr>
            <w:tcW w:w="0" w:type="auto"/>
            <w:shd w:val="clear" w:color="auto" w:fill="CCEEFF"/>
            <w:tcMar>
              <w:top w:w="30" w:type="dxa"/>
              <w:left w:w="0" w:type="dxa"/>
              <w:bottom w:w="30" w:type="dxa"/>
              <w:right w:w="20" w:type="dxa"/>
            </w:tcMar>
            <w:vAlign w:val="bottom"/>
            <w:hideMark/>
          </w:tcPr>
          <w:p w14:paraId="3A8D4BD7" w14:textId="77777777" w:rsidR="00000000" w:rsidRDefault="00C01C43">
            <w:pPr>
              <w:jc w:val="right"/>
              <w:rPr>
                <w:rFonts w:eastAsia="Times New Roman"/>
              </w:rPr>
            </w:pPr>
          </w:p>
        </w:tc>
      </w:tr>
      <w:tr w:rsidR="00000000" w14:paraId="17288E1B" w14:textId="77777777">
        <w:trPr>
          <w:divId w:val="1237474059"/>
        </w:trPr>
        <w:tc>
          <w:tcPr>
            <w:tcW w:w="0" w:type="auto"/>
            <w:gridSpan w:val="3"/>
            <w:tcMar>
              <w:top w:w="30" w:type="dxa"/>
              <w:left w:w="20" w:type="dxa"/>
              <w:bottom w:w="30" w:type="dxa"/>
              <w:right w:w="20" w:type="dxa"/>
            </w:tcMar>
            <w:vAlign w:val="bottom"/>
            <w:hideMark/>
          </w:tcPr>
          <w:p w14:paraId="65C1CF7C" w14:textId="77777777" w:rsidR="00000000" w:rsidRDefault="00C01C43">
            <w:pPr>
              <w:rPr>
                <w:rFonts w:eastAsia="Times New Roman"/>
              </w:rPr>
            </w:pPr>
            <w:r>
              <w:rPr>
                <w:rFonts w:ascii="Arial" w:eastAsia="Times New Roman" w:hAnsi="Arial" w:cs="Arial"/>
                <w:color w:val="000000"/>
                <w:sz w:val="20"/>
                <w:szCs w:val="20"/>
              </w:rPr>
              <w:t>Foreign</w:t>
            </w:r>
          </w:p>
        </w:tc>
        <w:tc>
          <w:tcPr>
            <w:tcW w:w="0" w:type="auto"/>
            <w:gridSpan w:val="2"/>
            <w:tcMar>
              <w:top w:w="30" w:type="dxa"/>
              <w:left w:w="20" w:type="dxa"/>
              <w:bottom w:w="30" w:type="dxa"/>
              <w:right w:w="0" w:type="dxa"/>
            </w:tcMar>
            <w:vAlign w:val="bottom"/>
            <w:hideMark/>
          </w:tcPr>
          <w:p w14:paraId="5741C04E" w14:textId="77777777" w:rsidR="00000000" w:rsidRDefault="00C01C43">
            <w:pPr>
              <w:jc w:val="right"/>
              <w:rPr>
                <w:rFonts w:eastAsia="Times New Roman"/>
              </w:rPr>
            </w:pPr>
            <w:r>
              <w:rPr>
                <w:rFonts w:ascii="Arial" w:eastAsia="Times New Roman" w:hAnsi="Arial" w:cs="Arial"/>
                <w:color w:val="000000"/>
                <w:sz w:val="20"/>
                <w:szCs w:val="20"/>
              </w:rPr>
              <w:t>42.9 </w:t>
            </w:r>
          </w:p>
        </w:tc>
        <w:tc>
          <w:tcPr>
            <w:tcW w:w="0" w:type="auto"/>
            <w:tcMar>
              <w:top w:w="30" w:type="dxa"/>
              <w:left w:w="0" w:type="dxa"/>
              <w:bottom w:w="30" w:type="dxa"/>
              <w:right w:w="20" w:type="dxa"/>
            </w:tcMar>
            <w:vAlign w:val="bottom"/>
            <w:hideMark/>
          </w:tcPr>
          <w:p w14:paraId="107B5EA2"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67EA2EB6"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E0EEF5C" w14:textId="77777777" w:rsidR="00000000" w:rsidRDefault="00C01C43">
            <w:pPr>
              <w:jc w:val="right"/>
              <w:rPr>
                <w:rFonts w:eastAsia="Times New Roman"/>
              </w:rPr>
            </w:pPr>
            <w:r>
              <w:rPr>
                <w:rFonts w:ascii="Arial" w:eastAsia="Times New Roman" w:hAnsi="Arial" w:cs="Arial"/>
                <w:color w:val="000000"/>
                <w:sz w:val="20"/>
                <w:szCs w:val="20"/>
              </w:rPr>
              <w:t>35.9 </w:t>
            </w:r>
          </w:p>
        </w:tc>
        <w:tc>
          <w:tcPr>
            <w:tcW w:w="0" w:type="auto"/>
            <w:tcMar>
              <w:top w:w="30" w:type="dxa"/>
              <w:left w:w="0" w:type="dxa"/>
              <w:bottom w:w="30" w:type="dxa"/>
              <w:right w:w="20" w:type="dxa"/>
            </w:tcMar>
            <w:vAlign w:val="bottom"/>
            <w:hideMark/>
          </w:tcPr>
          <w:p w14:paraId="3E015DD6"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5579A42C"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69C0620" w14:textId="77777777" w:rsidR="00000000" w:rsidRDefault="00C01C43">
            <w:pPr>
              <w:jc w:val="right"/>
              <w:rPr>
                <w:rFonts w:eastAsia="Times New Roman"/>
              </w:rPr>
            </w:pPr>
            <w:r>
              <w:rPr>
                <w:rFonts w:ascii="Arial" w:eastAsia="Times New Roman" w:hAnsi="Arial" w:cs="Arial"/>
                <w:color w:val="000000"/>
                <w:sz w:val="20"/>
                <w:szCs w:val="20"/>
              </w:rPr>
              <w:t>46.3 </w:t>
            </w:r>
          </w:p>
        </w:tc>
        <w:tc>
          <w:tcPr>
            <w:tcW w:w="0" w:type="auto"/>
            <w:tcMar>
              <w:top w:w="30" w:type="dxa"/>
              <w:left w:w="0" w:type="dxa"/>
              <w:bottom w:w="30" w:type="dxa"/>
              <w:right w:w="20" w:type="dxa"/>
            </w:tcMar>
            <w:vAlign w:val="bottom"/>
            <w:hideMark/>
          </w:tcPr>
          <w:p w14:paraId="1AA3C0CF" w14:textId="77777777" w:rsidR="00000000" w:rsidRDefault="00C01C43">
            <w:pPr>
              <w:jc w:val="right"/>
              <w:rPr>
                <w:rFonts w:eastAsia="Times New Roman"/>
              </w:rPr>
            </w:pPr>
          </w:p>
        </w:tc>
      </w:tr>
      <w:tr w:rsidR="00000000" w14:paraId="3680ACD4" w14:textId="77777777">
        <w:trPr>
          <w:divId w:val="1237474059"/>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E07189"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705271" w14:textId="77777777" w:rsidR="00000000" w:rsidRDefault="00C01C43">
            <w:pPr>
              <w:jc w:val="right"/>
              <w:rPr>
                <w:rFonts w:eastAsia="Times New Roman"/>
              </w:rPr>
            </w:pPr>
            <w:r>
              <w:rPr>
                <w:rFonts w:ascii="Arial" w:eastAsia="Times New Roman" w:hAnsi="Arial" w:cs="Arial"/>
                <w:color w:val="000000"/>
                <w:sz w:val="20"/>
                <w:szCs w:val="20"/>
              </w:rPr>
              <w:t>55.6 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1758F9"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BD0A78"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478F69" w14:textId="77777777" w:rsidR="00000000" w:rsidRDefault="00C01C43">
            <w:pPr>
              <w:jc w:val="right"/>
              <w:rPr>
                <w:rFonts w:eastAsia="Times New Roman"/>
              </w:rPr>
            </w:pPr>
            <w:r>
              <w:rPr>
                <w:rFonts w:ascii="Arial" w:eastAsia="Times New Roman" w:hAnsi="Arial" w:cs="Arial"/>
                <w:color w:val="000000"/>
                <w:sz w:val="20"/>
                <w:szCs w:val="20"/>
              </w:rPr>
              <w:t>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55859C"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F3A309"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C289A7" w14:textId="77777777" w:rsidR="00000000" w:rsidRDefault="00C01C43">
            <w:pPr>
              <w:jc w:val="right"/>
              <w:rPr>
                <w:rFonts w:eastAsia="Times New Roman"/>
              </w:rPr>
            </w:pPr>
            <w:r>
              <w:rPr>
                <w:rFonts w:ascii="Arial" w:eastAsia="Times New Roman" w:hAnsi="Arial" w:cs="Arial"/>
                <w:color w:val="000000"/>
                <w:sz w:val="20"/>
                <w:szCs w:val="20"/>
              </w:rPr>
              <w:t>52.9 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27AF66" w14:textId="77777777" w:rsidR="00000000" w:rsidRDefault="00C01C43">
            <w:pPr>
              <w:jc w:val="right"/>
              <w:rPr>
                <w:rFonts w:eastAsia="Times New Roman"/>
              </w:rPr>
            </w:pPr>
          </w:p>
        </w:tc>
      </w:tr>
      <w:tr w:rsidR="00000000" w14:paraId="2859B743" w14:textId="77777777">
        <w:trPr>
          <w:divId w:val="1237474059"/>
        </w:trPr>
        <w:tc>
          <w:tcPr>
            <w:tcW w:w="0" w:type="auto"/>
            <w:gridSpan w:val="3"/>
            <w:tcBorders>
              <w:top w:val="single" w:sz="8" w:space="0" w:color="000000"/>
            </w:tcBorders>
            <w:tcMar>
              <w:top w:w="30" w:type="dxa"/>
              <w:left w:w="20" w:type="dxa"/>
              <w:bottom w:w="30" w:type="dxa"/>
              <w:right w:w="20" w:type="dxa"/>
            </w:tcMar>
            <w:vAlign w:val="bottom"/>
            <w:hideMark/>
          </w:tcPr>
          <w:p w14:paraId="01731384" w14:textId="77777777" w:rsidR="00000000" w:rsidRDefault="00C01C43">
            <w:pPr>
              <w:rPr>
                <w:rFonts w:eastAsia="Times New Roman"/>
              </w:rPr>
            </w:pPr>
            <w:r>
              <w:rPr>
                <w:rFonts w:ascii="Arial" w:eastAsia="Times New Roman" w:hAnsi="Arial" w:cs="Arial"/>
                <w:color w:val="000000"/>
                <w:sz w:val="20"/>
                <w:szCs w:val="20"/>
              </w:rPr>
              <w:t>Deferred:</w:t>
            </w:r>
          </w:p>
        </w:tc>
        <w:tc>
          <w:tcPr>
            <w:tcW w:w="0" w:type="auto"/>
            <w:gridSpan w:val="3"/>
            <w:tcBorders>
              <w:top w:val="single" w:sz="8" w:space="0" w:color="000000"/>
            </w:tcBorders>
            <w:tcMar>
              <w:top w:w="0" w:type="dxa"/>
              <w:left w:w="20" w:type="dxa"/>
              <w:bottom w:w="0" w:type="dxa"/>
              <w:right w:w="20" w:type="dxa"/>
            </w:tcMar>
            <w:vAlign w:val="center"/>
            <w:hideMark/>
          </w:tcPr>
          <w:p w14:paraId="36C061E8" w14:textId="77777777" w:rsidR="00000000" w:rsidRDefault="00C01C4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D78C88B" w14:textId="77777777" w:rsidR="00000000" w:rsidRDefault="00C01C4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B23178" w14:textId="77777777" w:rsidR="00000000" w:rsidRDefault="00C01C4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20B28A" w14:textId="77777777" w:rsidR="00000000" w:rsidRDefault="00C01C4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6E5257" w14:textId="77777777" w:rsidR="00000000" w:rsidRDefault="00C01C43">
            <w:pPr>
              <w:rPr>
                <w:rFonts w:eastAsia="Times New Roman"/>
                <w:sz w:val="20"/>
                <w:szCs w:val="20"/>
              </w:rPr>
            </w:pPr>
          </w:p>
        </w:tc>
      </w:tr>
      <w:tr w:rsidR="00000000" w14:paraId="12053067" w14:textId="77777777">
        <w:trPr>
          <w:divId w:val="1237474059"/>
        </w:trPr>
        <w:tc>
          <w:tcPr>
            <w:tcW w:w="0" w:type="auto"/>
            <w:gridSpan w:val="3"/>
            <w:shd w:val="clear" w:color="auto" w:fill="CCEEFF"/>
            <w:tcMar>
              <w:top w:w="30" w:type="dxa"/>
              <w:left w:w="20" w:type="dxa"/>
              <w:bottom w:w="30" w:type="dxa"/>
              <w:right w:w="20" w:type="dxa"/>
            </w:tcMar>
            <w:vAlign w:val="bottom"/>
            <w:hideMark/>
          </w:tcPr>
          <w:p w14:paraId="14D84F26" w14:textId="77777777" w:rsidR="00000000" w:rsidRDefault="00C01C43">
            <w:pPr>
              <w:rPr>
                <w:rFonts w:eastAsia="Times New Roman"/>
              </w:rPr>
            </w:pPr>
            <w:r>
              <w:rPr>
                <w:rFonts w:ascii="Arial" w:eastAsia="Times New Roman" w:hAnsi="Arial" w:cs="Arial"/>
                <w:color w:val="000000"/>
                <w:sz w:val="20"/>
                <w:szCs w:val="20"/>
              </w:rPr>
              <w:t>U.S. federal statutory tax</w:t>
            </w:r>
          </w:p>
        </w:tc>
        <w:tc>
          <w:tcPr>
            <w:tcW w:w="0" w:type="auto"/>
            <w:gridSpan w:val="2"/>
            <w:shd w:val="clear" w:color="auto" w:fill="CCEEFF"/>
            <w:tcMar>
              <w:top w:w="30" w:type="dxa"/>
              <w:left w:w="20" w:type="dxa"/>
              <w:bottom w:w="30" w:type="dxa"/>
              <w:right w:w="0" w:type="dxa"/>
            </w:tcMar>
            <w:vAlign w:val="bottom"/>
            <w:hideMark/>
          </w:tcPr>
          <w:p w14:paraId="4961150F"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2C71B96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1FC1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917C49" w14:textId="77777777" w:rsidR="00000000" w:rsidRDefault="00C01C43">
            <w:pPr>
              <w:jc w:val="right"/>
              <w:rPr>
                <w:rFonts w:eastAsia="Times New Roman"/>
              </w:rPr>
            </w:pPr>
            <w:r>
              <w:rPr>
                <w:rFonts w:ascii="Arial" w:eastAsia="Times New Roman" w:hAnsi="Arial" w:cs="Arial"/>
                <w:color w:val="000000"/>
                <w:sz w:val="20"/>
                <w:szCs w:val="20"/>
              </w:rPr>
              <w:t>11.0 </w:t>
            </w:r>
          </w:p>
        </w:tc>
        <w:tc>
          <w:tcPr>
            <w:tcW w:w="0" w:type="auto"/>
            <w:shd w:val="clear" w:color="auto" w:fill="CCEEFF"/>
            <w:tcMar>
              <w:top w:w="30" w:type="dxa"/>
              <w:left w:w="0" w:type="dxa"/>
              <w:bottom w:w="30" w:type="dxa"/>
              <w:right w:w="20" w:type="dxa"/>
            </w:tcMar>
            <w:vAlign w:val="bottom"/>
            <w:hideMark/>
          </w:tcPr>
          <w:p w14:paraId="6959EC9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D712A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F4A0A4" w14:textId="77777777" w:rsidR="00000000" w:rsidRDefault="00C01C43">
            <w:pPr>
              <w:jc w:val="right"/>
              <w:rPr>
                <w:rFonts w:eastAsia="Times New Roman"/>
              </w:rPr>
            </w:pPr>
            <w:r>
              <w:rPr>
                <w:rFonts w:ascii="Arial" w:eastAsia="Times New Roman" w:hAnsi="Arial" w:cs="Arial"/>
                <w:color w:val="000000"/>
                <w:sz w:val="20"/>
                <w:szCs w:val="20"/>
              </w:rPr>
              <w:t>4.0 </w:t>
            </w:r>
          </w:p>
        </w:tc>
        <w:tc>
          <w:tcPr>
            <w:tcW w:w="0" w:type="auto"/>
            <w:shd w:val="clear" w:color="auto" w:fill="CCEEFF"/>
            <w:tcMar>
              <w:top w:w="30" w:type="dxa"/>
              <w:left w:w="0" w:type="dxa"/>
              <w:bottom w:w="30" w:type="dxa"/>
              <w:right w:w="20" w:type="dxa"/>
            </w:tcMar>
            <w:vAlign w:val="bottom"/>
            <w:hideMark/>
          </w:tcPr>
          <w:p w14:paraId="65C3579E" w14:textId="77777777" w:rsidR="00000000" w:rsidRDefault="00C01C43">
            <w:pPr>
              <w:jc w:val="right"/>
              <w:rPr>
                <w:rFonts w:eastAsia="Times New Roman"/>
              </w:rPr>
            </w:pPr>
          </w:p>
        </w:tc>
      </w:tr>
      <w:tr w:rsidR="00000000" w14:paraId="11930D2C" w14:textId="77777777">
        <w:trPr>
          <w:divId w:val="1237474059"/>
        </w:trPr>
        <w:tc>
          <w:tcPr>
            <w:tcW w:w="0" w:type="auto"/>
            <w:gridSpan w:val="3"/>
            <w:tcMar>
              <w:top w:w="30" w:type="dxa"/>
              <w:left w:w="20" w:type="dxa"/>
              <w:bottom w:w="30" w:type="dxa"/>
              <w:right w:w="20" w:type="dxa"/>
            </w:tcMar>
            <w:vAlign w:val="bottom"/>
            <w:hideMark/>
          </w:tcPr>
          <w:p w14:paraId="6C1E9763" w14:textId="77777777" w:rsidR="00000000" w:rsidRDefault="00C01C43">
            <w:pPr>
              <w:rPr>
                <w:rFonts w:eastAsia="Times New Roman"/>
              </w:rPr>
            </w:pPr>
            <w:r>
              <w:rPr>
                <w:rFonts w:ascii="Arial" w:eastAsia="Times New Roman" w:hAnsi="Arial" w:cs="Arial"/>
                <w:color w:val="000000"/>
                <w:sz w:val="20"/>
                <w:szCs w:val="20"/>
              </w:rPr>
              <w:t>State</w:t>
            </w:r>
          </w:p>
        </w:tc>
        <w:tc>
          <w:tcPr>
            <w:tcW w:w="0" w:type="auto"/>
            <w:gridSpan w:val="2"/>
            <w:tcMar>
              <w:top w:w="30" w:type="dxa"/>
              <w:left w:w="20" w:type="dxa"/>
              <w:bottom w:w="30" w:type="dxa"/>
              <w:right w:w="0" w:type="dxa"/>
            </w:tcMar>
            <w:vAlign w:val="bottom"/>
            <w:hideMark/>
          </w:tcPr>
          <w:p w14:paraId="6CA2A51A"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14:paraId="36A4C544"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6A308E0E"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3C68C72" w14:textId="77777777" w:rsidR="00000000" w:rsidRDefault="00C01C43">
            <w:pPr>
              <w:jc w:val="right"/>
              <w:rPr>
                <w:rFonts w:eastAsia="Times New Roman"/>
              </w:rPr>
            </w:pPr>
            <w:r>
              <w:rPr>
                <w:rFonts w:ascii="Arial" w:eastAsia="Times New Roman" w:hAnsi="Arial" w:cs="Arial"/>
                <w:color w:val="000000"/>
                <w:sz w:val="20"/>
                <w:szCs w:val="20"/>
              </w:rPr>
              <w:t>4.6 </w:t>
            </w:r>
          </w:p>
        </w:tc>
        <w:tc>
          <w:tcPr>
            <w:tcW w:w="0" w:type="auto"/>
            <w:tcMar>
              <w:top w:w="30" w:type="dxa"/>
              <w:left w:w="0" w:type="dxa"/>
              <w:bottom w:w="30" w:type="dxa"/>
              <w:right w:w="20" w:type="dxa"/>
            </w:tcMar>
            <w:vAlign w:val="bottom"/>
            <w:hideMark/>
          </w:tcPr>
          <w:p w14:paraId="5306D7B1"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488D78D1"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660C9C2" w14:textId="77777777" w:rsidR="00000000" w:rsidRDefault="00C01C43">
            <w:pPr>
              <w:jc w:val="right"/>
              <w:rPr>
                <w:rFonts w:eastAsia="Times New Roman"/>
              </w:rPr>
            </w:pPr>
            <w:r>
              <w:rPr>
                <w:rFonts w:ascii="Arial" w:eastAsia="Times New Roman" w:hAnsi="Arial" w:cs="Arial"/>
                <w:color w:val="000000"/>
                <w:sz w:val="20"/>
                <w:szCs w:val="20"/>
              </w:rPr>
              <w:t>(6.2)</w:t>
            </w:r>
          </w:p>
        </w:tc>
        <w:tc>
          <w:tcPr>
            <w:tcW w:w="0" w:type="auto"/>
            <w:tcMar>
              <w:top w:w="30" w:type="dxa"/>
              <w:left w:w="0" w:type="dxa"/>
              <w:bottom w:w="30" w:type="dxa"/>
              <w:right w:w="20" w:type="dxa"/>
            </w:tcMar>
            <w:vAlign w:val="bottom"/>
            <w:hideMark/>
          </w:tcPr>
          <w:p w14:paraId="7A28FD87" w14:textId="77777777" w:rsidR="00000000" w:rsidRDefault="00C01C43">
            <w:pPr>
              <w:jc w:val="right"/>
              <w:rPr>
                <w:rFonts w:eastAsia="Times New Roman"/>
              </w:rPr>
            </w:pPr>
          </w:p>
        </w:tc>
      </w:tr>
      <w:tr w:rsidR="00000000" w14:paraId="45E1AC43" w14:textId="77777777">
        <w:trPr>
          <w:divId w:val="1237474059"/>
        </w:trPr>
        <w:tc>
          <w:tcPr>
            <w:tcW w:w="0" w:type="auto"/>
            <w:gridSpan w:val="3"/>
            <w:shd w:val="clear" w:color="auto" w:fill="CCEEFF"/>
            <w:tcMar>
              <w:top w:w="30" w:type="dxa"/>
              <w:left w:w="20" w:type="dxa"/>
              <w:bottom w:w="30" w:type="dxa"/>
              <w:right w:w="20" w:type="dxa"/>
            </w:tcMar>
            <w:vAlign w:val="bottom"/>
            <w:hideMark/>
          </w:tcPr>
          <w:p w14:paraId="516CFE77" w14:textId="77777777" w:rsidR="00000000" w:rsidRDefault="00C01C43">
            <w:pPr>
              <w:rPr>
                <w:rFonts w:eastAsia="Times New Roman"/>
              </w:rPr>
            </w:pPr>
            <w:r>
              <w:rPr>
                <w:rFonts w:ascii="Arial" w:eastAsia="Times New Roman" w:hAnsi="Arial" w:cs="Arial"/>
                <w:color w:val="000000"/>
                <w:sz w:val="20"/>
                <w:szCs w:val="20"/>
              </w:rPr>
              <w:t>Foreign</w:t>
            </w:r>
          </w:p>
        </w:tc>
        <w:tc>
          <w:tcPr>
            <w:tcW w:w="0" w:type="auto"/>
            <w:gridSpan w:val="2"/>
            <w:shd w:val="clear" w:color="auto" w:fill="CCEEFF"/>
            <w:tcMar>
              <w:top w:w="30" w:type="dxa"/>
              <w:left w:w="20" w:type="dxa"/>
              <w:bottom w:w="30" w:type="dxa"/>
              <w:right w:w="0" w:type="dxa"/>
            </w:tcMar>
            <w:vAlign w:val="bottom"/>
            <w:hideMark/>
          </w:tcPr>
          <w:p w14:paraId="5D6AFEE2" w14:textId="77777777" w:rsidR="00000000" w:rsidRDefault="00C01C43">
            <w:pPr>
              <w:jc w:val="right"/>
              <w:rPr>
                <w:rFonts w:eastAsia="Times New Roman"/>
              </w:rPr>
            </w:pPr>
            <w:r>
              <w:rPr>
                <w:rFonts w:ascii="Arial" w:eastAsia="Times New Roman" w:hAnsi="Arial" w:cs="Arial"/>
                <w:color w:val="000000"/>
                <w:sz w:val="20"/>
                <w:szCs w:val="20"/>
              </w:rPr>
              <w:t>(14.4)</w:t>
            </w:r>
          </w:p>
        </w:tc>
        <w:tc>
          <w:tcPr>
            <w:tcW w:w="0" w:type="auto"/>
            <w:shd w:val="clear" w:color="auto" w:fill="CCEEFF"/>
            <w:tcMar>
              <w:top w:w="30" w:type="dxa"/>
              <w:left w:w="0" w:type="dxa"/>
              <w:bottom w:w="30" w:type="dxa"/>
              <w:right w:w="20" w:type="dxa"/>
            </w:tcMar>
            <w:vAlign w:val="bottom"/>
            <w:hideMark/>
          </w:tcPr>
          <w:p w14:paraId="6CC1144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371A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9D1F84" w14:textId="77777777" w:rsidR="00000000" w:rsidRDefault="00C01C43">
            <w:pPr>
              <w:jc w:val="right"/>
              <w:rPr>
                <w:rFonts w:eastAsia="Times New Roman"/>
              </w:rPr>
            </w:pPr>
            <w:r>
              <w:rPr>
                <w:rFonts w:ascii="Arial" w:eastAsia="Times New Roman" w:hAnsi="Arial" w:cs="Arial"/>
                <w:color w:val="000000"/>
                <w:sz w:val="20"/>
                <w:szCs w:val="20"/>
              </w:rPr>
              <w:t>(12.2)</w:t>
            </w:r>
          </w:p>
        </w:tc>
        <w:tc>
          <w:tcPr>
            <w:tcW w:w="0" w:type="auto"/>
            <w:shd w:val="clear" w:color="auto" w:fill="CCEEFF"/>
            <w:tcMar>
              <w:top w:w="30" w:type="dxa"/>
              <w:left w:w="0" w:type="dxa"/>
              <w:bottom w:w="30" w:type="dxa"/>
              <w:right w:w="20" w:type="dxa"/>
            </w:tcMar>
            <w:vAlign w:val="bottom"/>
            <w:hideMark/>
          </w:tcPr>
          <w:p w14:paraId="2CCED5B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EA4B6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5BEB3C" w14:textId="77777777" w:rsidR="00000000" w:rsidRDefault="00C01C43">
            <w:pPr>
              <w:jc w:val="right"/>
              <w:rPr>
                <w:rFonts w:eastAsia="Times New Roman"/>
              </w:rPr>
            </w:pPr>
            <w:r>
              <w:rPr>
                <w:rFonts w:ascii="Arial" w:eastAsia="Times New Roman" w:hAnsi="Arial" w:cs="Arial"/>
                <w:color w:val="000000"/>
                <w:sz w:val="20"/>
                <w:szCs w:val="20"/>
              </w:rPr>
              <w:t>(1.0)</w:t>
            </w:r>
          </w:p>
        </w:tc>
        <w:tc>
          <w:tcPr>
            <w:tcW w:w="0" w:type="auto"/>
            <w:shd w:val="clear" w:color="auto" w:fill="CCEEFF"/>
            <w:tcMar>
              <w:top w:w="30" w:type="dxa"/>
              <w:left w:w="0" w:type="dxa"/>
              <w:bottom w:w="30" w:type="dxa"/>
              <w:right w:w="20" w:type="dxa"/>
            </w:tcMar>
            <w:vAlign w:val="bottom"/>
            <w:hideMark/>
          </w:tcPr>
          <w:p w14:paraId="595C52CF" w14:textId="77777777" w:rsidR="00000000" w:rsidRDefault="00C01C43">
            <w:pPr>
              <w:jc w:val="right"/>
              <w:rPr>
                <w:rFonts w:eastAsia="Times New Roman"/>
              </w:rPr>
            </w:pPr>
          </w:p>
        </w:tc>
      </w:tr>
      <w:tr w:rsidR="00000000" w14:paraId="533BD0F1" w14:textId="77777777">
        <w:trPr>
          <w:divId w:val="1237474059"/>
        </w:trPr>
        <w:tc>
          <w:tcPr>
            <w:tcW w:w="0" w:type="auto"/>
            <w:gridSpan w:val="3"/>
            <w:tcBorders>
              <w:top w:val="single" w:sz="8" w:space="0" w:color="000000"/>
            </w:tcBorders>
            <w:tcMar>
              <w:top w:w="0" w:type="dxa"/>
              <w:left w:w="20" w:type="dxa"/>
              <w:bottom w:w="0" w:type="dxa"/>
              <w:right w:w="20" w:type="dxa"/>
            </w:tcMar>
            <w:vAlign w:val="center"/>
            <w:hideMark/>
          </w:tcPr>
          <w:p w14:paraId="7D9A50BD" w14:textId="77777777" w:rsidR="00000000" w:rsidRDefault="00C01C4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24187107" w14:textId="77777777" w:rsidR="00000000" w:rsidRDefault="00C01C43">
            <w:pPr>
              <w:jc w:val="right"/>
              <w:rPr>
                <w:rFonts w:eastAsia="Times New Roman"/>
              </w:rPr>
            </w:pPr>
            <w:r>
              <w:rPr>
                <w:rFonts w:ascii="Arial" w:eastAsia="Times New Roman" w:hAnsi="Arial" w:cs="Arial"/>
                <w:color w:val="000000"/>
                <w:sz w:val="20"/>
                <w:szCs w:val="20"/>
              </w:rPr>
              <w:t>(14.4)</w:t>
            </w:r>
          </w:p>
        </w:tc>
        <w:tc>
          <w:tcPr>
            <w:tcW w:w="0" w:type="auto"/>
            <w:tcBorders>
              <w:top w:val="single" w:sz="8" w:space="0" w:color="000000"/>
            </w:tcBorders>
            <w:tcMar>
              <w:top w:w="30" w:type="dxa"/>
              <w:left w:w="0" w:type="dxa"/>
              <w:bottom w:w="30" w:type="dxa"/>
              <w:right w:w="20" w:type="dxa"/>
            </w:tcMar>
            <w:vAlign w:val="bottom"/>
            <w:hideMark/>
          </w:tcPr>
          <w:p w14:paraId="58B4D183" w14:textId="77777777" w:rsidR="00000000" w:rsidRDefault="00C01C4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BD682BB" w14:textId="77777777" w:rsidR="00000000" w:rsidRDefault="00C01C4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5F62083D" w14:textId="77777777" w:rsidR="00000000" w:rsidRDefault="00C01C43">
            <w:pPr>
              <w:jc w:val="right"/>
              <w:rPr>
                <w:rFonts w:eastAsia="Times New Roman"/>
              </w:rPr>
            </w:pPr>
            <w:r>
              <w:rPr>
                <w:rFonts w:ascii="Arial" w:eastAsia="Times New Roman" w:hAnsi="Arial" w:cs="Arial"/>
                <w:color w:val="000000"/>
                <w:sz w:val="20"/>
                <w:szCs w:val="20"/>
              </w:rPr>
              <w:t>3.4 </w:t>
            </w:r>
          </w:p>
        </w:tc>
        <w:tc>
          <w:tcPr>
            <w:tcW w:w="0" w:type="auto"/>
            <w:tcBorders>
              <w:top w:val="single" w:sz="8" w:space="0" w:color="000000"/>
            </w:tcBorders>
            <w:tcMar>
              <w:top w:w="30" w:type="dxa"/>
              <w:left w:w="0" w:type="dxa"/>
              <w:bottom w:w="30" w:type="dxa"/>
              <w:right w:w="20" w:type="dxa"/>
            </w:tcMar>
            <w:vAlign w:val="bottom"/>
            <w:hideMark/>
          </w:tcPr>
          <w:p w14:paraId="4EE2F0DD" w14:textId="77777777" w:rsidR="00000000" w:rsidRDefault="00C01C4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33F2CEB" w14:textId="77777777" w:rsidR="00000000" w:rsidRDefault="00C01C4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59AB1D05" w14:textId="77777777" w:rsidR="00000000" w:rsidRDefault="00C01C43">
            <w:pPr>
              <w:jc w:val="right"/>
              <w:rPr>
                <w:rFonts w:eastAsia="Times New Roman"/>
              </w:rPr>
            </w:pPr>
            <w:r>
              <w:rPr>
                <w:rFonts w:ascii="Arial" w:eastAsia="Times New Roman" w:hAnsi="Arial" w:cs="Arial"/>
                <w:color w:val="000000"/>
                <w:sz w:val="20"/>
                <w:szCs w:val="20"/>
              </w:rPr>
              <w:t>(3.2)</w:t>
            </w:r>
          </w:p>
        </w:tc>
        <w:tc>
          <w:tcPr>
            <w:tcW w:w="0" w:type="auto"/>
            <w:tcBorders>
              <w:top w:val="single" w:sz="8" w:space="0" w:color="000000"/>
            </w:tcBorders>
            <w:tcMar>
              <w:top w:w="30" w:type="dxa"/>
              <w:left w:w="0" w:type="dxa"/>
              <w:bottom w:w="30" w:type="dxa"/>
              <w:right w:w="20" w:type="dxa"/>
            </w:tcMar>
            <w:vAlign w:val="bottom"/>
            <w:hideMark/>
          </w:tcPr>
          <w:p w14:paraId="14852727" w14:textId="77777777" w:rsidR="00000000" w:rsidRDefault="00C01C43">
            <w:pPr>
              <w:jc w:val="right"/>
              <w:rPr>
                <w:rFonts w:eastAsia="Times New Roman"/>
              </w:rPr>
            </w:pPr>
          </w:p>
        </w:tc>
      </w:tr>
      <w:tr w:rsidR="00000000" w14:paraId="4DF39CD2" w14:textId="77777777">
        <w:trPr>
          <w:divId w:val="123747405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8CB9C38" w14:textId="77777777" w:rsidR="00000000" w:rsidRDefault="00C01C43">
            <w:pPr>
              <w:rPr>
                <w:rFonts w:eastAsia="Times New Roman"/>
              </w:rPr>
            </w:pPr>
            <w:r>
              <w:rPr>
                <w:rFonts w:ascii="Arial" w:eastAsia="Times New Roman" w:hAnsi="Arial" w:cs="Arial"/>
                <w:color w:val="000000"/>
                <w:sz w:val="20"/>
                <w:szCs w:val="20"/>
              </w:rPr>
              <w:t>Non-current tax expense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34F50B" w14:textId="77777777" w:rsidR="00000000" w:rsidRDefault="00C01C43">
            <w:pPr>
              <w:jc w:val="right"/>
              <w:rPr>
                <w:rFonts w:eastAsia="Times New Roman"/>
              </w:rPr>
            </w:pPr>
            <w:r>
              <w:rPr>
                <w:rFonts w:ascii="Arial" w:eastAsia="Times New Roman" w:hAnsi="Arial" w:cs="Arial"/>
                <w:color w:val="000000"/>
                <w:sz w:val="20"/>
                <w:szCs w:val="20"/>
              </w:rPr>
              <w:t>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A9ABFE"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3818FF"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23D3CB" w14:textId="77777777" w:rsidR="00000000" w:rsidRDefault="00C01C43">
            <w:pPr>
              <w:jc w:val="right"/>
              <w:rPr>
                <w:rFonts w:eastAsia="Times New Roman"/>
              </w:rPr>
            </w:pPr>
            <w:r>
              <w:rPr>
                <w:rFonts w:ascii="Arial" w:eastAsia="Times New Roman" w:hAnsi="Arial" w:cs="Arial"/>
                <w:color w:val="000000"/>
                <w:sz w:val="20"/>
                <w:szCs w:val="20"/>
              </w:rPr>
              <w:t>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80CE7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7D7C27"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10C49B" w14:textId="77777777" w:rsidR="00000000" w:rsidRDefault="00C01C43">
            <w:pPr>
              <w:jc w:val="right"/>
              <w:rPr>
                <w:rFonts w:eastAsia="Times New Roman"/>
              </w:rPr>
            </w:pPr>
            <w:r>
              <w:rPr>
                <w:rFonts w:ascii="Arial" w:eastAsia="Times New Roman" w:hAnsi="Arial" w:cs="Arial"/>
                <w:color w:val="000000"/>
                <w:sz w:val="20"/>
                <w:szCs w:val="20"/>
              </w:rPr>
              <w:t>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531904" w14:textId="77777777" w:rsidR="00000000" w:rsidRDefault="00C01C43">
            <w:pPr>
              <w:jc w:val="right"/>
              <w:rPr>
                <w:rFonts w:eastAsia="Times New Roman"/>
              </w:rPr>
            </w:pPr>
          </w:p>
        </w:tc>
      </w:tr>
      <w:tr w:rsidR="00000000" w14:paraId="63D142EE" w14:textId="77777777">
        <w:trPr>
          <w:divId w:val="1237474059"/>
        </w:trPr>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15D4137C"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3FC44C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7FE8549F" w14:textId="77777777" w:rsidR="00000000" w:rsidRDefault="00C01C43">
            <w:pPr>
              <w:jc w:val="right"/>
              <w:rPr>
                <w:rFonts w:eastAsia="Times New Roman"/>
              </w:rPr>
            </w:pPr>
            <w:r>
              <w:rPr>
                <w:rFonts w:ascii="Arial" w:eastAsia="Times New Roman" w:hAnsi="Arial" w:cs="Arial"/>
                <w:color w:val="000000"/>
                <w:sz w:val="20"/>
                <w:szCs w:val="20"/>
              </w:rPr>
              <w:t>52.1 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F034409"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0B55D2E2"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687D1C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386FF61" w14:textId="77777777" w:rsidR="00000000" w:rsidRDefault="00C01C43">
            <w:pPr>
              <w:jc w:val="right"/>
              <w:rPr>
                <w:rFonts w:eastAsia="Times New Roman"/>
              </w:rPr>
            </w:pPr>
            <w:r>
              <w:rPr>
                <w:rFonts w:ascii="Arial" w:eastAsia="Times New Roman" w:hAnsi="Arial" w:cs="Arial"/>
                <w:color w:val="000000"/>
                <w:sz w:val="20"/>
                <w:szCs w:val="20"/>
              </w:rPr>
              <w:t>56.2 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D000879"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0551FACE"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50F533B"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7F8C039" w14:textId="77777777" w:rsidR="00000000" w:rsidRDefault="00C01C43">
            <w:pPr>
              <w:jc w:val="right"/>
              <w:rPr>
                <w:rFonts w:eastAsia="Times New Roman"/>
              </w:rPr>
            </w:pPr>
            <w:r>
              <w:rPr>
                <w:rFonts w:ascii="Arial" w:eastAsia="Times New Roman" w:hAnsi="Arial" w:cs="Arial"/>
                <w:color w:val="000000"/>
                <w:sz w:val="20"/>
                <w:szCs w:val="20"/>
              </w:rPr>
              <w:t>55.9 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CF3109E" w14:textId="77777777" w:rsidR="00000000" w:rsidRDefault="00C01C43">
            <w:pPr>
              <w:jc w:val="right"/>
              <w:rPr>
                <w:rFonts w:eastAsia="Times New Roman"/>
              </w:rPr>
            </w:pPr>
          </w:p>
        </w:tc>
      </w:tr>
    </w:tbl>
    <w:p w14:paraId="6E0193E0" w14:textId="77777777" w:rsidR="00000000" w:rsidRDefault="00C01C43">
      <w:pPr>
        <w:jc w:val="both"/>
        <w:divId w:val="1214582363"/>
        <w:rPr>
          <w:rFonts w:eastAsia="Times New Roman"/>
        </w:rPr>
      </w:pPr>
      <w:r>
        <w:rPr>
          <w:rFonts w:ascii="Arial" w:eastAsia="Times New Roman" w:hAnsi="Arial" w:cs="Arial"/>
          <w:color w:val="000000"/>
          <w:sz w:val="20"/>
          <w:szCs w:val="20"/>
        </w:rPr>
        <w:t>Non-current tax expense (income) is primarily related to income tax associated with the reserve for uncertain tax positions, including associated interest and penalties.</w:t>
      </w:r>
    </w:p>
    <w:p w14:paraId="4D92FC66" w14:textId="77777777" w:rsidR="00000000" w:rsidRDefault="00C01C43">
      <w:pPr>
        <w:jc w:val="both"/>
        <w:divId w:val="935208381"/>
        <w:rPr>
          <w:rFonts w:eastAsia="Times New Roman"/>
        </w:rPr>
      </w:pPr>
    </w:p>
    <w:p w14:paraId="1AE9B0FF" w14:textId="77777777" w:rsidR="00000000" w:rsidRDefault="00C01C43">
      <w:pPr>
        <w:jc w:val="center"/>
        <w:divId w:val="1441684614"/>
        <w:rPr>
          <w:rFonts w:eastAsia="Times New Roman"/>
        </w:rPr>
      </w:pPr>
      <w:r>
        <w:rPr>
          <w:rFonts w:ascii="Arial" w:eastAsia="Times New Roman" w:hAnsi="Arial" w:cs="Arial"/>
          <w:color w:val="000000"/>
          <w:sz w:val="16"/>
          <w:szCs w:val="16"/>
        </w:rPr>
        <w:t>78</w:t>
      </w:r>
    </w:p>
    <w:p w14:paraId="1237D53F" w14:textId="77777777" w:rsidR="00000000" w:rsidRDefault="00C01C43">
      <w:pPr>
        <w:rPr>
          <w:rFonts w:eastAsia="Times New Roman"/>
        </w:rPr>
      </w:pPr>
      <w:r>
        <w:rPr>
          <w:rFonts w:eastAsia="Times New Roman"/>
        </w:rPr>
        <w:pict w14:anchorId="18CFD9FD">
          <v:rect id="_x0000_i1107" style="width:0;height:1.5pt" o:hralign="center" o:hrstd="t" o:hr="t" fillcolor="#a0a0a0" stroked="f"/>
        </w:pict>
      </w:r>
    </w:p>
    <w:p w14:paraId="02FC849E" w14:textId="77777777" w:rsidR="00000000" w:rsidRDefault="00C01C43">
      <w:pPr>
        <w:divId w:val="709495917"/>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2C7853C0" w14:textId="77777777" w:rsidR="00000000" w:rsidRDefault="00C01C43">
      <w:pPr>
        <w:jc w:val="both"/>
        <w:divId w:val="1075083705"/>
        <w:rPr>
          <w:rFonts w:eastAsia="Times New Roman"/>
        </w:rPr>
      </w:pPr>
      <w:r>
        <w:rPr>
          <w:rFonts w:ascii="Arial" w:eastAsia="Times New Roman" w:hAnsi="Arial" w:cs="Arial"/>
          <w:color w:val="000000"/>
          <w:sz w:val="20"/>
          <w:szCs w:val="20"/>
        </w:rPr>
        <w:t>A reconciliation of the U.S. federal statutory income tax rate to our effective income tax rate is as follows:</w:t>
      </w:r>
    </w:p>
    <w:tbl>
      <w:tblPr>
        <w:tblW w:w="4978" w:type="pct"/>
        <w:tblCellMar>
          <w:top w:w="15" w:type="dxa"/>
          <w:left w:w="15" w:type="dxa"/>
          <w:bottom w:w="15" w:type="dxa"/>
          <w:right w:w="15" w:type="dxa"/>
        </w:tblCellMar>
        <w:tblLook w:val="04A0" w:firstRow="1" w:lastRow="0" w:firstColumn="1" w:lastColumn="0" w:noHBand="0" w:noVBand="1"/>
      </w:tblPr>
      <w:tblGrid>
        <w:gridCol w:w="40"/>
        <w:gridCol w:w="4571"/>
        <w:gridCol w:w="39"/>
        <w:gridCol w:w="41"/>
        <w:gridCol w:w="937"/>
        <w:gridCol w:w="198"/>
        <w:gridCol w:w="36"/>
        <w:gridCol w:w="36"/>
        <w:gridCol w:w="36"/>
        <w:gridCol w:w="41"/>
        <w:gridCol w:w="874"/>
        <w:gridCol w:w="198"/>
        <w:gridCol w:w="36"/>
        <w:gridCol w:w="36"/>
        <w:gridCol w:w="36"/>
        <w:gridCol w:w="41"/>
        <w:gridCol w:w="875"/>
        <w:gridCol w:w="198"/>
      </w:tblGrid>
      <w:tr w:rsidR="00000000" w14:paraId="53893D03" w14:textId="77777777">
        <w:trPr>
          <w:divId w:val="475074270"/>
        </w:trPr>
        <w:tc>
          <w:tcPr>
            <w:tcW w:w="50" w:type="pct"/>
            <w:vAlign w:val="center"/>
            <w:hideMark/>
          </w:tcPr>
          <w:p w14:paraId="1F31C8FE" w14:textId="77777777" w:rsidR="00000000" w:rsidRDefault="00C01C43">
            <w:pPr>
              <w:jc w:val="both"/>
              <w:rPr>
                <w:rFonts w:eastAsia="Times New Roman"/>
              </w:rPr>
            </w:pPr>
          </w:p>
        </w:tc>
        <w:tc>
          <w:tcPr>
            <w:tcW w:w="2823" w:type="pct"/>
            <w:vAlign w:val="center"/>
            <w:hideMark/>
          </w:tcPr>
          <w:p w14:paraId="53F87364" w14:textId="77777777" w:rsidR="00000000" w:rsidRDefault="00C01C43">
            <w:pPr>
              <w:rPr>
                <w:rFonts w:eastAsia="Times New Roman"/>
                <w:sz w:val="20"/>
                <w:szCs w:val="20"/>
              </w:rPr>
            </w:pPr>
          </w:p>
        </w:tc>
        <w:tc>
          <w:tcPr>
            <w:tcW w:w="5" w:type="pct"/>
            <w:vAlign w:val="center"/>
            <w:hideMark/>
          </w:tcPr>
          <w:p w14:paraId="7D6FA93A" w14:textId="77777777" w:rsidR="00000000" w:rsidRDefault="00C01C43">
            <w:pPr>
              <w:rPr>
                <w:rFonts w:eastAsia="Times New Roman"/>
                <w:sz w:val="20"/>
                <w:szCs w:val="20"/>
              </w:rPr>
            </w:pPr>
          </w:p>
        </w:tc>
        <w:tc>
          <w:tcPr>
            <w:tcW w:w="50" w:type="pct"/>
            <w:vAlign w:val="center"/>
            <w:hideMark/>
          </w:tcPr>
          <w:p w14:paraId="3FBC1779" w14:textId="77777777" w:rsidR="00000000" w:rsidRDefault="00C01C43">
            <w:pPr>
              <w:rPr>
                <w:rFonts w:eastAsia="Times New Roman"/>
                <w:sz w:val="20"/>
                <w:szCs w:val="20"/>
              </w:rPr>
            </w:pPr>
          </w:p>
        </w:tc>
        <w:tc>
          <w:tcPr>
            <w:tcW w:w="627" w:type="pct"/>
            <w:vAlign w:val="center"/>
            <w:hideMark/>
          </w:tcPr>
          <w:p w14:paraId="2DDD4B1C" w14:textId="77777777" w:rsidR="00000000" w:rsidRDefault="00C01C43">
            <w:pPr>
              <w:rPr>
                <w:rFonts w:eastAsia="Times New Roman"/>
                <w:sz w:val="20"/>
                <w:szCs w:val="20"/>
              </w:rPr>
            </w:pPr>
          </w:p>
        </w:tc>
        <w:tc>
          <w:tcPr>
            <w:tcW w:w="5" w:type="pct"/>
            <w:vAlign w:val="center"/>
            <w:hideMark/>
          </w:tcPr>
          <w:p w14:paraId="1D9735F5" w14:textId="77777777" w:rsidR="00000000" w:rsidRDefault="00C01C43">
            <w:pPr>
              <w:rPr>
                <w:rFonts w:eastAsia="Times New Roman"/>
                <w:sz w:val="20"/>
                <w:szCs w:val="20"/>
              </w:rPr>
            </w:pPr>
          </w:p>
        </w:tc>
        <w:tc>
          <w:tcPr>
            <w:tcW w:w="5" w:type="pct"/>
            <w:vAlign w:val="center"/>
            <w:hideMark/>
          </w:tcPr>
          <w:p w14:paraId="4CFDC81A" w14:textId="77777777" w:rsidR="00000000" w:rsidRDefault="00C01C43">
            <w:pPr>
              <w:rPr>
                <w:rFonts w:eastAsia="Times New Roman"/>
                <w:sz w:val="20"/>
                <w:szCs w:val="20"/>
              </w:rPr>
            </w:pPr>
          </w:p>
        </w:tc>
        <w:tc>
          <w:tcPr>
            <w:tcW w:w="26" w:type="pct"/>
            <w:vAlign w:val="center"/>
            <w:hideMark/>
          </w:tcPr>
          <w:p w14:paraId="3EF26DF4" w14:textId="77777777" w:rsidR="00000000" w:rsidRDefault="00C01C43">
            <w:pPr>
              <w:rPr>
                <w:rFonts w:eastAsia="Times New Roman"/>
                <w:sz w:val="20"/>
                <w:szCs w:val="20"/>
              </w:rPr>
            </w:pPr>
          </w:p>
        </w:tc>
        <w:tc>
          <w:tcPr>
            <w:tcW w:w="5" w:type="pct"/>
            <w:vAlign w:val="center"/>
            <w:hideMark/>
          </w:tcPr>
          <w:p w14:paraId="757101AE" w14:textId="77777777" w:rsidR="00000000" w:rsidRDefault="00C01C43">
            <w:pPr>
              <w:rPr>
                <w:rFonts w:eastAsia="Times New Roman"/>
                <w:sz w:val="20"/>
                <w:szCs w:val="20"/>
              </w:rPr>
            </w:pPr>
          </w:p>
        </w:tc>
        <w:tc>
          <w:tcPr>
            <w:tcW w:w="50" w:type="pct"/>
            <w:vAlign w:val="center"/>
            <w:hideMark/>
          </w:tcPr>
          <w:p w14:paraId="0B5A5A76" w14:textId="77777777" w:rsidR="00000000" w:rsidRDefault="00C01C43">
            <w:pPr>
              <w:rPr>
                <w:rFonts w:eastAsia="Times New Roman"/>
                <w:sz w:val="20"/>
                <w:szCs w:val="20"/>
              </w:rPr>
            </w:pPr>
          </w:p>
        </w:tc>
        <w:tc>
          <w:tcPr>
            <w:tcW w:w="627" w:type="pct"/>
            <w:vAlign w:val="center"/>
            <w:hideMark/>
          </w:tcPr>
          <w:p w14:paraId="244D2A39" w14:textId="77777777" w:rsidR="00000000" w:rsidRDefault="00C01C43">
            <w:pPr>
              <w:rPr>
                <w:rFonts w:eastAsia="Times New Roman"/>
                <w:sz w:val="20"/>
                <w:szCs w:val="20"/>
              </w:rPr>
            </w:pPr>
          </w:p>
        </w:tc>
        <w:tc>
          <w:tcPr>
            <w:tcW w:w="5" w:type="pct"/>
            <w:vAlign w:val="center"/>
            <w:hideMark/>
          </w:tcPr>
          <w:p w14:paraId="3F599FE1" w14:textId="77777777" w:rsidR="00000000" w:rsidRDefault="00C01C43">
            <w:pPr>
              <w:rPr>
                <w:rFonts w:eastAsia="Times New Roman"/>
                <w:sz w:val="20"/>
                <w:szCs w:val="20"/>
              </w:rPr>
            </w:pPr>
          </w:p>
        </w:tc>
        <w:tc>
          <w:tcPr>
            <w:tcW w:w="5" w:type="pct"/>
            <w:vAlign w:val="center"/>
            <w:hideMark/>
          </w:tcPr>
          <w:p w14:paraId="6C57460A" w14:textId="77777777" w:rsidR="00000000" w:rsidRDefault="00C01C43">
            <w:pPr>
              <w:rPr>
                <w:rFonts w:eastAsia="Times New Roman"/>
                <w:sz w:val="20"/>
                <w:szCs w:val="20"/>
              </w:rPr>
            </w:pPr>
          </w:p>
        </w:tc>
        <w:tc>
          <w:tcPr>
            <w:tcW w:w="26" w:type="pct"/>
            <w:vAlign w:val="center"/>
            <w:hideMark/>
          </w:tcPr>
          <w:p w14:paraId="6B26DC86" w14:textId="77777777" w:rsidR="00000000" w:rsidRDefault="00C01C43">
            <w:pPr>
              <w:rPr>
                <w:rFonts w:eastAsia="Times New Roman"/>
                <w:sz w:val="20"/>
                <w:szCs w:val="20"/>
              </w:rPr>
            </w:pPr>
          </w:p>
        </w:tc>
        <w:tc>
          <w:tcPr>
            <w:tcW w:w="5" w:type="pct"/>
            <w:vAlign w:val="center"/>
            <w:hideMark/>
          </w:tcPr>
          <w:p w14:paraId="4CE6FA4A" w14:textId="77777777" w:rsidR="00000000" w:rsidRDefault="00C01C43">
            <w:pPr>
              <w:rPr>
                <w:rFonts w:eastAsia="Times New Roman"/>
                <w:sz w:val="20"/>
                <w:szCs w:val="20"/>
              </w:rPr>
            </w:pPr>
          </w:p>
        </w:tc>
        <w:tc>
          <w:tcPr>
            <w:tcW w:w="50" w:type="pct"/>
            <w:vAlign w:val="center"/>
            <w:hideMark/>
          </w:tcPr>
          <w:p w14:paraId="541CBB3A" w14:textId="77777777" w:rsidR="00000000" w:rsidRDefault="00C01C43">
            <w:pPr>
              <w:rPr>
                <w:rFonts w:eastAsia="Times New Roman"/>
                <w:sz w:val="20"/>
                <w:szCs w:val="20"/>
              </w:rPr>
            </w:pPr>
          </w:p>
        </w:tc>
        <w:tc>
          <w:tcPr>
            <w:tcW w:w="627" w:type="pct"/>
            <w:vAlign w:val="center"/>
            <w:hideMark/>
          </w:tcPr>
          <w:p w14:paraId="6D4791CF" w14:textId="77777777" w:rsidR="00000000" w:rsidRDefault="00C01C43">
            <w:pPr>
              <w:rPr>
                <w:rFonts w:eastAsia="Times New Roman"/>
                <w:sz w:val="20"/>
                <w:szCs w:val="20"/>
              </w:rPr>
            </w:pPr>
          </w:p>
        </w:tc>
        <w:tc>
          <w:tcPr>
            <w:tcW w:w="5" w:type="pct"/>
            <w:vAlign w:val="center"/>
            <w:hideMark/>
          </w:tcPr>
          <w:p w14:paraId="6DB1A80F" w14:textId="77777777" w:rsidR="00000000" w:rsidRDefault="00C01C43">
            <w:pPr>
              <w:rPr>
                <w:rFonts w:eastAsia="Times New Roman"/>
                <w:sz w:val="20"/>
                <w:szCs w:val="20"/>
              </w:rPr>
            </w:pPr>
          </w:p>
        </w:tc>
      </w:tr>
      <w:tr w:rsidR="00000000" w14:paraId="7C326C2D" w14:textId="77777777">
        <w:trPr>
          <w:divId w:val="475074270"/>
        </w:trPr>
        <w:tc>
          <w:tcPr>
            <w:tcW w:w="0" w:type="auto"/>
            <w:gridSpan w:val="3"/>
            <w:tcMar>
              <w:top w:w="0" w:type="dxa"/>
              <w:left w:w="20" w:type="dxa"/>
              <w:bottom w:w="0" w:type="dxa"/>
              <w:right w:w="20" w:type="dxa"/>
            </w:tcMar>
            <w:vAlign w:val="center"/>
            <w:hideMark/>
          </w:tcPr>
          <w:p w14:paraId="52F675C7"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54113D64"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346D06F6"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55B0D8D8"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7C7BA943"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2F196487"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07D46B9E" w14:textId="77777777">
        <w:trPr>
          <w:divId w:val="47507427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6CF216" w14:textId="77777777" w:rsidR="00000000" w:rsidRDefault="00C01C43">
            <w:pPr>
              <w:rPr>
                <w:rFonts w:eastAsia="Times New Roman"/>
              </w:rPr>
            </w:pPr>
            <w:r>
              <w:rPr>
                <w:rFonts w:ascii="Arial" w:eastAsia="Times New Roman" w:hAnsi="Arial" w:cs="Arial"/>
                <w:color w:val="000000"/>
                <w:sz w:val="20"/>
                <w:szCs w:val="20"/>
              </w:rPr>
              <w:t>U.S. federal statutory tax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8FF3A9" w14:textId="77777777" w:rsidR="00000000" w:rsidRDefault="00C01C43">
            <w:pPr>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8360AD"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20B53A" w14:textId="77777777" w:rsidR="00000000" w:rsidRDefault="00C01C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D52686" w14:textId="77777777" w:rsidR="00000000" w:rsidRDefault="00C01C43">
            <w:pPr>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339BDA"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EEC460" w14:textId="77777777" w:rsidR="00000000" w:rsidRDefault="00C01C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F0757A" w14:textId="77777777" w:rsidR="00000000" w:rsidRDefault="00C01C43">
            <w:pPr>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D775F0" w14:textId="77777777" w:rsidR="00000000" w:rsidRDefault="00C01C43">
            <w:pPr>
              <w:jc w:val="right"/>
              <w:rPr>
                <w:rFonts w:eastAsia="Times New Roman"/>
              </w:rPr>
            </w:pPr>
            <w:r>
              <w:rPr>
                <w:rFonts w:ascii="Arial" w:eastAsia="Times New Roman" w:hAnsi="Arial" w:cs="Arial"/>
                <w:color w:val="000000"/>
                <w:sz w:val="20"/>
                <w:szCs w:val="20"/>
              </w:rPr>
              <w:t>%</w:t>
            </w:r>
          </w:p>
        </w:tc>
      </w:tr>
      <w:tr w:rsidR="00000000" w14:paraId="2F46B43C" w14:textId="77777777">
        <w:trPr>
          <w:divId w:val="475074270"/>
        </w:trPr>
        <w:tc>
          <w:tcPr>
            <w:tcW w:w="0" w:type="auto"/>
            <w:gridSpan w:val="3"/>
            <w:shd w:val="clear" w:color="auto" w:fill="FFFFFF"/>
            <w:tcMar>
              <w:top w:w="30" w:type="dxa"/>
              <w:left w:w="20" w:type="dxa"/>
              <w:bottom w:w="30" w:type="dxa"/>
              <w:right w:w="20" w:type="dxa"/>
            </w:tcMar>
            <w:vAlign w:val="bottom"/>
            <w:hideMark/>
          </w:tcPr>
          <w:p w14:paraId="7B314C29" w14:textId="77777777" w:rsidR="00000000" w:rsidRDefault="00C01C43">
            <w:pPr>
              <w:rPr>
                <w:rFonts w:eastAsia="Times New Roman"/>
              </w:rPr>
            </w:pPr>
            <w:r>
              <w:rPr>
                <w:rFonts w:ascii="Arial" w:eastAsia="Times New Roman" w:hAnsi="Arial" w:cs="Arial"/>
                <w:color w:val="000000"/>
                <w:sz w:val="20"/>
                <w:szCs w:val="20"/>
              </w:rPr>
              <w:t>Foreign earnings, net of foreign taxes</w:t>
            </w:r>
          </w:p>
        </w:tc>
        <w:tc>
          <w:tcPr>
            <w:tcW w:w="0" w:type="auto"/>
            <w:gridSpan w:val="2"/>
            <w:shd w:val="clear" w:color="auto" w:fill="FFFFFF"/>
            <w:tcMar>
              <w:top w:w="30" w:type="dxa"/>
              <w:left w:w="20" w:type="dxa"/>
              <w:bottom w:w="30" w:type="dxa"/>
              <w:right w:w="0" w:type="dxa"/>
            </w:tcMar>
            <w:vAlign w:val="bottom"/>
            <w:hideMark/>
          </w:tcPr>
          <w:p w14:paraId="2D43B0D7" w14:textId="77777777" w:rsidR="00000000" w:rsidRDefault="00C01C43">
            <w:pPr>
              <w:jc w:val="right"/>
              <w:rPr>
                <w:rFonts w:eastAsia="Times New Roman"/>
              </w:rPr>
            </w:pPr>
            <w:r>
              <w:rPr>
                <w:rFonts w:ascii="Arial" w:eastAsia="Times New Roman" w:hAnsi="Arial" w:cs="Arial"/>
                <w:color w:val="000000"/>
                <w:sz w:val="20"/>
                <w:szCs w:val="20"/>
              </w:rPr>
              <w:t>(13.3)</w:t>
            </w:r>
          </w:p>
        </w:tc>
        <w:tc>
          <w:tcPr>
            <w:tcW w:w="0" w:type="auto"/>
            <w:shd w:val="clear" w:color="auto" w:fill="FFFFFF"/>
            <w:tcMar>
              <w:top w:w="30" w:type="dxa"/>
              <w:left w:w="0" w:type="dxa"/>
              <w:bottom w:w="30" w:type="dxa"/>
              <w:right w:w="20" w:type="dxa"/>
            </w:tcMar>
            <w:vAlign w:val="bottom"/>
            <w:hideMark/>
          </w:tcPr>
          <w:p w14:paraId="18E3E9F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39BF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D360DF" w14:textId="77777777" w:rsidR="00000000" w:rsidRDefault="00C01C43">
            <w:pPr>
              <w:jc w:val="right"/>
              <w:rPr>
                <w:rFonts w:eastAsia="Times New Roman"/>
              </w:rPr>
            </w:pPr>
            <w:r>
              <w:rPr>
                <w:rFonts w:ascii="Arial" w:eastAsia="Times New Roman" w:hAnsi="Arial" w:cs="Arial"/>
                <w:color w:val="000000"/>
                <w:sz w:val="20"/>
                <w:szCs w:val="20"/>
              </w:rPr>
              <w:t>(13.8)</w:t>
            </w:r>
          </w:p>
        </w:tc>
        <w:tc>
          <w:tcPr>
            <w:tcW w:w="0" w:type="auto"/>
            <w:shd w:val="clear" w:color="auto" w:fill="FFFFFF"/>
            <w:tcMar>
              <w:top w:w="30" w:type="dxa"/>
              <w:left w:w="0" w:type="dxa"/>
              <w:bottom w:w="30" w:type="dxa"/>
              <w:right w:w="20" w:type="dxa"/>
            </w:tcMar>
            <w:vAlign w:val="bottom"/>
            <w:hideMark/>
          </w:tcPr>
          <w:p w14:paraId="4738148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77ED0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CE41E0" w14:textId="77777777" w:rsidR="00000000" w:rsidRDefault="00C01C43">
            <w:pPr>
              <w:jc w:val="right"/>
              <w:rPr>
                <w:rFonts w:eastAsia="Times New Roman"/>
              </w:rPr>
            </w:pPr>
            <w:r>
              <w:rPr>
                <w:rFonts w:ascii="Arial" w:eastAsia="Times New Roman" w:hAnsi="Arial" w:cs="Arial"/>
                <w:color w:val="000000"/>
                <w:sz w:val="20"/>
                <w:szCs w:val="20"/>
              </w:rPr>
              <w:t>(11.6)</w:t>
            </w:r>
          </w:p>
        </w:tc>
        <w:tc>
          <w:tcPr>
            <w:tcW w:w="0" w:type="auto"/>
            <w:shd w:val="clear" w:color="auto" w:fill="FFFFFF"/>
            <w:tcMar>
              <w:top w:w="30" w:type="dxa"/>
              <w:left w:w="0" w:type="dxa"/>
              <w:bottom w:w="30" w:type="dxa"/>
              <w:right w:w="20" w:type="dxa"/>
            </w:tcMar>
            <w:vAlign w:val="bottom"/>
            <w:hideMark/>
          </w:tcPr>
          <w:p w14:paraId="5FC1F7A7" w14:textId="77777777" w:rsidR="00000000" w:rsidRDefault="00C01C43">
            <w:pPr>
              <w:jc w:val="right"/>
              <w:rPr>
                <w:rFonts w:eastAsia="Times New Roman"/>
              </w:rPr>
            </w:pPr>
          </w:p>
        </w:tc>
      </w:tr>
      <w:tr w:rsidR="00000000" w14:paraId="59FC782A" w14:textId="77777777">
        <w:trPr>
          <w:divId w:val="475074270"/>
        </w:trPr>
        <w:tc>
          <w:tcPr>
            <w:tcW w:w="0" w:type="auto"/>
            <w:gridSpan w:val="3"/>
            <w:shd w:val="clear" w:color="auto" w:fill="CCEEFF"/>
            <w:tcMar>
              <w:top w:w="30" w:type="dxa"/>
              <w:left w:w="20" w:type="dxa"/>
              <w:bottom w:w="30" w:type="dxa"/>
              <w:right w:w="20" w:type="dxa"/>
            </w:tcMar>
            <w:vAlign w:val="bottom"/>
            <w:hideMark/>
          </w:tcPr>
          <w:p w14:paraId="467D3139" w14:textId="77777777" w:rsidR="00000000" w:rsidRDefault="00C01C43">
            <w:pPr>
              <w:rPr>
                <w:rFonts w:eastAsia="Times New Roman"/>
              </w:rPr>
            </w:pPr>
            <w:r>
              <w:rPr>
                <w:rFonts w:ascii="Arial" w:eastAsia="Times New Roman" w:hAnsi="Arial" w:cs="Arial"/>
                <w:color w:val="000000"/>
                <w:sz w:val="20"/>
                <w:szCs w:val="20"/>
              </w:rPr>
              <w:t>State income taxes, net of U.S. federal income tax benefit</w:t>
            </w:r>
          </w:p>
        </w:tc>
        <w:tc>
          <w:tcPr>
            <w:tcW w:w="0" w:type="auto"/>
            <w:gridSpan w:val="2"/>
            <w:shd w:val="clear" w:color="auto" w:fill="CCEEFF"/>
            <w:tcMar>
              <w:top w:w="30" w:type="dxa"/>
              <w:left w:w="20" w:type="dxa"/>
              <w:bottom w:w="30" w:type="dxa"/>
              <w:right w:w="0" w:type="dxa"/>
            </w:tcMar>
            <w:vAlign w:val="bottom"/>
            <w:hideMark/>
          </w:tcPr>
          <w:p w14:paraId="4BD61FDD" w14:textId="77777777" w:rsidR="00000000" w:rsidRDefault="00C01C43">
            <w:pPr>
              <w:jc w:val="right"/>
              <w:rPr>
                <w:rFonts w:eastAsia="Times New Roman"/>
              </w:rPr>
            </w:pPr>
            <w:r>
              <w:rPr>
                <w:rFonts w:ascii="Arial" w:eastAsia="Times New Roman" w:hAnsi="Arial" w:cs="Arial"/>
                <w:color w:val="000000"/>
                <w:sz w:val="20"/>
                <w:szCs w:val="20"/>
              </w:rPr>
              <w:t>1.3 </w:t>
            </w:r>
          </w:p>
        </w:tc>
        <w:tc>
          <w:tcPr>
            <w:tcW w:w="0" w:type="auto"/>
            <w:shd w:val="clear" w:color="auto" w:fill="CCEEFF"/>
            <w:tcMar>
              <w:top w:w="30" w:type="dxa"/>
              <w:left w:w="0" w:type="dxa"/>
              <w:bottom w:w="30" w:type="dxa"/>
              <w:right w:w="20" w:type="dxa"/>
            </w:tcMar>
            <w:vAlign w:val="bottom"/>
            <w:hideMark/>
          </w:tcPr>
          <w:p w14:paraId="7091380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20319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1BA390" w14:textId="77777777" w:rsidR="00000000" w:rsidRDefault="00C01C43">
            <w:pPr>
              <w:jc w:val="right"/>
              <w:rPr>
                <w:rFonts w:eastAsia="Times New Roman"/>
              </w:rPr>
            </w:pPr>
            <w:r>
              <w:rPr>
                <w:rFonts w:ascii="Arial" w:eastAsia="Times New Roman" w:hAnsi="Arial" w:cs="Arial"/>
                <w:color w:val="000000"/>
                <w:sz w:val="20"/>
                <w:szCs w:val="20"/>
              </w:rPr>
              <w:t>2.2 </w:t>
            </w:r>
          </w:p>
        </w:tc>
        <w:tc>
          <w:tcPr>
            <w:tcW w:w="0" w:type="auto"/>
            <w:shd w:val="clear" w:color="auto" w:fill="CCEEFF"/>
            <w:tcMar>
              <w:top w:w="30" w:type="dxa"/>
              <w:left w:w="0" w:type="dxa"/>
              <w:bottom w:w="30" w:type="dxa"/>
              <w:right w:w="20" w:type="dxa"/>
            </w:tcMar>
            <w:vAlign w:val="bottom"/>
            <w:hideMark/>
          </w:tcPr>
          <w:p w14:paraId="335E6AC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35F9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E6CAAA" w14:textId="77777777" w:rsidR="00000000" w:rsidRDefault="00C01C43">
            <w:pPr>
              <w:jc w:val="right"/>
              <w:rPr>
                <w:rFonts w:eastAsia="Times New Roman"/>
              </w:rPr>
            </w:pPr>
            <w:r>
              <w:rPr>
                <w:rFonts w:ascii="Arial" w:eastAsia="Times New Roman" w:hAnsi="Arial" w:cs="Arial"/>
                <w:color w:val="000000"/>
                <w:sz w:val="20"/>
                <w:szCs w:val="20"/>
              </w:rPr>
              <w:t>(3.3)</w:t>
            </w:r>
          </w:p>
        </w:tc>
        <w:tc>
          <w:tcPr>
            <w:tcW w:w="0" w:type="auto"/>
            <w:shd w:val="clear" w:color="auto" w:fill="CCEEFF"/>
            <w:tcMar>
              <w:top w:w="30" w:type="dxa"/>
              <w:left w:w="0" w:type="dxa"/>
              <w:bottom w:w="30" w:type="dxa"/>
              <w:right w:w="20" w:type="dxa"/>
            </w:tcMar>
            <w:vAlign w:val="bottom"/>
            <w:hideMark/>
          </w:tcPr>
          <w:p w14:paraId="31F9DF68" w14:textId="77777777" w:rsidR="00000000" w:rsidRDefault="00C01C43">
            <w:pPr>
              <w:jc w:val="right"/>
              <w:rPr>
                <w:rFonts w:eastAsia="Times New Roman"/>
              </w:rPr>
            </w:pPr>
          </w:p>
        </w:tc>
      </w:tr>
      <w:tr w:rsidR="00000000" w14:paraId="723AF581" w14:textId="77777777">
        <w:trPr>
          <w:divId w:val="475074270"/>
        </w:trPr>
        <w:tc>
          <w:tcPr>
            <w:tcW w:w="0" w:type="auto"/>
            <w:gridSpan w:val="3"/>
            <w:shd w:val="clear" w:color="auto" w:fill="FFFFFF"/>
            <w:tcMar>
              <w:top w:w="30" w:type="dxa"/>
              <w:left w:w="20" w:type="dxa"/>
              <w:bottom w:w="30" w:type="dxa"/>
              <w:right w:w="20" w:type="dxa"/>
            </w:tcMar>
            <w:vAlign w:val="bottom"/>
            <w:hideMark/>
          </w:tcPr>
          <w:p w14:paraId="459AC5DD" w14:textId="77777777" w:rsidR="00000000" w:rsidRDefault="00C01C43">
            <w:pPr>
              <w:rPr>
                <w:rFonts w:eastAsia="Times New Roman"/>
              </w:rPr>
            </w:pPr>
            <w:r>
              <w:rPr>
                <w:rFonts w:ascii="Arial" w:eastAsia="Times New Roman" w:hAnsi="Arial" w:cs="Arial"/>
                <w:color w:val="000000"/>
                <w:sz w:val="20"/>
                <w:szCs w:val="20"/>
              </w:rPr>
              <w:t>U.S. tax on deemed dividends</w:t>
            </w:r>
          </w:p>
        </w:tc>
        <w:tc>
          <w:tcPr>
            <w:tcW w:w="0" w:type="auto"/>
            <w:gridSpan w:val="2"/>
            <w:shd w:val="clear" w:color="auto" w:fill="FFFFFF"/>
            <w:tcMar>
              <w:top w:w="30" w:type="dxa"/>
              <w:left w:w="20" w:type="dxa"/>
              <w:bottom w:w="30" w:type="dxa"/>
              <w:right w:w="0" w:type="dxa"/>
            </w:tcMar>
            <w:vAlign w:val="bottom"/>
            <w:hideMark/>
          </w:tcPr>
          <w:p w14:paraId="5DA58A9F"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2C3DFB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A1CD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E02D48" w14:textId="77777777" w:rsidR="00000000" w:rsidRDefault="00C01C43">
            <w:pPr>
              <w:jc w:val="right"/>
              <w:rPr>
                <w:rFonts w:eastAsia="Times New Roman"/>
              </w:rPr>
            </w:pPr>
            <w:r>
              <w:rPr>
                <w:rFonts w:ascii="Arial" w:eastAsia="Times New Roman" w:hAnsi="Arial" w:cs="Arial"/>
                <w:color w:val="000000"/>
                <w:sz w:val="20"/>
                <w:szCs w:val="20"/>
              </w:rPr>
              <w:t>0.9 </w:t>
            </w:r>
          </w:p>
        </w:tc>
        <w:tc>
          <w:tcPr>
            <w:tcW w:w="0" w:type="auto"/>
            <w:shd w:val="clear" w:color="auto" w:fill="FFFFFF"/>
            <w:tcMar>
              <w:top w:w="30" w:type="dxa"/>
              <w:left w:w="0" w:type="dxa"/>
              <w:bottom w:w="30" w:type="dxa"/>
              <w:right w:w="20" w:type="dxa"/>
            </w:tcMar>
            <w:vAlign w:val="bottom"/>
            <w:hideMark/>
          </w:tcPr>
          <w:p w14:paraId="6735F53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CA1C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A66F76" w14:textId="77777777" w:rsidR="00000000" w:rsidRDefault="00C01C43">
            <w:pPr>
              <w:jc w:val="right"/>
              <w:rPr>
                <w:rFonts w:eastAsia="Times New Roman"/>
              </w:rPr>
            </w:pPr>
            <w:r>
              <w:rPr>
                <w:rFonts w:ascii="Arial" w:eastAsia="Times New Roman" w:hAnsi="Arial" w:cs="Arial"/>
                <w:color w:val="000000"/>
                <w:sz w:val="20"/>
                <w:szCs w:val="20"/>
              </w:rPr>
              <w:t>(0.4)</w:t>
            </w:r>
          </w:p>
        </w:tc>
        <w:tc>
          <w:tcPr>
            <w:tcW w:w="0" w:type="auto"/>
            <w:shd w:val="clear" w:color="auto" w:fill="FFFFFF"/>
            <w:tcMar>
              <w:top w:w="30" w:type="dxa"/>
              <w:left w:w="0" w:type="dxa"/>
              <w:bottom w:w="30" w:type="dxa"/>
              <w:right w:w="20" w:type="dxa"/>
            </w:tcMar>
            <w:vAlign w:val="bottom"/>
            <w:hideMark/>
          </w:tcPr>
          <w:p w14:paraId="2B0ECF7F" w14:textId="77777777" w:rsidR="00000000" w:rsidRDefault="00C01C43">
            <w:pPr>
              <w:jc w:val="right"/>
              <w:rPr>
                <w:rFonts w:eastAsia="Times New Roman"/>
              </w:rPr>
            </w:pPr>
          </w:p>
        </w:tc>
      </w:tr>
      <w:tr w:rsidR="00000000" w14:paraId="5A004898" w14:textId="77777777">
        <w:trPr>
          <w:divId w:val="475074270"/>
        </w:trPr>
        <w:tc>
          <w:tcPr>
            <w:tcW w:w="0" w:type="auto"/>
            <w:gridSpan w:val="3"/>
            <w:shd w:val="clear" w:color="auto" w:fill="CCEEFF"/>
            <w:tcMar>
              <w:top w:w="30" w:type="dxa"/>
              <w:left w:w="20" w:type="dxa"/>
              <w:bottom w:w="30" w:type="dxa"/>
              <w:right w:w="20" w:type="dxa"/>
            </w:tcMar>
            <w:vAlign w:val="bottom"/>
            <w:hideMark/>
          </w:tcPr>
          <w:p w14:paraId="5AE942CF" w14:textId="77777777" w:rsidR="00000000" w:rsidRDefault="00C01C43">
            <w:pPr>
              <w:rPr>
                <w:rFonts w:eastAsia="Times New Roman"/>
              </w:rPr>
            </w:pPr>
            <w:r>
              <w:rPr>
                <w:rFonts w:ascii="Arial" w:eastAsia="Times New Roman" w:hAnsi="Arial" w:cs="Arial"/>
                <w:color w:val="000000"/>
                <w:sz w:val="20"/>
                <w:szCs w:val="20"/>
              </w:rPr>
              <w:t>Tax Act - Transition Tax</w:t>
            </w:r>
          </w:p>
        </w:tc>
        <w:tc>
          <w:tcPr>
            <w:tcW w:w="0" w:type="auto"/>
            <w:gridSpan w:val="2"/>
            <w:shd w:val="clear" w:color="auto" w:fill="CCEEFF"/>
            <w:tcMar>
              <w:top w:w="30" w:type="dxa"/>
              <w:left w:w="20" w:type="dxa"/>
              <w:bottom w:w="30" w:type="dxa"/>
              <w:right w:w="0" w:type="dxa"/>
            </w:tcMar>
            <w:vAlign w:val="bottom"/>
            <w:hideMark/>
          </w:tcPr>
          <w:p w14:paraId="41B4DD3C" w14:textId="77777777" w:rsidR="00000000" w:rsidRDefault="00C01C43">
            <w:pPr>
              <w:jc w:val="right"/>
              <w:rPr>
                <w:rFonts w:eastAsia="Times New Roman"/>
              </w:rPr>
            </w:pPr>
            <w:r>
              <w:rPr>
                <w:rFonts w:ascii="Arial" w:eastAsia="Times New Roman" w:hAnsi="Arial" w:cs="Arial"/>
                <w:color w:val="000000"/>
                <w:sz w:val="20"/>
                <w:szCs w:val="20"/>
              </w:rPr>
              <w:t>(0.7)</w:t>
            </w:r>
          </w:p>
        </w:tc>
        <w:tc>
          <w:tcPr>
            <w:tcW w:w="0" w:type="auto"/>
            <w:shd w:val="clear" w:color="auto" w:fill="CCEEFF"/>
            <w:tcMar>
              <w:top w:w="30" w:type="dxa"/>
              <w:left w:w="0" w:type="dxa"/>
              <w:bottom w:w="30" w:type="dxa"/>
              <w:right w:w="20" w:type="dxa"/>
            </w:tcMar>
            <w:vAlign w:val="bottom"/>
            <w:hideMark/>
          </w:tcPr>
          <w:p w14:paraId="52981F1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C819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34D426" w14:textId="77777777" w:rsidR="00000000" w:rsidRDefault="00C01C43">
            <w:pPr>
              <w:jc w:val="right"/>
              <w:rPr>
                <w:rFonts w:eastAsia="Times New Roman"/>
              </w:rPr>
            </w:pPr>
            <w:r>
              <w:rPr>
                <w:rFonts w:ascii="Arial" w:eastAsia="Times New Roman" w:hAnsi="Arial" w:cs="Arial"/>
                <w:color w:val="000000"/>
                <w:sz w:val="20"/>
                <w:szCs w:val="20"/>
              </w:rPr>
              <w:t>0.5 </w:t>
            </w:r>
          </w:p>
        </w:tc>
        <w:tc>
          <w:tcPr>
            <w:tcW w:w="0" w:type="auto"/>
            <w:shd w:val="clear" w:color="auto" w:fill="CCEEFF"/>
            <w:tcMar>
              <w:top w:w="30" w:type="dxa"/>
              <w:left w:w="0" w:type="dxa"/>
              <w:bottom w:w="30" w:type="dxa"/>
              <w:right w:w="20" w:type="dxa"/>
            </w:tcMar>
            <w:vAlign w:val="bottom"/>
            <w:hideMark/>
          </w:tcPr>
          <w:p w14:paraId="11BBA28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56DE1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9342BE" w14:textId="77777777" w:rsidR="00000000" w:rsidRDefault="00C01C43">
            <w:pPr>
              <w:jc w:val="right"/>
              <w:rPr>
                <w:rFonts w:eastAsia="Times New Roman"/>
              </w:rPr>
            </w:pPr>
            <w:r>
              <w:rPr>
                <w:rFonts w:ascii="Arial" w:eastAsia="Times New Roman" w:hAnsi="Arial" w:cs="Arial"/>
                <w:color w:val="000000"/>
                <w:sz w:val="20"/>
                <w:szCs w:val="20"/>
              </w:rPr>
              <w:t>0.7 </w:t>
            </w:r>
          </w:p>
        </w:tc>
        <w:tc>
          <w:tcPr>
            <w:tcW w:w="0" w:type="auto"/>
            <w:shd w:val="clear" w:color="auto" w:fill="CCEEFF"/>
            <w:tcMar>
              <w:top w:w="30" w:type="dxa"/>
              <w:left w:w="0" w:type="dxa"/>
              <w:bottom w:w="30" w:type="dxa"/>
              <w:right w:w="20" w:type="dxa"/>
            </w:tcMar>
            <w:vAlign w:val="bottom"/>
            <w:hideMark/>
          </w:tcPr>
          <w:p w14:paraId="05744ED1" w14:textId="77777777" w:rsidR="00000000" w:rsidRDefault="00C01C43">
            <w:pPr>
              <w:jc w:val="right"/>
              <w:rPr>
                <w:rFonts w:eastAsia="Times New Roman"/>
              </w:rPr>
            </w:pPr>
          </w:p>
        </w:tc>
      </w:tr>
      <w:tr w:rsidR="00000000" w14:paraId="145B488B" w14:textId="77777777">
        <w:trPr>
          <w:divId w:val="475074270"/>
        </w:trPr>
        <w:tc>
          <w:tcPr>
            <w:tcW w:w="0" w:type="auto"/>
            <w:gridSpan w:val="3"/>
            <w:shd w:val="clear" w:color="auto" w:fill="FFFFFF"/>
            <w:tcMar>
              <w:top w:w="30" w:type="dxa"/>
              <w:left w:w="20" w:type="dxa"/>
              <w:bottom w:w="30" w:type="dxa"/>
              <w:right w:w="20" w:type="dxa"/>
            </w:tcMar>
            <w:vAlign w:val="bottom"/>
            <w:hideMark/>
          </w:tcPr>
          <w:p w14:paraId="57EDD08D" w14:textId="77777777" w:rsidR="00000000" w:rsidRDefault="00C01C43">
            <w:pPr>
              <w:rPr>
                <w:rFonts w:eastAsia="Times New Roman"/>
              </w:rPr>
            </w:pPr>
            <w:r>
              <w:rPr>
                <w:rFonts w:ascii="Arial" w:eastAsia="Times New Roman" w:hAnsi="Arial" w:cs="Arial"/>
                <w:color w:val="000000"/>
                <w:sz w:val="20"/>
                <w:szCs w:val="20"/>
              </w:rPr>
              <w:t>Tax Reform - GILTI</w:t>
            </w:r>
          </w:p>
        </w:tc>
        <w:tc>
          <w:tcPr>
            <w:tcW w:w="0" w:type="auto"/>
            <w:gridSpan w:val="2"/>
            <w:shd w:val="clear" w:color="auto" w:fill="FFFFFF"/>
            <w:tcMar>
              <w:top w:w="30" w:type="dxa"/>
              <w:left w:w="20" w:type="dxa"/>
              <w:bottom w:w="30" w:type="dxa"/>
              <w:right w:w="0" w:type="dxa"/>
            </w:tcMar>
            <w:vAlign w:val="bottom"/>
            <w:hideMark/>
          </w:tcPr>
          <w:p w14:paraId="59668930" w14:textId="77777777" w:rsidR="00000000" w:rsidRDefault="00C01C43">
            <w:pPr>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14:paraId="4DA9D9B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12352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8E9DD8" w14:textId="77777777" w:rsidR="00000000" w:rsidRDefault="00C01C43">
            <w:pPr>
              <w:jc w:val="right"/>
              <w:rPr>
                <w:rFonts w:eastAsia="Times New Roman"/>
              </w:rPr>
            </w:pPr>
            <w:r>
              <w:rPr>
                <w:rFonts w:ascii="Arial" w:eastAsia="Times New Roman" w:hAnsi="Arial" w:cs="Arial"/>
                <w:color w:val="000000"/>
                <w:sz w:val="20"/>
                <w:szCs w:val="20"/>
              </w:rPr>
              <w:t>6.0 </w:t>
            </w:r>
          </w:p>
        </w:tc>
        <w:tc>
          <w:tcPr>
            <w:tcW w:w="0" w:type="auto"/>
            <w:shd w:val="clear" w:color="auto" w:fill="FFFFFF"/>
            <w:tcMar>
              <w:top w:w="30" w:type="dxa"/>
              <w:left w:w="0" w:type="dxa"/>
              <w:bottom w:w="30" w:type="dxa"/>
              <w:right w:w="20" w:type="dxa"/>
            </w:tcMar>
            <w:vAlign w:val="bottom"/>
            <w:hideMark/>
          </w:tcPr>
          <w:p w14:paraId="234A3E8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4DEA2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1CD8F3" w14:textId="77777777" w:rsidR="00000000" w:rsidRDefault="00C01C43">
            <w:pPr>
              <w:jc w:val="right"/>
              <w:rPr>
                <w:rFonts w:eastAsia="Times New Roman"/>
              </w:rPr>
            </w:pPr>
            <w:r>
              <w:rPr>
                <w:rFonts w:ascii="Arial" w:eastAsia="Times New Roman" w:hAnsi="Arial" w:cs="Arial"/>
                <w:color w:val="000000"/>
                <w:sz w:val="20"/>
                <w:szCs w:val="20"/>
              </w:rPr>
              <w:t>9.7 </w:t>
            </w:r>
          </w:p>
        </w:tc>
        <w:tc>
          <w:tcPr>
            <w:tcW w:w="0" w:type="auto"/>
            <w:shd w:val="clear" w:color="auto" w:fill="FFFFFF"/>
            <w:tcMar>
              <w:top w:w="30" w:type="dxa"/>
              <w:left w:w="0" w:type="dxa"/>
              <w:bottom w:w="30" w:type="dxa"/>
              <w:right w:w="20" w:type="dxa"/>
            </w:tcMar>
            <w:vAlign w:val="bottom"/>
            <w:hideMark/>
          </w:tcPr>
          <w:p w14:paraId="17BBA2A5" w14:textId="77777777" w:rsidR="00000000" w:rsidRDefault="00C01C43">
            <w:pPr>
              <w:jc w:val="right"/>
              <w:rPr>
                <w:rFonts w:eastAsia="Times New Roman"/>
              </w:rPr>
            </w:pPr>
          </w:p>
        </w:tc>
      </w:tr>
      <w:tr w:rsidR="00000000" w14:paraId="0B6E1DA3" w14:textId="77777777">
        <w:trPr>
          <w:divId w:val="475074270"/>
        </w:trPr>
        <w:tc>
          <w:tcPr>
            <w:tcW w:w="0" w:type="auto"/>
            <w:gridSpan w:val="3"/>
            <w:shd w:val="clear" w:color="auto" w:fill="CCEEFF"/>
            <w:tcMar>
              <w:top w:w="30" w:type="dxa"/>
              <w:left w:w="20" w:type="dxa"/>
              <w:bottom w:w="30" w:type="dxa"/>
              <w:right w:w="20" w:type="dxa"/>
            </w:tcMar>
            <w:vAlign w:val="bottom"/>
            <w:hideMark/>
          </w:tcPr>
          <w:p w14:paraId="0CFAC39B" w14:textId="77777777" w:rsidR="00000000" w:rsidRDefault="00C01C43">
            <w:pPr>
              <w:rPr>
                <w:rFonts w:eastAsia="Times New Roman"/>
              </w:rPr>
            </w:pPr>
            <w:r>
              <w:rPr>
                <w:rFonts w:ascii="Arial" w:eastAsia="Times New Roman" w:hAnsi="Arial" w:cs="Arial"/>
                <w:color w:val="000000"/>
                <w:sz w:val="20"/>
                <w:szCs w:val="20"/>
              </w:rPr>
              <w:t>Tax Reform - BEAT</w:t>
            </w:r>
          </w:p>
        </w:tc>
        <w:tc>
          <w:tcPr>
            <w:tcW w:w="0" w:type="auto"/>
            <w:gridSpan w:val="2"/>
            <w:shd w:val="clear" w:color="auto" w:fill="CCEEFF"/>
            <w:tcMar>
              <w:top w:w="30" w:type="dxa"/>
              <w:left w:w="20" w:type="dxa"/>
              <w:bottom w:w="30" w:type="dxa"/>
              <w:right w:w="0" w:type="dxa"/>
            </w:tcMar>
            <w:vAlign w:val="bottom"/>
            <w:hideMark/>
          </w:tcPr>
          <w:p w14:paraId="0B2ED340" w14:textId="77777777" w:rsidR="00000000" w:rsidRDefault="00C01C43">
            <w:pPr>
              <w:jc w:val="right"/>
              <w:rPr>
                <w:rFonts w:eastAsia="Times New Roman"/>
              </w:rPr>
            </w:pPr>
            <w:r>
              <w:rPr>
                <w:rFonts w:ascii="Arial" w:eastAsia="Times New Roman" w:hAnsi="Arial" w:cs="Arial"/>
                <w:color w:val="000000"/>
                <w:sz w:val="20"/>
                <w:szCs w:val="20"/>
              </w:rPr>
              <w:t>1.4 </w:t>
            </w:r>
          </w:p>
        </w:tc>
        <w:tc>
          <w:tcPr>
            <w:tcW w:w="0" w:type="auto"/>
            <w:shd w:val="clear" w:color="auto" w:fill="CCEEFF"/>
            <w:tcMar>
              <w:top w:w="30" w:type="dxa"/>
              <w:left w:w="0" w:type="dxa"/>
              <w:bottom w:w="30" w:type="dxa"/>
              <w:right w:w="20" w:type="dxa"/>
            </w:tcMar>
            <w:vAlign w:val="bottom"/>
            <w:hideMark/>
          </w:tcPr>
          <w:p w14:paraId="1E6AEBB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2489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0792A9" w14:textId="77777777" w:rsidR="00000000" w:rsidRDefault="00C01C43">
            <w:pPr>
              <w:jc w:val="right"/>
              <w:rPr>
                <w:rFonts w:eastAsia="Times New Roman"/>
              </w:rPr>
            </w:pPr>
            <w:r>
              <w:rPr>
                <w:rFonts w:ascii="Arial" w:eastAsia="Times New Roman" w:hAnsi="Arial" w:cs="Arial"/>
                <w:color w:val="000000"/>
                <w:sz w:val="20"/>
                <w:szCs w:val="20"/>
              </w:rPr>
              <w:t>0.1 </w:t>
            </w:r>
          </w:p>
        </w:tc>
        <w:tc>
          <w:tcPr>
            <w:tcW w:w="0" w:type="auto"/>
            <w:shd w:val="clear" w:color="auto" w:fill="CCEEFF"/>
            <w:tcMar>
              <w:top w:w="30" w:type="dxa"/>
              <w:left w:w="0" w:type="dxa"/>
              <w:bottom w:w="30" w:type="dxa"/>
              <w:right w:w="20" w:type="dxa"/>
            </w:tcMar>
            <w:vAlign w:val="bottom"/>
            <w:hideMark/>
          </w:tcPr>
          <w:p w14:paraId="6792340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E2300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596DAF" w14:textId="77777777" w:rsidR="00000000" w:rsidRDefault="00C01C43">
            <w:pPr>
              <w:jc w:val="right"/>
              <w:rPr>
                <w:rFonts w:eastAsia="Times New Roman"/>
              </w:rPr>
            </w:pPr>
            <w:r>
              <w:rPr>
                <w:rFonts w:ascii="Arial" w:eastAsia="Times New Roman" w:hAnsi="Arial" w:cs="Arial"/>
                <w:color w:val="000000"/>
                <w:sz w:val="20"/>
                <w:szCs w:val="20"/>
              </w:rPr>
              <w:t>2.8 </w:t>
            </w:r>
          </w:p>
        </w:tc>
        <w:tc>
          <w:tcPr>
            <w:tcW w:w="0" w:type="auto"/>
            <w:shd w:val="clear" w:color="auto" w:fill="CCEEFF"/>
            <w:tcMar>
              <w:top w:w="30" w:type="dxa"/>
              <w:left w:w="0" w:type="dxa"/>
              <w:bottom w:w="30" w:type="dxa"/>
              <w:right w:w="20" w:type="dxa"/>
            </w:tcMar>
            <w:vAlign w:val="bottom"/>
            <w:hideMark/>
          </w:tcPr>
          <w:p w14:paraId="5FD1B734" w14:textId="77777777" w:rsidR="00000000" w:rsidRDefault="00C01C43">
            <w:pPr>
              <w:jc w:val="right"/>
              <w:rPr>
                <w:rFonts w:eastAsia="Times New Roman"/>
              </w:rPr>
            </w:pPr>
          </w:p>
        </w:tc>
      </w:tr>
      <w:tr w:rsidR="00000000" w14:paraId="52A36391" w14:textId="77777777">
        <w:trPr>
          <w:divId w:val="475074270"/>
        </w:trPr>
        <w:tc>
          <w:tcPr>
            <w:tcW w:w="0" w:type="auto"/>
            <w:gridSpan w:val="3"/>
            <w:shd w:val="clear" w:color="auto" w:fill="FFFFFF"/>
            <w:tcMar>
              <w:top w:w="30" w:type="dxa"/>
              <w:left w:w="20" w:type="dxa"/>
              <w:bottom w:w="30" w:type="dxa"/>
              <w:right w:w="20" w:type="dxa"/>
            </w:tcMar>
            <w:vAlign w:val="bottom"/>
            <w:hideMark/>
          </w:tcPr>
          <w:p w14:paraId="1A739E3B" w14:textId="77777777" w:rsidR="00000000" w:rsidRDefault="00C01C43">
            <w:pPr>
              <w:rPr>
                <w:rFonts w:eastAsia="Times New Roman"/>
              </w:rPr>
            </w:pPr>
            <w:r>
              <w:rPr>
                <w:rFonts w:ascii="Arial" w:eastAsia="Times New Roman" w:hAnsi="Arial" w:cs="Arial"/>
                <w:color w:val="000000"/>
                <w:sz w:val="20"/>
                <w:szCs w:val="20"/>
              </w:rPr>
              <w:t>Deferred tax impact on foreign unrepatriated earnings</w:t>
            </w:r>
          </w:p>
        </w:tc>
        <w:tc>
          <w:tcPr>
            <w:tcW w:w="0" w:type="auto"/>
            <w:gridSpan w:val="2"/>
            <w:shd w:val="clear" w:color="auto" w:fill="FFFFFF"/>
            <w:tcMar>
              <w:top w:w="30" w:type="dxa"/>
              <w:left w:w="20" w:type="dxa"/>
              <w:bottom w:w="30" w:type="dxa"/>
              <w:right w:w="0" w:type="dxa"/>
            </w:tcMar>
            <w:vAlign w:val="bottom"/>
            <w:hideMark/>
          </w:tcPr>
          <w:p w14:paraId="6089F0C2" w14:textId="77777777" w:rsidR="00000000" w:rsidRDefault="00C01C43">
            <w:pPr>
              <w:jc w:val="right"/>
              <w:rPr>
                <w:rFonts w:eastAsia="Times New Roman"/>
              </w:rPr>
            </w:pPr>
            <w:r>
              <w:rPr>
                <w:rFonts w:ascii="Arial" w:eastAsia="Times New Roman" w:hAnsi="Arial" w:cs="Arial"/>
                <w:color w:val="000000"/>
                <w:sz w:val="20"/>
                <w:szCs w:val="20"/>
              </w:rPr>
              <w:t>(0.9)</w:t>
            </w:r>
          </w:p>
        </w:tc>
        <w:tc>
          <w:tcPr>
            <w:tcW w:w="0" w:type="auto"/>
            <w:shd w:val="clear" w:color="auto" w:fill="FFFFFF"/>
            <w:tcMar>
              <w:top w:w="30" w:type="dxa"/>
              <w:left w:w="0" w:type="dxa"/>
              <w:bottom w:w="30" w:type="dxa"/>
              <w:right w:w="20" w:type="dxa"/>
            </w:tcMar>
            <w:vAlign w:val="bottom"/>
            <w:hideMark/>
          </w:tcPr>
          <w:p w14:paraId="26E62C9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8E50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8757BE" w14:textId="77777777" w:rsidR="00000000" w:rsidRDefault="00C01C43">
            <w:pPr>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14:paraId="4D3E0D2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8C92F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EF3E91" w14:textId="77777777" w:rsidR="00000000" w:rsidRDefault="00C01C43">
            <w:pPr>
              <w:jc w:val="right"/>
              <w:rPr>
                <w:rFonts w:eastAsia="Times New Roman"/>
              </w:rPr>
            </w:pPr>
            <w:r>
              <w:rPr>
                <w:rFonts w:ascii="Arial" w:eastAsia="Times New Roman" w:hAnsi="Arial" w:cs="Arial"/>
                <w:color w:val="000000"/>
                <w:sz w:val="20"/>
                <w:szCs w:val="20"/>
              </w:rPr>
              <w:t>(1.0)</w:t>
            </w:r>
          </w:p>
        </w:tc>
        <w:tc>
          <w:tcPr>
            <w:tcW w:w="0" w:type="auto"/>
            <w:shd w:val="clear" w:color="auto" w:fill="FFFFFF"/>
            <w:tcMar>
              <w:top w:w="30" w:type="dxa"/>
              <w:left w:w="0" w:type="dxa"/>
              <w:bottom w:w="30" w:type="dxa"/>
              <w:right w:w="20" w:type="dxa"/>
            </w:tcMar>
            <w:vAlign w:val="bottom"/>
            <w:hideMark/>
          </w:tcPr>
          <w:p w14:paraId="743FE790" w14:textId="77777777" w:rsidR="00000000" w:rsidRDefault="00C01C43">
            <w:pPr>
              <w:jc w:val="right"/>
              <w:rPr>
                <w:rFonts w:eastAsia="Times New Roman"/>
              </w:rPr>
            </w:pPr>
          </w:p>
        </w:tc>
      </w:tr>
      <w:tr w:rsidR="00000000" w14:paraId="17523B6E" w14:textId="77777777">
        <w:trPr>
          <w:divId w:val="475074270"/>
        </w:trPr>
        <w:tc>
          <w:tcPr>
            <w:tcW w:w="0" w:type="auto"/>
            <w:gridSpan w:val="3"/>
            <w:vAlign w:val="center"/>
            <w:hideMark/>
          </w:tcPr>
          <w:p w14:paraId="612F8D03" w14:textId="77777777" w:rsidR="00000000" w:rsidRDefault="00C01C43">
            <w:pPr>
              <w:jc w:val="right"/>
              <w:rPr>
                <w:rFonts w:eastAsia="Times New Roman"/>
                <w:sz w:val="20"/>
                <w:szCs w:val="20"/>
              </w:rPr>
            </w:pPr>
          </w:p>
        </w:tc>
        <w:tc>
          <w:tcPr>
            <w:tcW w:w="0" w:type="auto"/>
            <w:gridSpan w:val="3"/>
            <w:vAlign w:val="center"/>
            <w:hideMark/>
          </w:tcPr>
          <w:p w14:paraId="78419609" w14:textId="77777777" w:rsidR="00000000" w:rsidRDefault="00C01C43">
            <w:pPr>
              <w:rPr>
                <w:rFonts w:eastAsia="Times New Roman"/>
                <w:sz w:val="20"/>
                <w:szCs w:val="20"/>
              </w:rPr>
            </w:pPr>
          </w:p>
        </w:tc>
        <w:tc>
          <w:tcPr>
            <w:tcW w:w="0" w:type="auto"/>
            <w:gridSpan w:val="3"/>
            <w:vAlign w:val="center"/>
            <w:hideMark/>
          </w:tcPr>
          <w:p w14:paraId="0725D155" w14:textId="77777777" w:rsidR="00000000" w:rsidRDefault="00C01C43">
            <w:pPr>
              <w:rPr>
                <w:rFonts w:eastAsia="Times New Roman"/>
                <w:sz w:val="20"/>
                <w:szCs w:val="20"/>
              </w:rPr>
            </w:pPr>
          </w:p>
        </w:tc>
        <w:tc>
          <w:tcPr>
            <w:tcW w:w="0" w:type="auto"/>
            <w:gridSpan w:val="3"/>
            <w:vAlign w:val="center"/>
            <w:hideMark/>
          </w:tcPr>
          <w:p w14:paraId="50DC594F" w14:textId="77777777" w:rsidR="00000000" w:rsidRDefault="00C01C43">
            <w:pPr>
              <w:rPr>
                <w:rFonts w:eastAsia="Times New Roman"/>
                <w:sz w:val="20"/>
                <w:szCs w:val="20"/>
              </w:rPr>
            </w:pPr>
          </w:p>
        </w:tc>
        <w:tc>
          <w:tcPr>
            <w:tcW w:w="0" w:type="auto"/>
            <w:gridSpan w:val="3"/>
            <w:vAlign w:val="center"/>
            <w:hideMark/>
          </w:tcPr>
          <w:p w14:paraId="305B04B7" w14:textId="77777777" w:rsidR="00000000" w:rsidRDefault="00C01C43">
            <w:pPr>
              <w:rPr>
                <w:rFonts w:eastAsia="Times New Roman"/>
                <w:sz w:val="20"/>
                <w:szCs w:val="20"/>
              </w:rPr>
            </w:pPr>
          </w:p>
        </w:tc>
        <w:tc>
          <w:tcPr>
            <w:tcW w:w="0" w:type="auto"/>
            <w:gridSpan w:val="3"/>
            <w:vAlign w:val="center"/>
            <w:hideMark/>
          </w:tcPr>
          <w:p w14:paraId="2ED0B23B" w14:textId="77777777" w:rsidR="00000000" w:rsidRDefault="00C01C43">
            <w:pPr>
              <w:rPr>
                <w:rFonts w:eastAsia="Times New Roman"/>
                <w:sz w:val="20"/>
                <w:szCs w:val="20"/>
              </w:rPr>
            </w:pPr>
          </w:p>
        </w:tc>
      </w:tr>
      <w:tr w:rsidR="00000000" w14:paraId="415F68F0" w14:textId="77777777">
        <w:trPr>
          <w:divId w:val="475074270"/>
        </w:trPr>
        <w:tc>
          <w:tcPr>
            <w:tcW w:w="0" w:type="auto"/>
            <w:gridSpan w:val="3"/>
            <w:shd w:val="clear" w:color="auto" w:fill="CCEEFF"/>
            <w:tcMar>
              <w:top w:w="30" w:type="dxa"/>
              <w:left w:w="20" w:type="dxa"/>
              <w:bottom w:w="30" w:type="dxa"/>
              <w:right w:w="20" w:type="dxa"/>
            </w:tcMar>
            <w:vAlign w:val="bottom"/>
            <w:hideMark/>
          </w:tcPr>
          <w:p w14:paraId="48BEB511" w14:textId="77777777" w:rsidR="00000000" w:rsidRDefault="00C01C43">
            <w:pPr>
              <w:rPr>
                <w:rFonts w:eastAsia="Times New Roman"/>
              </w:rPr>
            </w:pPr>
            <w:r>
              <w:rPr>
                <w:rFonts w:ascii="Arial" w:eastAsia="Times New Roman" w:hAnsi="Arial" w:cs="Arial"/>
                <w:color w:val="000000"/>
                <w:sz w:val="20"/>
                <w:szCs w:val="20"/>
              </w:rPr>
              <w:t>Goodwill impairment</w:t>
            </w:r>
          </w:p>
        </w:tc>
        <w:tc>
          <w:tcPr>
            <w:tcW w:w="0" w:type="auto"/>
            <w:gridSpan w:val="2"/>
            <w:shd w:val="clear" w:color="auto" w:fill="CCEEFF"/>
            <w:tcMar>
              <w:top w:w="30" w:type="dxa"/>
              <w:left w:w="20" w:type="dxa"/>
              <w:bottom w:w="30" w:type="dxa"/>
              <w:right w:w="0" w:type="dxa"/>
            </w:tcMar>
            <w:vAlign w:val="bottom"/>
            <w:hideMark/>
          </w:tcPr>
          <w:p w14:paraId="5735194D"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2B188DC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4710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70C993"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3AF1D07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62FD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F5BB5F"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6621FFCE" w14:textId="77777777" w:rsidR="00000000" w:rsidRDefault="00C01C43">
            <w:pPr>
              <w:jc w:val="right"/>
              <w:rPr>
                <w:rFonts w:eastAsia="Times New Roman"/>
              </w:rPr>
            </w:pPr>
          </w:p>
        </w:tc>
      </w:tr>
      <w:tr w:rsidR="00000000" w14:paraId="6B9E7D3F" w14:textId="77777777">
        <w:trPr>
          <w:divId w:val="475074270"/>
        </w:trPr>
        <w:tc>
          <w:tcPr>
            <w:tcW w:w="0" w:type="auto"/>
            <w:gridSpan w:val="3"/>
            <w:shd w:val="clear" w:color="auto" w:fill="FFFFFF"/>
            <w:tcMar>
              <w:top w:w="30" w:type="dxa"/>
              <w:left w:w="20" w:type="dxa"/>
              <w:bottom w:w="30" w:type="dxa"/>
              <w:right w:w="20" w:type="dxa"/>
            </w:tcMar>
            <w:vAlign w:val="bottom"/>
            <w:hideMark/>
          </w:tcPr>
          <w:p w14:paraId="044996A2" w14:textId="77777777" w:rsidR="00000000" w:rsidRDefault="00C01C43">
            <w:pPr>
              <w:rPr>
                <w:rFonts w:eastAsia="Times New Roman"/>
              </w:rPr>
            </w:pPr>
            <w:r>
              <w:rPr>
                <w:rFonts w:ascii="Arial" w:eastAsia="Times New Roman" w:hAnsi="Arial" w:cs="Arial"/>
                <w:color w:val="000000"/>
                <w:sz w:val="20"/>
                <w:szCs w:val="20"/>
              </w:rPr>
              <w:t>Uncertain tax positions</w:t>
            </w:r>
          </w:p>
        </w:tc>
        <w:tc>
          <w:tcPr>
            <w:tcW w:w="0" w:type="auto"/>
            <w:gridSpan w:val="2"/>
            <w:shd w:val="clear" w:color="auto" w:fill="FFFFFF"/>
            <w:tcMar>
              <w:top w:w="30" w:type="dxa"/>
              <w:left w:w="20" w:type="dxa"/>
              <w:bottom w:w="30" w:type="dxa"/>
              <w:right w:w="0" w:type="dxa"/>
            </w:tcMar>
            <w:vAlign w:val="bottom"/>
            <w:hideMark/>
          </w:tcPr>
          <w:p w14:paraId="1624775B" w14:textId="77777777" w:rsidR="00000000" w:rsidRDefault="00C01C43">
            <w:pPr>
              <w:jc w:val="right"/>
              <w:rPr>
                <w:rFonts w:eastAsia="Times New Roman"/>
              </w:rPr>
            </w:pPr>
            <w:r>
              <w:rPr>
                <w:rFonts w:ascii="Arial" w:eastAsia="Times New Roman" w:hAnsi="Arial" w:cs="Arial"/>
                <w:color w:val="000000"/>
                <w:sz w:val="20"/>
                <w:szCs w:val="20"/>
              </w:rPr>
              <w:t>6.8 </w:t>
            </w:r>
          </w:p>
        </w:tc>
        <w:tc>
          <w:tcPr>
            <w:tcW w:w="0" w:type="auto"/>
            <w:shd w:val="clear" w:color="auto" w:fill="FFFFFF"/>
            <w:tcMar>
              <w:top w:w="30" w:type="dxa"/>
              <w:left w:w="0" w:type="dxa"/>
              <w:bottom w:w="30" w:type="dxa"/>
              <w:right w:w="20" w:type="dxa"/>
            </w:tcMar>
            <w:vAlign w:val="bottom"/>
            <w:hideMark/>
          </w:tcPr>
          <w:p w14:paraId="1003A1D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5AA3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41229B" w14:textId="77777777" w:rsidR="00000000" w:rsidRDefault="00C01C43">
            <w:pPr>
              <w:jc w:val="right"/>
              <w:rPr>
                <w:rFonts w:eastAsia="Times New Roman"/>
              </w:rPr>
            </w:pPr>
            <w:r>
              <w:rPr>
                <w:rFonts w:ascii="Arial" w:eastAsia="Times New Roman" w:hAnsi="Arial" w:cs="Arial"/>
                <w:color w:val="000000"/>
                <w:sz w:val="20"/>
                <w:szCs w:val="20"/>
              </w:rPr>
              <w:t>8.2 </w:t>
            </w:r>
          </w:p>
        </w:tc>
        <w:tc>
          <w:tcPr>
            <w:tcW w:w="0" w:type="auto"/>
            <w:shd w:val="clear" w:color="auto" w:fill="FFFFFF"/>
            <w:tcMar>
              <w:top w:w="30" w:type="dxa"/>
              <w:left w:w="0" w:type="dxa"/>
              <w:bottom w:w="30" w:type="dxa"/>
              <w:right w:w="20" w:type="dxa"/>
            </w:tcMar>
            <w:vAlign w:val="bottom"/>
            <w:hideMark/>
          </w:tcPr>
          <w:p w14:paraId="1ED9678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6684D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3B056" w14:textId="77777777" w:rsidR="00000000" w:rsidRDefault="00C01C43">
            <w:pPr>
              <w:jc w:val="right"/>
              <w:rPr>
                <w:rFonts w:eastAsia="Times New Roman"/>
              </w:rPr>
            </w:pPr>
            <w:r>
              <w:rPr>
                <w:rFonts w:ascii="Arial" w:eastAsia="Times New Roman" w:hAnsi="Arial" w:cs="Arial"/>
                <w:color w:val="000000"/>
                <w:sz w:val="20"/>
                <w:szCs w:val="20"/>
              </w:rPr>
              <w:t>3.4 </w:t>
            </w:r>
          </w:p>
        </w:tc>
        <w:tc>
          <w:tcPr>
            <w:tcW w:w="0" w:type="auto"/>
            <w:shd w:val="clear" w:color="auto" w:fill="FFFFFF"/>
            <w:tcMar>
              <w:top w:w="30" w:type="dxa"/>
              <w:left w:w="0" w:type="dxa"/>
              <w:bottom w:w="30" w:type="dxa"/>
              <w:right w:w="20" w:type="dxa"/>
            </w:tcMar>
            <w:vAlign w:val="bottom"/>
            <w:hideMark/>
          </w:tcPr>
          <w:p w14:paraId="3D908080" w14:textId="77777777" w:rsidR="00000000" w:rsidRDefault="00C01C43">
            <w:pPr>
              <w:jc w:val="right"/>
              <w:rPr>
                <w:rFonts w:eastAsia="Times New Roman"/>
              </w:rPr>
            </w:pPr>
          </w:p>
        </w:tc>
      </w:tr>
      <w:tr w:rsidR="00000000" w14:paraId="27C62235" w14:textId="77777777">
        <w:trPr>
          <w:divId w:val="475074270"/>
        </w:trPr>
        <w:tc>
          <w:tcPr>
            <w:tcW w:w="0" w:type="auto"/>
            <w:gridSpan w:val="3"/>
            <w:shd w:val="clear" w:color="auto" w:fill="CCEEFF"/>
            <w:tcMar>
              <w:top w:w="30" w:type="dxa"/>
              <w:left w:w="20" w:type="dxa"/>
              <w:bottom w:w="30" w:type="dxa"/>
              <w:right w:w="20" w:type="dxa"/>
            </w:tcMar>
            <w:vAlign w:val="bottom"/>
            <w:hideMark/>
          </w:tcPr>
          <w:p w14:paraId="3A37D66B" w14:textId="77777777" w:rsidR="00000000" w:rsidRDefault="00C01C43">
            <w:pPr>
              <w:rPr>
                <w:rFonts w:eastAsia="Times New Roman"/>
              </w:rPr>
            </w:pPr>
            <w:r>
              <w:rPr>
                <w:rFonts w:ascii="Arial" w:eastAsia="Times New Roman" w:hAnsi="Arial" w:cs="Arial"/>
                <w:color w:val="000000"/>
                <w:sz w:val="20"/>
                <w:szCs w:val="20"/>
              </w:rPr>
              <w:t>Foreign currency adjustments</w:t>
            </w:r>
          </w:p>
        </w:tc>
        <w:tc>
          <w:tcPr>
            <w:tcW w:w="0" w:type="auto"/>
            <w:gridSpan w:val="2"/>
            <w:shd w:val="clear" w:color="auto" w:fill="CCEEFF"/>
            <w:tcMar>
              <w:top w:w="30" w:type="dxa"/>
              <w:left w:w="20" w:type="dxa"/>
              <w:bottom w:w="30" w:type="dxa"/>
              <w:right w:w="0" w:type="dxa"/>
            </w:tcMar>
            <w:vAlign w:val="bottom"/>
            <w:hideMark/>
          </w:tcPr>
          <w:p w14:paraId="0B299C85" w14:textId="77777777" w:rsidR="00000000" w:rsidRDefault="00C01C43">
            <w:pPr>
              <w:jc w:val="right"/>
              <w:rPr>
                <w:rFonts w:eastAsia="Times New Roman"/>
              </w:rPr>
            </w:pPr>
            <w:r>
              <w:rPr>
                <w:rFonts w:ascii="Arial" w:eastAsia="Times New Roman" w:hAnsi="Arial" w:cs="Arial"/>
                <w:color w:val="000000"/>
                <w:sz w:val="20"/>
                <w:szCs w:val="20"/>
              </w:rPr>
              <w:t>(2.1)</w:t>
            </w:r>
          </w:p>
        </w:tc>
        <w:tc>
          <w:tcPr>
            <w:tcW w:w="0" w:type="auto"/>
            <w:shd w:val="clear" w:color="auto" w:fill="CCEEFF"/>
            <w:tcMar>
              <w:top w:w="30" w:type="dxa"/>
              <w:left w:w="0" w:type="dxa"/>
              <w:bottom w:w="30" w:type="dxa"/>
              <w:right w:w="20" w:type="dxa"/>
            </w:tcMar>
            <w:vAlign w:val="bottom"/>
            <w:hideMark/>
          </w:tcPr>
          <w:p w14:paraId="56663F0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8CEFE6"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DC03CC" w14:textId="77777777" w:rsidR="00000000" w:rsidRDefault="00C01C43">
            <w:pPr>
              <w:jc w:val="right"/>
              <w:rPr>
                <w:rFonts w:eastAsia="Times New Roman"/>
              </w:rPr>
            </w:pPr>
            <w:r>
              <w:rPr>
                <w:rFonts w:ascii="Arial" w:eastAsia="Times New Roman" w:hAnsi="Arial" w:cs="Arial"/>
                <w:color w:val="000000"/>
                <w:sz w:val="20"/>
                <w:szCs w:val="20"/>
              </w:rPr>
              <w:t>(6.1)</w:t>
            </w:r>
          </w:p>
        </w:tc>
        <w:tc>
          <w:tcPr>
            <w:tcW w:w="0" w:type="auto"/>
            <w:shd w:val="clear" w:color="auto" w:fill="CCEEFF"/>
            <w:tcMar>
              <w:top w:w="30" w:type="dxa"/>
              <w:left w:w="0" w:type="dxa"/>
              <w:bottom w:w="30" w:type="dxa"/>
              <w:right w:w="20" w:type="dxa"/>
            </w:tcMar>
            <w:vAlign w:val="bottom"/>
            <w:hideMark/>
          </w:tcPr>
          <w:p w14:paraId="0B8AA0A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0C2B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7B915F" w14:textId="77777777" w:rsidR="00000000" w:rsidRDefault="00C01C43">
            <w:pPr>
              <w:jc w:val="right"/>
              <w:rPr>
                <w:rFonts w:eastAsia="Times New Roman"/>
              </w:rPr>
            </w:pPr>
            <w:r>
              <w:rPr>
                <w:rFonts w:ascii="Arial" w:eastAsia="Times New Roman" w:hAnsi="Arial" w:cs="Arial"/>
                <w:color w:val="000000"/>
                <w:sz w:val="20"/>
                <w:szCs w:val="20"/>
              </w:rPr>
              <w:t>2.2 </w:t>
            </w:r>
          </w:p>
        </w:tc>
        <w:tc>
          <w:tcPr>
            <w:tcW w:w="0" w:type="auto"/>
            <w:shd w:val="clear" w:color="auto" w:fill="CCEEFF"/>
            <w:tcMar>
              <w:top w:w="30" w:type="dxa"/>
              <w:left w:w="0" w:type="dxa"/>
              <w:bottom w:w="30" w:type="dxa"/>
              <w:right w:w="20" w:type="dxa"/>
            </w:tcMar>
            <w:vAlign w:val="bottom"/>
            <w:hideMark/>
          </w:tcPr>
          <w:p w14:paraId="3284B2A5" w14:textId="77777777" w:rsidR="00000000" w:rsidRDefault="00C01C43">
            <w:pPr>
              <w:jc w:val="right"/>
              <w:rPr>
                <w:rFonts w:eastAsia="Times New Roman"/>
              </w:rPr>
            </w:pPr>
          </w:p>
        </w:tc>
      </w:tr>
      <w:tr w:rsidR="00000000" w14:paraId="71973487" w14:textId="77777777">
        <w:trPr>
          <w:divId w:val="475074270"/>
        </w:trPr>
        <w:tc>
          <w:tcPr>
            <w:tcW w:w="0" w:type="auto"/>
            <w:gridSpan w:val="3"/>
            <w:shd w:val="clear" w:color="auto" w:fill="FFFFFF"/>
            <w:tcMar>
              <w:top w:w="30" w:type="dxa"/>
              <w:left w:w="20" w:type="dxa"/>
              <w:bottom w:w="30" w:type="dxa"/>
              <w:right w:w="20" w:type="dxa"/>
            </w:tcMar>
            <w:vAlign w:val="bottom"/>
            <w:hideMark/>
          </w:tcPr>
          <w:p w14:paraId="771B22EB" w14:textId="77777777" w:rsidR="00000000" w:rsidRDefault="00C01C43">
            <w:pPr>
              <w:rPr>
                <w:rFonts w:eastAsia="Times New Roman"/>
              </w:rPr>
            </w:pPr>
            <w:r>
              <w:rPr>
                <w:rFonts w:ascii="Arial" w:eastAsia="Times New Roman" w:hAnsi="Arial" w:cs="Arial"/>
                <w:color w:val="000000"/>
                <w:sz w:val="20"/>
                <w:szCs w:val="20"/>
              </w:rPr>
              <w:t>Intercompany interest transfer pricing adjustment</w:t>
            </w:r>
          </w:p>
        </w:tc>
        <w:tc>
          <w:tcPr>
            <w:tcW w:w="0" w:type="auto"/>
            <w:gridSpan w:val="2"/>
            <w:shd w:val="clear" w:color="auto" w:fill="FFFFFF"/>
            <w:tcMar>
              <w:top w:w="30" w:type="dxa"/>
              <w:left w:w="20" w:type="dxa"/>
              <w:bottom w:w="30" w:type="dxa"/>
              <w:right w:w="0" w:type="dxa"/>
            </w:tcMar>
            <w:vAlign w:val="bottom"/>
            <w:hideMark/>
          </w:tcPr>
          <w:p w14:paraId="67177F24" w14:textId="77777777" w:rsidR="00000000" w:rsidRDefault="00C01C43">
            <w:pPr>
              <w:jc w:val="right"/>
              <w:rPr>
                <w:rFonts w:eastAsia="Times New Roman"/>
              </w:rPr>
            </w:pPr>
            <w:r>
              <w:rPr>
                <w:rFonts w:ascii="Arial" w:eastAsia="Times New Roman" w:hAnsi="Arial" w:cs="Arial"/>
                <w:color w:val="000000"/>
                <w:sz w:val="20"/>
                <w:szCs w:val="20"/>
              </w:rPr>
              <w:t>2.0 </w:t>
            </w:r>
          </w:p>
        </w:tc>
        <w:tc>
          <w:tcPr>
            <w:tcW w:w="0" w:type="auto"/>
            <w:shd w:val="clear" w:color="auto" w:fill="FFFFFF"/>
            <w:tcMar>
              <w:top w:w="30" w:type="dxa"/>
              <w:left w:w="0" w:type="dxa"/>
              <w:bottom w:w="30" w:type="dxa"/>
              <w:right w:w="20" w:type="dxa"/>
            </w:tcMar>
            <w:vAlign w:val="bottom"/>
            <w:hideMark/>
          </w:tcPr>
          <w:p w14:paraId="0B7565F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57F0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78437B" w14:textId="77777777" w:rsidR="00000000" w:rsidRDefault="00C01C43">
            <w:pPr>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14:paraId="2EC1A82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C3A7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3C4C83" w14:textId="77777777" w:rsidR="00000000" w:rsidRDefault="00C01C43">
            <w:pPr>
              <w:jc w:val="right"/>
              <w:rPr>
                <w:rFonts w:eastAsia="Times New Roman"/>
              </w:rPr>
            </w:pPr>
            <w:r>
              <w:rPr>
                <w:rFonts w:ascii="Arial" w:eastAsia="Times New Roman" w:hAnsi="Arial" w:cs="Arial"/>
                <w:color w:val="000000"/>
                <w:sz w:val="20"/>
                <w:szCs w:val="20"/>
              </w:rPr>
              <w:t>1.5 </w:t>
            </w:r>
          </w:p>
        </w:tc>
        <w:tc>
          <w:tcPr>
            <w:tcW w:w="0" w:type="auto"/>
            <w:shd w:val="clear" w:color="auto" w:fill="FFFFFF"/>
            <w:tcMar>
              <w:top w:w="30" w:type="dxa"/>
              <w:left w:w="0" w:type="dxa"/>
              <w:bottom w:w="30" w:type="dxa"/>
              <w:right w:w="20" w:type="dxa"/>
            </w:tcMar>
            <w:vAlign w:val="bottom"/>
            <w:hideMark/>
          </w:tcPr>
          <w:p w14:paraId="43501089" w14:textId="77777777" w:rsidR="00000000" w:rsidRDefault="00C01C43">
            <w:pPr>
              <w:jc w:val="right"/>
              <w:rPr>
                <w:rFonts w:eastAsia="Times New Roman"/>
              </w:rPr>
            </w:pPr>
          </w:p>
        </w:tc>
      </w:tr>
      <w:tr w:rsidR="00000000" w14:paraId="3B8A33D7" w14:textId="77777777">
        <w:trPr>
          <w:divId w:val="475074270"/>
        </w:trPr>
        <w:tc>
          <w:tcPr>
            <w:tcW w:w="0" w:type="auto"/>
            <w:gridSpan w:val="3"/>
            <w:shd w:val="clear" w:color="auto" w:fill="CCEEFF"/>
            <w:tcMar>
              <w:top w:w="30" w:type="dxa"/>
              <w:left w:w="20" w:type="dxa"/>
              <w:bottom w:w="30" w:type="dxa"/>
              <w:right w:w="20" w:type="dxa"/>
            </w:tcMar>
            <w:vAlign w:val="bottom"/>
            <w:hideMark/>
          </w:tcPr>
          <w:p w14:paraId="50C71A4D" w14:textId="77777777" w:rsidR="00000000" w:rsidRDefault="00C01C43">
            <w:pPr>
              <w:rPr>
                <w:rFonts w:eastAsia="Times New Roman"/>
              </w:rPr>
            </w:pPr>
            <w:r>
              <w:rPr>
                <w:rFonts w:ascii="Arial" w:eastAsia="Times New Roman" w:hAnsi="Arial" w:cs="Arial"/>
                <w:color w:val="000000"/>
                <w:sz w:val="20"/>
                <w:szCs w:val="20"/>
              </w:rPr>
              <w:t>Nontaxable interest income</w:t>
            </w:r>
          </w:p>
        </w:tc>
        <w:tc>
          <w:tcPr>
            <w:tcW w:w="0" w:type="auto"/>
            <w:gridSpan w:val="2"/>
            <w:shd w:val="clear" w:color="auto" w:fill="CCEEFF"/>
            <w:tcMar>
              <w:top w:w="30" w:type="dxa"/>
              <w:left w:w="20" w:type="dxa"/>
              <w:bottom w:w="30" w:type="dxa"/>
              <w:right w:w="0" w:type="dxa"/>
            </w:tcMar>
            <w:vAlign w:val="bottom"/>
            <w:hideMark/>
          </w:tcPr>
          <w:p w14:paraId="0148CE2C" w14:textId="77777777" w:rsidR="00000000" w:rsidRDefault="00C01C43">
            <w:pPr>
              <w:jc w:val="right"/>
              <w:rPr>
                <w:rFonts w:eastAsia="Times New Roman"/>
              </w:rPr>
            </w:pPr>
            <w:r>
              <w:rPr>
                <w:rFonts w:ascii="Arial" w:eastAsia="Times New Roman" w:hAnsi="Arial" w:cs="Arial"/>
                <w:color w:val="000000"/>
                <w:sz w:val="20"/>
                <w:szCs w:val="20"/>
              </w:rPr>
              <w:t>(3.0)</w:t>
            </w:r>
          </w:p>
        </w:tc>
        <w:tc>
          <w:tcPr>
            <w:tcW w:w="0" w:type="auto"/>
            <w:shd w:val="clear" w:color="auto" w:fill="CCEEFF"/>
            <w:tcMar>
              <w:top w:w="30" w:type="dxa"/>
              <w:left w:w="0" w:type="dxa"/>
              <w:bottom w:w="30" w:type="dxa"/>
              <w:right w:w="20" w:type="dxa"/>
            </w:tcMar>
            <w:vAlign w:val="bottom"/>
            <w:hideMark/>
          </w:tcPr>
          <w:p w14:paraId="611A2B6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00CC5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ABFF71" w14:textId="77777777" w:rsidR="00000000" w:rsidRDefault="00C01C43">
            <w:pPr>
              <w:jc w:val="right"/>
              <w:rPr>
                <w:rFonts w:eastAsia="Times New Roman"/>
              </w:rPr>
            </w:pPr>
            <w:r>
              <w:rPr>
                <w:rFonts w:ascii="Arial" w:eastAsia="Times New Roman" w:hAnsi="Arial" w:cs="Arial"/>
                <w:color w:val="000000"/>
                <w:sz w:val="20"/>
                <w:szCs w:val="20"/>
              </w:rPr>
              <w:t>(2.3)</w:t>
            </w:r>
          </w:p>
        </w:tc>
        <w:tc>
          <w:tcPr>
            <w:tcW w:w="0" w:type="auto"/>
            <w:shd w:val="clear" w:color="auto" w:fill="CCEEFF"/>
            <w:tcMar>
              <w:top w:w="30" w:type="dxa"/>
              <w:left w:w="0" w:type="dxa"/>
              <w:bottom w:w="30" w:type="dxa"/>
              <w:right w:w="20" w:type="dxa"/>
            </w:tcMar>
            <w:vAlign w:val="bottom"/>
            <w:hideMark/>
          </w:tcPr>
          <w:p w14:paraId="7A738A1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85478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1608A5" w14:textId="77777777" w:rsidR="00000000" w:rsidRDefault="00C01C43">
            <w:pPr>
              <w:jc w:val="right"/>
              <w:rPr>
                <w:rFonts w:eastAsia="Times New Roman"/>
              </w:rPr>
            </w:pPr>
            <w:r>
              <w:rPr>
                <w:rFonts w:ascii="Arial" w:eastAsia="Times New Roman" w:hAnsi="Arial" w:cs="Arial"/>
                <w:color w:val="000000"/>
                <w:sz w:val="20"/>
                <w:szCs w:val="20"/>
              </w:rPr>
              <w:t>(2.7)</w:t>
            </w:r>
          </w:p>
        </w:tc>
        <w:tc>
          <w:tcPr>
            <w:tcW w:w="0" w:type="auto"/>
            <w:shd w:val="clear" w:color="auto" w:fill="CCEEFF"/>
            <w:tcMar>
              <w:top w:w="30" w:type="dxa"/>
              <w:left w:w="0" w:type="dxa"/>
              <w:bottom w:w="30" w:type="dxa"/>
              <w:right w:w="20" w:type="dxa"/>
            </w:tcMar>
            <w:vAlign w:val="bottom"/>
            <w:hideMark/>
          </w:tcPr>
          <w:p w14:paraId="11566C6C" w14:textId="77777777" w:rsidR="00000000" w:rsidRDefault="00C01C43">
            <w:pPr>
              <w:jc w:val="right"/>
              <w:rPr>
                <w:rFonts w:eastAsia="Times New Roman"/>
              </w:rPr>
            </w:pPr>
          </w:p>
        </w:tc>
      </w:tr>
      <w:tr w:rsidR="00000000" w14:paraId="5E3A3186" w14:textId="77777777">
        <w:trPr>
          <w:divId w:val="475074270"/>
        </w:trPr>
        <w:tc>
          <w:tcPr>
            <w:tcW w:w="0" w:type="auto"/>
            <w:gridSpan w:val="3"/>
            <w:shd w:val="clear" w:color="auto" w:fill="FFFFFF"/>
            <w:tcMar>
              <w:top w:w="30" w:type="dxa"/>
              <w:left w:w="20" w:type="dxa"/>
              <w:bottom w:w="30" w:type="dxa"/>
              <w:right w:w="20" w:type="dxa"/>
            </w:tcMar>
            <w:vAlign w:val="bottom"/>
            <w:hideMark/>
          </w:tcPr>
          <w:p w14:paraId="3FF39952" w14:textId="77777777" w:rsidR="00000000" w:rsidRDefault="00C01C43">
            <w:pPr>
              <w:rPr>
                <w:rFonts w:eastAsia="Times New Roman"/>
              </w:rPr>
            </w:pPr>
            <w:r>
              <w:rPr>
                <w:rFonts w:ascii="Arial" w:eastAsia="Times New Roman" w:hAnsi="Arial" w:cs="Arial"/>
                <w:color w:val="000000"/>
                <w:sz w:val="20"/>
                <w:szCs w:val="20"/>
              </w:rPr>
              <w:t>Nondeductible interest expense</w:t>
            </w:r>
          </w:p>
        </w:tc>
        <w:tc>
          <w:tcPr>
            <w:tcW w:w="0" w:type="auto"/>
            <w:gridSpan w:val="2"/>
            <w:shd w:val="clear" w:color="auto" w:fill="FFFFFF"/>
            <w:tcMar>
              <w:top w:w="30" w:type="dxa"/>
              <w:left w:w="20" w:type="dxa"/>
              <w:bottom w:w="30" w:type="dxa"/>
              <w:right w:w="0" w:type="dxa"/>
            </w:tcMar>
            <w:vAlign w:val="bottom"/>
            <w:hideMark/>
          </w:tcPr>
          <w:p w14:paraId="7F4DACF0" w14:textId="77777777" w:rsidR="00000000" w:rsidRDefault="00C01C43">
            <w:pPr>
              <w:jc w:val="right"/>
              <w:rPr>
                <w:rFonts w:eastAsia="Times New Roman"/>
              </w:rPr>
            </w:pPr>
            <w:r>
              <w:rPr>
                <w:rFonts w:ascii="Arial" w:eastAsia="Times New Roman" w:hAnsi="Arial" w:cs="Arial"/>
                <w:color w:val="000000"/>
                <w:sz w:val="20"/>
                <w:szCs w:val="20"/>
              </w:rPr>
              <w:t>1.9 </w:t>
            </w:r>
          </w:p>
        </w:tc>
        <w:tc>
          <w:tcPr>
            <w:tcW w:w="0" w:type="auto"/>
            <w:shd w:val="clear" w:color="auto" w:fill="FFFFFF"/>
            <w:tcMar>
              <w:top w:w="30" w:type="dxa"/>
              <w:left w:w="0" w:type="dxa"/>
              <w:bottom w:w="30" w:type="dxa"/>
              <w:right w:w="20" w:type="dxa"/>
            </w:tcMar>
            <w:vAlign w:val="bottom"/>
            <w:hideMark/>
          </w:tcPr>
          <w:p w14:paraId="61F05E5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5FD97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277EDB" w14:textId="77777777" w:rsidR="00000000" w:rsidRDefault="00C01C43">
            <w:pPr>
              <w:jc w:val="right"/>
              <w:rPr>
                <w:rFonts w:eastAsia="Times New Roman"/>
              </w:rPr>
            </w:pPr>
            <w:r>
              <w:rPr>
                <w:rFonts w:ascii="Arial" w:eastAsia="Times New Roman" w:hAnsi="Arial" w:cs="Arial"/>
                <w:color w:val="000000"/>
                <w:sz w:val="20"/>
                <w:szCs w:val="20"/>
              </w:rPr>
              <w:t>1.8 </w:t>
            </w:r>
          </w:p>
        </w:tc>
        <w:tc>
          <w:tcPr>
            <w:tcW w:w="0" w:type="auto"/>
            <w:shd w:val="clear" w:color="auto" w:fill="FFFFFF"/>
            <w:tcMar>
              <w:top w:w="30" w:type="dxa"/>
              <w:left w:w="0" w:type="dxa"/>
              <w:bottom w:w="30" w:type="dxa"/>
              <w:right w:w="20" w:type="dxa"/>
            </w:tcMar>
            <w:vAlign w:val="bottom"/>
            <w:hideMark/>
          </w:tcPr>
          <w:p w14:paraId="233A675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BF90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AE769D"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409276C" w14:textId="77777777" w:rsidR="00000000" w:rsidRDefault="00C01C43">
            <w:pPr>
              <w:jc w:val="right"/>
              <w:rPr>
                <w:rFonts w:eastAsia="Times New Roman"/>
              </w:rPr>
            </w:pPr>
          </w:p>
        </w:tc>
      </w:tr>
      <w:tr w:rsidR="00000000" w14:paraId="5F1761B6" w14:textId="77777777">
        <w:trPr>
          <w:divId w:val="475074270"/>
        </w:trPr>
        <w:tc>
          <w:tcPr>
            <w:tcW w:w="0" w:type="auto"/>
            <w:gridSpan w:val="3"/>
            <w:shd w:val="clear" w:color="auto" w:fill="CCEEFF"/>
            <w:tcMar>
              <w:top w:w="30" w:type="dxa"/>
              <w:left w:w="20" w:type="dxa"/>
              <w:bottom w:w="30" w:type="dxa"/>
              <w:right w:w="20" w:type="dxa"/>
            </w:tcMar>
            <w:vAlign w:val="bottom"/>
            <w:hideMark/>
          </w:tcPr>
          <w:p w14:paraId="798AD2F8" w14:textId="77777777" w:rsidR="00000000" w:rsidRDefault="00C01C43">
            <w:pPr>
              <w:rPr>
                <w:rFonts w:eastAsia="Times New Roman"/>
              </w:rPr>
            </w:pPr>
            <w:r>
              <w:rPr>
                <w:rFonts w:ascii="Arial" w:eastAsia="Times New Roman" w:hAnsi="Arial" w:cs="Arial"/>
                <w:color w:val="000000"/>
                <w:sz w:val="20"/>
                <w:szCs w:val="20"/>
              </w:rPr>
              <w:t>Valuation allowance</w:t>
            </w:r>
          </w:p>
        </w:tc>
        <w:tc>
          <w:tcPr>
            <w:tcW w:w="0" w:type="auto"/>
            <w:gridSpan w:val="2"/>
            <w:shd w:val="clear" w:color="auto" w:fill="CCEEFF"/>
            <w:tcMar>
              <w:top w:w="30" w:type="dxa"/>
              <w:left w:w="20" w:type="dxa"/>
              <w:bottom w:w="30" w:type="dxa"/>
              <w:right w:w="0" w:type="dxa"/>
            </w:tcMar>
            <w:vAlign w:val="bottom"/>
            <w:hideMark/>
          </w:tcPr>
          <w:p w14:paraId="5DCC6682" w14:textId="77777777" w:rsidR="00000000" w:rsidRDefault="00C01C43">
            <w:pPr>
              <w:jc w:val="right"/>
              <w:rPr>
                <w:rFonts w:eastAsia="Times New Roman"/>
              </w:rPr>
            </w:pPr>
            <w:r>
              <w:rPr>
                <w:rFonts w:ascii="Arial" w:eastAsia="Times New Roman" w:hAnsi="Arial" w:cs="Arial"/>
                <w:color w:val="000000"/>
                <w:sz w:val="20"/>
                <w:szCs w:val="20"/>
              </w:rPr>
              <w:t>10.6 </w:t>
            </w:r>
          </w:p>
        </w:tc>
        <w:tc>
          <w:tcPr>
            <w:tcW w:w="0" w:type="auto"/>
            <w:shd w:val="clear" w:color="auto" w:fill="CCEEFF"/>
            <w:tcMar>
              <w:top w:w="30" w:type="dxa"/>
              <w:left w:w="0" w:type="dxa"/>
              <w:bottom w:w="30" w:type="dxa"/>
              <w:right w:w="20" w:type="dxa"/>
            </w:tcMar>
            <w:vAlign w:val="bottom"/>
            <w:hideMark/>
          </w:tcPr>
          <w:p w14:paraId="0585712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2BC8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17A5AA" w14:textId="77777777" w:rsidR="00000000" w:rsidRDefault="00C01C43">
            <w:pPr>
              <w:jc w:val="right"/>
              <w:rPr>
                <w:rFonts w:eastAsia="Times New Roman"/>
              </w:rPr>
            </w:pPr>
            <w:r>
              <w:rPr>
                <w:rFonts w:ascii="Arial" w:eastAsia="Times New Roman" w:hAnsi="Arial" w:cs="Arial"/>
                <w:color w:val="000000"/>
                <w:sz w:val="20"/>
                <w:szCs w:val="20"/>
              </w:rPr>
              <w:t>1.2 </w:t>
            </w:r>
          </w:p>
        </w:tc>
        <w:tc>
          <w:tcPr>
            <w:tcW w:w="0" w:type="auto"/>
            <w:shd w:val="clear" w:color="auto" w:fill="CCEEFF"/>
            <w:tcMar>
              <w:top w:w="30" w:type="dxa"/>
              <w:left w:w="0" w:type="dxa"/>
              <w:bottom w:w="30" w:type="dxa"/>
              <w:right w:w="20" w:type="dxa"/>
            </w:tcMar>
            <w:vAlign w:val="bottom"/>
            <w:hideMark/>
          </w:tcPr>
          <w:p w14:paraId="063B592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D70FD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86B40C" w14:textId="77777777" w:rsidR="00000000" w:rsidRDefault="00C01C43">
            <w:pPr>
              <w:jc w:val="right"/>
              <w:rPr>
                <w:rFonts w:eastAsia="Times New Roman"/>
              </w:rPr>
            </w:pPr>
            <w:r>
              <w:rPr>
                <w:rFonts w:ascii="Arial" w:eastAsia="Times New Roman" w:hAnsi="Arial" w:cs="Arial"/>
                <w:color w:val="000000"/>
                <w:sz w:val="20"/>
                <w:szCs w:val="20"/>
              </w:rPr>
              <w:t>3.0 </w:t>
            </w:r>
          </w:p>
        </w:tc>
        <w:tc>
          <w:tcPr>
            <w:tcW w:w="0" w:type="auto"/>
            <w:shd w:val="clear" w:color="auto" w:fill="CCEEFF"/>
            <w:tcMar>
              <w:top w:w="30" w:type="dxa"/>
              <w:left w:w="0" w:type="dxa"/>
              <w:bottom w:w="30" w:type="dxa"/>
              <w:right w:w="20" w:type="dxa"/>
            </w:tcMar>
            <w:vAlign w:val="bottom"/>
            <w:hideMark/>
          </w:tcPr>
          <w:p w14:paraId="00B5F227" w14:textId="77777777" w:rsidR="00000000" w:rsidRDefault="00C01C43">
            <w:pPr>
              <w:jc w:val="right"/>
              <w:rPr>
                <w:rFonts w:eastAsia="Times New Roman"/>
              </w:rPr>
            </w:pPr>
          </w:p>
        </w:tc>
      </w:tr>
      <w:tr w:rsidR="00000000" w14:paraId="431105F2" w14:textId="77777777">
        <w:trPr>
          <w:divId w:val="475074270"/>
        </w:trPr>
        <w:tc>
          <w:tcPr>
            <w:tcW w:w="0" w:type="auto"/>
            <w:gridSpan w:val="3"/>
            <w:tcBorders>
              <w:top w:val="single" w:sz="8" w:space="0" w:color="D9D9D9"/>
              <w:left w:val="single" w:sz="8" w:space="0" w:color="D9D9D9"/>
            </w:tcBorders>
            <w:shd w:val="clear" w:color="auto" w:fill="FFFFFF"/>
            <w:tcMar>
              <w:top w:w="30" w:type="dxa"/>
              <w:left w:w="20" w:type="dxa"/>
              <w:bottom w:w="30" w:type="dxa"/>
              <w:right w:w="20" w:type="dxa"/>
            </w:tcMar>
            <w:vAlign w:val="bottom"/>
            <w:hideMark/>
          </w:tcPr>
          <w:p w14:paraId="1F0C6F04" w14:textId="77777777" w:rsidR="00000000" w:rsidRDefault="00C01C43">
            <w:pPr>
              <w:rPr>
                <w:rFonts w:eastAsia="Times New Roman"/>
              </w:rPr>
            </w:pPr>
            <w:r>
              <w:rPr>
                <w:rFonts w:ascii="Arial" w:eastAsia="Times New Roman" w:hAnsi="Arial" w:cs="Arial"/>
                <w:color w:val="000000"/>
                <w:sz w:val="20"/>
                <w:szCs w:val="20"/>
              </w:rPr>
              <w:t>Sale of Company</w:t>
            </w:r>
          </w:p>
        </w:tc>
        <w:tc>
          <w:tcPr>
            <w:tcW w:w="0" w:type="auto"/>
            <w:gridSpan w:val="2"/>
            <w:tcBorders>
              <w:top w:val="single" w:sz="8" w:space="0" w:color="D9D9D9"/>
              <w:left w:val="single" w:sz="8" w:space="0" w:color="D9D9D9"/>
            </w:tcBorders>
            <w:shd w:val="clear" w:color="auto" w:fill="FFFFFF"/>
            <w:tcMar>
              <w:top w:w="30" w:type="dxa"/>
              <w:left w:w="20" w:type="dxa"/>
              <w:bottom w:w="30" w:type="dxa"/>
              <w:right w:w="0" w:type="dxa"/>
            </w:tcMar>
            <w:vAlign w:val="bottom"/>
            <w:hideMark/>
          </w:tcPr>
          <w:p w14:paraId="3B0BC0F9" w14:textId="77777777" w:rsidR="00000000" w:rsidRDefault="00C01C43">
            <w:pPr>
              <w:jc w:val="right"/>
              <w:rPr>
                <w:rFonts w:eastAsia="Times New Roman"/>
              </w:rPr>
            </w:pPr>
            <w:r>
              <w:rPr>
                <w:rFonts w:ascii="Arial" w:eastAsia="Times New Roman" w:hAnsi="Arial" w:cs="Arial"/>
                <w:color w:val="000000"/>
                <w:sz w:val="20"/>
                <w:szCs w:val="20"/>
              </w:rPr>
              <w:t>3.0 </w:t>
            </w:r>
          </w:p>
        </w:tc>
        <w:tc>
          <w:tcPr>
            <w:tcW w:w="0" w:type="auto"/>
            <w:tcBorders>
              <w:top w:val="single" w:sz="8" w:space="0" w:color="D9D9D9"/>
            </w:tcBorders>
            <w:shd w:val="clear" w:color="auto" w:fill="FFFFFF"/>
            <w:tcMar>
              <w:top w:w="30" w:type="dxa"/>
              <w:left w:w="0" w:type="dxa"/>
              <w:bottom w:w="30" w:type="dxa"/>
              <w:right w:w="20" w:type="dxa"/>
            </w:tcMar>
            <w:vAlign w:val="bottom"/>
            <w:hideMark/>
          </w:tcPr>
          <w:p w14:paraId="4CF6E619" w14:textId="77777777" w:rsidR="00000000" w:rsidRDefault="00C01C43">
            <w:pPr>
              <w:jc w:val="right"/>
              <w:rPr>
                <w:rFonts w:eastAsia="Times New Roman"/>
              </w:rPr>
            </w:pPr>
          </w:p>
        </w:tc>
        <w:tc>
          <w:tcPr>
            <w:tcW w:w="0" w:type="auto"/>
            <w:gridSpan w:val="3"/>
            <w:tcBorders>
              <w:top w:val="single" w:sz="8" w:space="0" w:color="D9D9D9"/>
              <w:left w:val="single" w:sz="8" w:space="0" w:color="D9D9D9"/>
            </w:tcBorders>
            <w:shd w:val="clear" w:color="auto" w:fill="FFFFFF"/>
            <w:tcMar>
              <w:top w:w="0" w:type="dxa"/>
              <w:left w:w="20" w:type="dxa"/>
              <w:bottom w:w="0" w:type="dxa"/>
              <w:right w:w="20" w:type="dxa"/>
            </w:tcMar>
            <w:vAlign w:val="center"/>
            <w:hideMark/>
          </w:tcPr>
          <w:p w14:paraId="36E63E86" w14:textId="77777777" w:rsidR="00000000" w:rsidRDefault="00C01C43">
            <w:pPr>
              <w:jc w:val="right"/>
              <w:rPr>
                <w:rFonts w:eastAsia="Times New Roman"/>
                <w:sz w:val="20"/>
                <w:szCs w:val="20"/>
              </w:rPr>
            </w:pPr>
          </w:p>
        </w:tc>
        <w:tc>
          <w:tcPr>
            <w:tcW w:w="0" w:type="auto"/>
            <w:gridSpan w:val="2"/>
            <w:tcBorders>
              <w:top w:val="single" w:sz="8" w:space="0" w:color="D9D9D9"/>
              <w:left w:val="single" w:sz="8" w:space="0" w:color="D9D9D9"/>
            </w:tcBorders>
            <w:shd w:val="clear" w:color="auto" w:fill="FFFFFF"/>
            <w:tcMar>
              <w:top w:w="30" w:type="dxa"/>
              <w:left w:w="20" w:type="dxa"/>
              <w:bottom w:w="30" w:type="dxa"/>
              <w:right w:w="0" w:type="dxa"/>
            </w:tcMar>
            <w:vAlign w:val="bottom"/>
            <w:hideMark/>
          </w:tcPr>
          <w:p w14:paraId="39F974AB"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D9D9D9"/>
            </w:tcBorders>
            <w:shd w:val="clear" w:color="auto" w:fill="FFFFFF"/>
            <w:tcMar>
              <w:top w:w="30" w:type="dxa"/>
              <w:left w:w="0" w:type="dxa"/>
              <w:bottom w:w="30" w:type="dxa"/>
              <w:right w:w="20" w:type="dxa"/>
            </w:tcMar>
            <w:vAlign w:val="bottom"/>
            <w:hideMark/>
          </w:tcPr>
          <w:p w14:paraId="31FDA3BB" w14:textId="77777777" w:rsidR="00000000" w:rsidRDefault="00C01C43">
            <w:pPr>
              <w:jc w:val="right"/>
              <w:rPr>
                <w:rFonts w:eastAsia="Times New Roman"/>
              </w:rPr>
            </w:pPr>
          </w:p>
        </w:tc>
        <w:tc>
          <w:tcPr>
            <w:tcW w:w="0" w:type="auto"/>
            <w:gridSpan w:val="3"/>
            <w:tcBorders>
              <w:top w:val="single" w:sz="8" w:space="0" w:color="D9D9D9"/>
              <w:left w:val="single" w:sz="8" w:space="0" w:color="D9D9D9"/>
            </w:tcBorders>
            <w:shd w:val="clear" w:color="auto" w:fill="FFFFFF"/>
            <w:tcMar>
              <w:top w:w="0" w:type="dxa"/>
              <w:left w:w="20" w:type="dxa"/>
              <w:bottom w:w="0" w:type="dxa"/>
              <w:right w:w="20" w:type="dxa"/>
            </w:tcMar>
            <w:vAlign w:val="center"/>
            <w:hideMark/>
          </w:tcPr>
          <w:p w14:paraId="6A7F0E14" w14:textId="77777777" w:rsidR="00000000" w:rsidRDefault="00C01C43">
            <w:pPr>
              <w:jc w:val="right"/>
              <w:rPr>
                <w:rFonts w:eastAsia="Times New Roman"/>
                <w:sz w:val="20"/>
                <w:szCs w:val="20"/>
              </w:rPr>
            </w:pPr>
          </w:p>
        </w:tc>
        <w:tc>
          <w:tcPr>
            <w:tcW w:w="0" w:type="auto"/>
            <w:gridSpan w:val="2"/>
            <w:tcBorders>
              <w:top w:val="single" w:sz="8" w:space="0" w:color="D9D9D9"/>
              <w:left w:val="single" w:sz="8" w:space="0" w:color="D9D9D9"/>
            </w:tcBorders>
            <w:shd w:val="clear" w:color="auto" w:fill="FFFFFF"/>
            <w:tcMar>
              <w:top w:w="30" w:type="dxa"/>
              <w:left w:w="20" w:type="dxa"/>
              <w:bottom w:w="30" w:type="dxa"/>
              <w:right w:w="0" w:type="dxa"/>
            </w:tcMar>
            <w:vAlign w:val="bottom"/>
            <w:hideMark/>
          </w:tcPr>
          <w:p w14:paraId="274C0A9B"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D9D9D9"/>
              <w:right w:val="single" w:sz="8" w:space="0" w:color="D9D9D9"/>
            </w:tcBorders>
            <w:shd w:val="clear" w:color="auto" w:fill="FFFFFF"/>
            <w:tcMar>
              <w:top w:w="30" w:type="dxa"/>
              <w:left w:w="0" w:type="dxa"/>
              <w:bottom w:w="30" w:type="dxa"/>
              <w:right w:w="20" w:type="dxa"/>
            </w:tcMar>
            <w:vAlign w:val="bottom"/>
            <w:hideMark/>
          </w:tcPr>
          <w:p w14:paraId="2B3FA105" w14:textId="77777777" w:rsidR="00000000" w:rsidRDefault="00C01C43">
            <w:pPr>
              <w:jc w:val="right"/>
              <w:rPr>
                <w:rFonts w:eastAsia="Times New Roman"/>
              </w:rPr>
            </w:pPr>
          </w:p>
        </w:tc>
      </w:tr>
      <w:tr w:rsidR="00000000" w14:paraId="134BDF39" w14:textId="77777777">
        <w:trPr>
          <w:divId w:val="475074270"/>
        </w:trPr>
        <w:tc>
          <w:tcPr>
            <w:tcW w:w="0" w:type="auto"/>
            <w:gridSpan w:val="3"/>
            <w:tcBorders>
              <w:top w:val="single" w:sz="8" w:space="0" w:color="D9D9D9"/>
              <w:left w:val="single" w:sz="8" w:space="0" w:color="D9D9D9"/>
            </w:tcBorders>
            <w:shd w:val="clear" w:color="auto" w:fill="CCEEFF"/>
            <w:tcMar>
              <w:top w:w="30" w:type="dxa"/>
              <w:left w:w="20" w:type="dxa"/>
              <w:bottom w:w="30" w:type="dxa"/>
              <w:right w:w="20" w:type="dxa"/>
            </w:tcMar>
            <w:vAlign w:val="bottom"/>
            <w:hideMark/>
          </w:tcPr>
          <w:p w14:paraId="7F1DF98A" w14:textId="77777777" w:rsidR="00000000" w:rsidRDefault="00C01C43">
            <w:pPr>
              <w:rPr>
                <w:rFonts w:eastAsia="Times New Roman"/>
              </w:rPr>
            </w:pPr>
            <w:r>
              <w:rPr>
                <w:rFonts w:ascii="Arial" w:eastAsia="Times New Roman" w:hAnsi="Arial" w:cs="Arial"/>
                <w:color w:val="000000"/>
                <w:sz w:val="20"/>
                <w:szCs w:val="20"/>
              </w:rPr>
              <w:t>Non-deductible Officer Compensation</w:t>
            </w:r>
          </w:p>
        </w:tc>
        <w:tc>
          <w:tcPr>
            <w:tcW w:w="0" w:type="auto"/>
            <w:gridSpan w:val="2"/>
            <w:tcBorders>
              <w:top w:val="single" w:sz="8" w:space="0" w:color="D9D9D9"/>
              <w:left w:val="single" w:sz="8" w:space="0" w:color="D9D9D9"/>
            </w:tcBorders>
            <w:shd w:val="clear" w:color="auto" w:fill="CCEEFF"/>
            <w:tcMar>
              <w:top w:w="30" w:type="dxa"/>
              <w:left w:w="20" w:type="dxa"/>
              <w:bottom w:w="30" w:type="dxa"/>
              <w:right w:w="0" w:type="dxa"/>
            </w:tcMar>
            <w:vAlign w:val="bottom"/>
            <w:hideMark/>
          </w:tcPr>
          <w:p w14:paraId="3BFB212A" w14:textId="77777777" w:rsidR="00000000" w:rsidRDefault="00C01C43">
            <w:pPr>
              <w:jc w:val="right"/>
              <w:rPr>
                <w:rFonts w:eastAsia="Times New Roman"/>
              </w:rPr>
            </w:pPr>
            <w:r>
              <w:rPr>
                <w:rFonts w:ascii="Arial" w:eastAsia="Times New Roman" w:hAnsi="Arial" w:cs="Arial"/>
                <w:color w:val="000000"/>
                <w:sz w:val="20"/>
                <w:szCs w:val="20"/>
              </w:rPr>
              <w:t>1.2 </w:t>
            </w:r>
          </w:p>
        </w:tc>
        <w:tc>
          <w:tcPr>
            <w:tcW w:w="0" w:type="auto"/>
            <w:tcBorders>
              <w:top w:val="single" w:sz="8" w:space="0" w:color="D9D9D9"/>
            </w:tcBorders>
            <w:shd w:val="clear" w:color="auto" w:fill="CCEEFF"/>
            <w:tcMar>
              <w:top w:w="30" w:type="dxa"/>
              <w:left w:w="0" w:type="dxa"/>
              <w:bottom w:w="30" w:type="dxa"/>
              <w:right w:w="20" w:type="dxa"/>
            </w:tcMar>
            <w:vAlign w:val="bottom"/>
            <w:hideMark/>
          </w:tcPr>
          <w:p w14:paraId="2C340FD1" w14:textId="77777777" w:rsidR="00000000" w:rsidRDefault="00C01C43">
            <w:pPr>
              <w:jc w:val="right"/>
              <w:rPr>
                <w:rFonts w:eastAsia="Times New Roman"/>
              </w:rPr>
            </w:pPr>
          </w:p>
        </w:tc>
        <w:tc>
          <w:tcPr>
            <w:tcW w:w="0" w:type="auto"/>
            <w:gridSpan w:val="3"/>
            <w:tcBorders>
              <w:top w:val="single" w:sz="8" w:space="0" w:color="D9D9D9"/>
              <w:left w:val="single" w:sz="8" w:space="0" w:color="D9D9D9"/>
            </w:tcBorders>
            <w:shd w:val="clear" w:color="auto" w:fill="CCEEFF"/>
            <w:tcMar>
              <w:top w:w="0" w:type="dxa"/>
              <w:left w:w="20" w:type="dxa"/>
              <w:bottom w:w="0" w:type="dxa"/>
              <w:right w:w="20" w:type="dxa"/>
            </w:tcMar>
            <w:vAlign w:val="center"/>
            <w:hideMark/>
          </w:tcPr>
          <w:p w14:paraId="644F8A4F" w14:textId="77777777" w:rsidR="00000000" w:rsidRDefault="00C01C43">
            <w:pPr>
              <w:jc w:val="right"/>
              <w:rPr>
                <w:rFonts w:eastAsia="Times New Roman"/>
                <w:sz w:val="20"/>
                <w:szCs w:val="20"/>
              </w:rPr>
            </w:pPr>
          </w:p>
        </w:tc>
        <w:tc>
          <w:tcPr>
            <w:tcW w:w="0" w:type="auto"/>
            <w:gridSpan w:val="2"/>
            <w:tcBorders>
              <w:top w:val="single" w:sz="8" w:space="0" w:color="D9D9D9"/>
              <w:left w:val="single" w:sz="8" w:space="0" w:color="D9D9D9"/>
            </w:tcBorders>
            <w:shd w:val="clear" w:color="auto" w:fill="CCEEFF"/>
            <w:tcMar>
              <w:top w:w="30" w:type="dxa"/>
              <w:left w:w="20" w:type="dxa"/>
              <w:bottom w:w="30" w:type="dxa"/>
              <w:right w:w="0" w:type="dxa"/>
            </w:tcMar>
            <w:vAlign w:val="bottom"/>
            <w:hideMark/>
          </w:tcPr>
          <w:p w14:paraId="5A79DA2E" w14:textId="77777777" w:rsidR="00000000" w:rsidRDefault="00C01C43">
            <w:pPr>
              <w:jc w:val="right"/>
              <w:rPr>
                <w:rFonts w:eastAsia="Times New Roman"/>
              </w:rPr>
            </w:pPr>
            <w:r>
              <w:rPr>
                <w:rFonts w:ascii="Arial" w:eastAsia="Times New Roman" w:hAnsi="Arial" w:cs="Arial"/>
                <w:color w:val="000000"/>
                <w:sz w:val="20"/>
                <w:szCs w:val="20"/>
              </w:rPr>
              <w:t>0.5 </w:t>
            </w:r>
          </w:p>
        </w:tc>
        <w:tc>
          <w:tcPr>
            <w:tcW w:w="0" w:type="auto"/>
            <w:tcBorders>
              <w:top w:val="single" w:sz="8" w:space="0" w:color="D9D9D9"/>
            </w:tcBorders>
            <w:shd w:val="clear" w:color="auto" w:fill="CCEEFF"/>
            <w:tcMar>
              <w:top w:w="30" w:type="dxa"/>
              <w:left w:w="0" w:type="dxa"/>
              <w:bottom w:w="30" w:type="dxa"/>
              <w:right w:w="20" w:type="dxa"/>
            </w:tcMar>
            <w:vAlign w:val="bottom"/>
            <w:hideMark/>
          </w:tcPr>
          <w:p w14:paraId="0FB3FC9E" w14:textId="77777777" w:rsidR="00000000" w:rsidRDefault="00C01C43">
            <w:pPr>
              <w:jc w:val="right"/>
              <w:rPr>
                <w:rFonts w:eastAsia="Times New Roman"/>
              </w:rPr>
            </w:pPr>
          </w:p>
        </w:tc>
        <w:tc>
          <w:tcPr>
            <w:tcW w:w="0" w:type="auto"/>
            <w:gridSpan w:val="3"/>
            <w:tcBorders>
              <w:top w:val="single" w:sz="8" w:space="0" w:color="D9D9D9"/>
              <w:left w:val="single" w:sz="8" w:space="0" w:color="D9D9D9"/>
            </w:tcBorders>
            <w:shd w:val="clear" w:color="auto" w:fill="CCEEFF"/>
            <w:tcMar>
              <w:top w:w="0" w:type="dxa"/>
              <w:left w:w="20" w:type="dxa"/>
              <w:bottom w:w="0" w:type="dxa"/>
              <w:right w:w="20" w:type="dxa"/>
            </w:tcMar>
            <w:vAlign w:val="center"/>
            <w:hideMark/>
          </w:tcPr>
          <w:p w14:paraId="06EEEE14" w14:textId="77777777" w:rsidR="00000000" w:rsidRDefault="00C01C43">
            <w:pPr>
              <w:jc w:val="right"/>
              <w:rPr>
                <w:rFonts w:eastAsia="Times New Roman"/>
                <w:sz w:val="20"/>
                <w:szCs w:val="20"/>
              </w:rPr>
            </w:pPr>
          </w:p>
        </w:tc>
        <w:tc>
          <w:tcPr>
            <w:tcW w:w="0" w:type="auto"/>
            <w:gridSpan w:val="2"/>
            <w:tcBorders>
              <w:top w:val="single" w:sz="8" w:space="0" w:color="D9D9D9"/>
              <w:left w:val="single" w:sz="8" w:space="0" w:color="D9D9D9"/>
            </w:tcBorders>
            <w:shd w:val="clear" w:color="auto" w:fill="CCEEFF"/>
            <w:tcMar>
              <w:top w:w="30" w:type="dxa"/>
              <w:left w:w="20" w:type="dxa"/>
              <w:bottom w:w="30" w:type="dxa"/>
              <w:right w:w="0" w:type="dxa"/>
            </w:tcMar>
            <w:vAlign w:val="bottom"/>
            <w:hideMark/>
          </w:tcPr>
          <w:p w14:paraId="17301CFB" w14:textId="77777777" w:rsidR="00000000" w:rsidRDefault="00C01C43">
            <w:pPr>
              <w:jc w:val="right"/>
              <w:rPr>
                <w:rFonts w:eastAsia="Times New Roman"/>
              </w:rPr>
            </w:pPr>
            <w:r>
              <w:rPr>
                <w:rFonts w:ascii="Arial" w:eastAsia="Times New Roman" w:hAnsi="Arial" w:cs="Arial"/>
                <w:color w:val="000000"/>
                <w:sz w:val="20"/>
                <w:szCs w:val="20"/>
              </w:rPr>
              <w:t>0.1 </w:t>
            </w:r>
          </w:p>
        </w:tc>
        <w:tc>
          <w:tcPr>
            <w:tcW w:w="0" w:type="auto"/>
            <w:tcBorders>
              <w:top w:val="single" w:sz="8" w:space="0" w:color="D9D9D9"/>
              <w:right w:val="single" w:sz="8" w:space="0" w:color="D9D9D9"/>
            </w:tcBorders>
            <w:shd w:val="clear" w:color="auto" w:fill="CCEEFF"/>
            <w:tcMar>
              <w:top w:w="30" w:type="dxa"/>
              <w:left w:w="0" w:type="dxa"/>
              <w:bottom w:w="30" w:type="dxa"/>
              <w:right w:w="20" w:type="dxa"/>
            </w:tcMar>
            <w:vAlign w:val="bottom"/>
            <w:hideMark/>
          </w:tcPr>
          <w:p w14:paraId="2BD48700" w14:textId="77777777" w:rsidR="00000000" w:rsidRDefault="00C01C43">
            <w:pPr>
              <w:jc w:val="right"/>
              <w:rPr>
                <w:rFonts w:eastAsia="Times New Roman"/>
              </w:rPr>
            </w:pPr>
          </w:p>
        </w:tc>
      </w:tr>
      <w:tr w:rsidR="00000000" w14:paraId="6599288F" w14:textId="77777777">
        <w:trPr>
          <w:divId w:val="475074270"/>
        </w:trPr>
        <w:tc>
          <w:tcPr>
            <w:tcW w:w="0" w:type="auto"/>
            <w:gridSpan w:val="3"/>
            <w:tcBorders>
              <w:top w:val="single" w:sz="8" w:space="0" w:color="D9D9D9"/>
            </w:tcBorders>
            <w:shd w:val="clear" w:color="auto" w:fill="FFFFFF"/>
            <w:tcMar>
              <w:top w:w="30" w:type="dxa"/>
              <w:left w:w="20" w:type="dxa"/>
              <w:bottom w:w="30" w:type="dxa"/>
              <w:right w:w="20" w:type="dxa"/>
            </w:tcMar>
            <w:vAlign w:val="bottom"/>
            <w:hideMark/>
          </w:tcPr>
          <w:p w14:paraId="60BF477A" w14:textId="77777777" w:rsidR="00000000" w:rsidRDefault="00C01C43">
            <w:pPr>
              <w:rPr>
                <w:rFonts w:eastAsia="Times New Roman"/>
              </w:rPr>
            </w:pPr>
            <w:r>
              <w:rPr>
                <w:rFonts w:ascii="Arial" w:eastAsia="Times New Roman" w:hAnsi="Arial" w:cs="Arial"/>
                <w:color w:val="000000"/>
                <w:sz w:val="20"/>
                <w:szCs w:val="20"/>
              </w:rPr>
              <w:t>Other permanent differences</w:t>
            </w:r>
          </w:p>
        </w:tc>
        <w:tc>
          <w:tcPr>
            <w:tcW w:w="0" w:type="auto"/>
            <w:gridSpan w:val="2"/>
            <w:tcBorders>
              <w:top w:val="single" w:sz="8" w:space="0" w:color="D9D9D9"/>
            </w:tcBorders>
            <w:shd w:val="clear" w:color="auto" w:fill="FFFFFF"/>
            <w:tcMar>
              <w:top w:w="30" w:type="dxa"/>
              <w:left w:w="20" w:type="dxa"/>
              <w:bottom w:w="30" w:type="dxa"/>
              <w:right w:w="0" w:type="dxa"/>
            </w:tcMar>
            <w:vAlign w:val="bottom"/>
            <w:hideMark/>
          </w:tcPr>
          <w:p w14:paraId="2525EEE2" w14:textId="77777777" w:rsidR="00000000" w:rsidRDefault="00C01C43">
            <w:pPr>
              <w:jc w:val="right"/>
              <w:rPr>
                <w:rFonts w:eastAsia="Times New Roman"/>
              </w:rPr>
            </w:pPr>
            <w:r>
              <w:rPr>
                <w:rFonts w:ascii="Arial" w:eastAsia="Times New Roman" w:hAnsi="Arial" w:cs="Arial"/>
                <w:color w:val="000000"/>
                <w:sz w:val="20"/>
                <w:szCs w:val="20"/>
              </w:rPr>
              <w:t>2.5 </w:t>
            </w:r>
          </w:p>
        </w:tc>
        <w:tc>
          <w:tcPr>
            <w:tcW w:w="0" w:type="auto"/>
            <w:tcBorders>
              <w:top w:val="single" w:sz="8" w:space="0" w:color="D9D9D9"/>
            </w:tcBorders>
            <w:shd w:val="clear" w:color="auto" w:fill="FFFFFF"/>
            <w:tcMar>
              <w:top w:w="30" w:type="dxa"/>
              <w:left w:w="0" w:type="dxa"/>
              <w:bottom w:w="30" w:type="dxa"/>
              <w:right w:w="20" w:type="dxa"/>
            </w:tcMar>
            <w:vAlign w:val="bottom"/>
            <w:hideMark/>
          </w:tcPr>
          <w:p w14:paraId="3B4A2C98" w14:textId="77777777" w:rsidR="00000000" w:rsidRDefault="00C01C43">
            <w:pPr>
              <w:jc w:val="right"/>
              <w:rPr>
                <w:rFonts w:eastAsia="Times New Roman"/>
              </w:rPr>
            </w:pPr>
          </w:p>
        </w:tc>
        <w:tc>
          <w:tcPr>
            <w:tcW w:w="0" w:type="auto"/>
            <w:gridSpan w:val="3"/>
            <w:tcBorders>
              <w:top w:val="single" w:sz="8" w:space="0" w:color="D9D9D9"/>
            </w:tcBorders>
            <w:shd w:val="clear" w:color="auto" w:fill="FFFFFF"/>
            <w:tcMar>
              <w:top w:w="0" w:type="dxa"/>
              <w:left w:w="20" w:type="dxa"/>
              <w:bottom w:w="0" w:type="dxa"/>
              <w:right w:w="20" w:type="dxa"/>
            </w:tcMar>
            <w:vAlign w:val="center"/>
            <w:hideMark/>
          </w:tcPr>
          <w:p w14:paraId="279D8A8D" w14:textId="77777777" w:rsidR="00000000" w:rsidRDefault="00C01C43">
            <w:pPr>
              <w:jc w:val="right"/>
              <w:rPr>
                <w:rFonts w:eastAsia="Times New Roman"/>
                <w:sz w:val="20"/>
                <w:szCs w:val="20"/>
              </w:rPr>
            </w:pPr>
          </w:p>
        </w:tc>
        <w:tc>
          <w:tcPr>
            <w:tcW w:w="0" w:type="auto"/>
            <w:gridSpan w:val="2"/>
            <w:tcBorders>
              <w:top w:val="single" w:sz="8" w:space="0" w:color="D9D9D9"/>
            </w:tcBorders>
            <w:shd w:val="clear" w:color="auto" w:fill="FFFFFF"/>
            <w:tcMar>
              <w:top w:w="30" w:type="dxa"/>
              <w:left w:w="20" w:type="dxa"/>
              <w:bottom w:w="30" w:type="dxa"/>
              <w:right w:w="0" w:type="dxa"/>
            </w:tcMar>
            <w:vAlign w:val="bottom"/>
            <w:hideMark/>
          </w:tcPr>
          <w:p w14:paraId="61D91A10" w14:textId="77777777" w:rsidR="00000000" w:rsidRDefault="00C01C43">
            <w:pPr>
              <w:jc w:val="right"/>
              <w:rPr>
                <w:rFonts w:eastAsia="Times New Roman"/>
              </w:rPr>
            </w:pPr>
            <w:r>
              <w:rPr>
                <w:rFonts w:ascii="Arial" w:eastAsia="Times New Roman" w:hAnsi="Arial" w:cs="Arial"/>
                <w:color w:val="000000"/>
                <w:sz w:val="20"/>
                <w:szCs w:val="20"/>
              </w:rPr>
              <w:t>1.6 </w:t>
            </w:r>
          </w:p>
        </w:tc>
        <w:tc>
          <w:tcPr>
            <w:tcW w:w="0" w:type="auto"/>
            <w:tcBorders>
              <w:top w:val="single" w:sz="8" w:space="0" w:color="D9D9D9"/>
            </w:tcBorders>
            <w:shd w:val="clear" w:color="auto" w:fill="FFFFFF"/>
            <w:tcMar>
              <w:top w:w="30" w:type="dxa"/>
              <w:left w:w="0" w:type="dxa"/>
              <w:bottom w:w="30" w:type="dxa"/>
              <w:right w:w="20" w:type="dxa"/>
            </w:tcMar>
            <w:vAlign w:val="bottom"/>
            <w:hideMark/>
          </w:tcPr>
          <w:p w14:paraId="60C9C5A8" w14:textId="77777777" w:rsidR="00000000" w:rsidRDefault="00C01C43">
            <w:pPr>
              <w:jc w:val="right"/>
              <w:rPr>
                <w:rFonts w:eastAsia="Times New Roman"/>
              </w:rPr>
            </w:pPr>
          </w:p>
        </w:tc>
        <w:tc>
          <w:tcPr>
            <w:tcW w:w="0" w:type="auto"/>
            <w:gridSpan w:val="3"/>
            <w:tcBorders>
              <w:top w:val="single" w:sz="8" w:space="0" w:color="D9D9D9"/>
            </w:tcBorders>
            <w:shd w:val="clear" w:color="auto" w:fill="FFFFFF"/>
            <w:tcMar>
              <w:top w:w="0" w:type="dxa"/>
              <w:left w:w="20" w:type="dxa"/>
              <w:bottom w:w="0" w:type="dxa"/>
              <w:right w:w="20" w:type="dxa"/>
            </w:tcMar>
            <w:vAlign w:val="center"/>
            <w:hideMark/>
          </w:tcPr>
          <w:p w14:paraId="37B0A2D0" w14:textId="77777777" w:rsidR="00000000" w:rsidRDefault="00C01C43">
            <w:pPr>
              <w:jc w:val="right"/>
              <w:rPr>
                <w:rFonts w:eastAsia="Times New Roman"/>
                <w:sz w:val="20"/>
                <w:szCs w:val="20"/>
              </w:rPr>
            </w:pPr>
          </w:p>
        </w:tc>
        <w:tc>
          <w:tcPr>
            <w:tcW w:w="0" w:type="auto"/>
            <w:gridSpan w:val="2"/>
            <w:tcBorders>
              <w:top w:val="single" w:sz="8" w:space="0" w:color="D9D9D9"/>
            </w:tcBorders>
            <w:shd w:val="clear" w:color="auto" w:fill="FFFFFF"/>
            <w:tcMar>
              <w:top w:w="30" w:type="dxa"/>
              <w:left w:w="20" w:type="dxa"/>
              <w:bottom w:w="30" w:type="dxa"/>
              <w:right w:w="0" w:type="dxa"/>
            </w:tcMar>
            <w:vAlign w:val="bottom"/>
            <w:hideMark/>
          </w:tcPr>
          <w:p w14:paraId="0E62C4CE" w14:textId="77777777" w:rsidR="00000000" w:rsidRDefault="00C01C43">
            <w:pPr>
              <w:jc w:val="right"/>
              <w:rPr>
                <w:rFonts w:eastAsia="Times New Roman"/>
              </w:rPr>
            </w:pPr>
            <w:r>
              <w:rPr>
                <w:rFonts w:ascii="Arial" w:eastAsia="Times New Roman" w:hAnsi="Arial" w:cs="Arial"/>
                <w:color w:val="000000"/>
                <w:sz w:val="20"/>
                <w:szCs w:val="20"/>
              </w:rPr>
              <w:t>4.8 </w:t>
            </w:r>
          </w:p>
        </w:tc>
        <w:tc>
          <w:tcPr>
            <w:tcW w:w="0" w:type="auto"/>
            <w:tcBorders>
              <w:top w:val="single" w:sz="8" w:space="0" w:color="D9D9D9"/>
            </w:tcBorders>
            <w:shd w:val="clear" w:color="auto" w:fill="FFFFFF"/>
            <w:tcMar>
              <w:top w:w="30" w:type="dxa"/>
              <w:left w:w="0" w:type="dxa"/>
              <w:bottom w:w="30" w:type="dxa"/>
              <w:right w:w="20" w:type="dxa"/>
            </w:tcMar>
            <w:vAlign w:val="bottom"/>
            <w:hideMark/>
          </w:tcPr>
          <w:p w14:paraId="7E24D1FF" w14:textId="77777777" w:rsidR="00000000" w:rsidRDefault="00C01C43">
            <w:pPr>
              <w:jc w:val="right"/>
              <w:rPr>
                <w:rFonts w:eastAsia="Times New Roman"/>
              </w:rPr>
            </w:pPr>
          </w:p>
        </w:tc>
      </w:tr>
      <w:tr w:rsidR="00000000" w14:paraId="4B7A935C" w14:textId="77777777">
        <w:trPr>
          <w:divId w:val="475074270"/>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3FB5D8C8" w14:textId="77777777" w:rsidR="00000000" w:rsidRDefault="00C01C43">
            <w:pPr>
              <w:rPr>
                <w:rFonts w:eastAsia="Times New Roman"/>
              </w:rPr>
            </w:pPr>
            <w:r>
              <w:rPr>
                <w:rFonts w:ascii="Arial" w:eastAsia="Times New Roman" w:hAnsi="Arial" w:cs="Arial"/>
                <w:color w:val="000000"/>
                <w:sz w:val="20"/>
                <w:szCs w:val="20"/>
              </w:rPr>
              <w:t>Effective income tax rate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4A3A89" w14:textId="77777777" w:rsidR="00000000" w:rsidRDefault="00C01C43">
            <w:pPr>
              <w:jc w:val="right"/>
              <w:rPr>
                <w:rFonts w:eastAsia="Times New Roman"/>
              </w:rPr>
            </w:pPr>
            <w:r>
              <w:rPr>
                <w:rFonts w:ascii="Arial" w:eastAsia="Times New Roman" w:hAnsi="Arial" w:cs="Arial"/>
                <w:color w:val="000000"/>
                <w:sz w:val="20"/>
                <w:szCs w:val="20"/>
              </w:rPr>
              <w:t>32.2 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B4775B"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6653B2E0" w14:textId="77777777" w:rsidR="00000000" w:rsidRDefault="00C01C43">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022CE4" w14:textId="77777777" w:rsidR="00000000" w:rsidRDefault="00C01C43">
            <w:pPr>
              <w:jc w:val="right"/>
              <w:rPr>
                <w:rFonts w:eastAsia="Times New Roman"/>
              </w:rPr>
            </w:pPr>
            <w:r>
              <w:rPr>
                <w:rFonts w:ascii="Arial" w:eastAsia="Times New Roman" w:hAnsi="Arial" w:cs="Arial"/>
                <w:color w:val="000000"/>
                <w:sz w:val="20"/>
                <w:szCs w:val="20"/>
              </w:rPr>
              <w:t>23.7 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8107C9" w14:textId="77777777" w:rsidR="00000000" w:rsidRDefault="00C01C4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B148582" w14:textId="77777777" w:rsidR="00000000" w:rsidRDefault="00C01C43">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529DC0" w14:textId="77777777" w:rsidR="00000000" w:rsidRDefault="00C01C43">
            <w:pPr>
              <w:jc w:val="right"/>
              <w:rPr>
                <w:rFonts w:eastAsia="Times New Roman"/>
              </w:rPr>
            </w:pPr>
            <w:r>
              <w:rPr>
                <w:rFonts w:ascii="Arial" w:eastAsia="Times New Roman" w:hAnsi="Arial" w:cs="Arial"/>
                <w:color w:val="000000"/>
                <w:sz w:val="20"/>
                <w:szCs w:val="20"/>
              </w:rPr>
              <w:t>30.2 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7A9A35" w14:textId="77777777" w:rsidR="00000000" w:rsidRDefault="00C01C43">
            <w:pPr>
              <w:jc w:val="right"/>
              <w:rPr>
                <w:rFonts w:eastAsia="Times New Roman"/>
              </w:rPr>
            </w:pPr>
            <w:r>
              <w:rPr>
                <w:rFonts w:ascii="Arial" w:eastAsia="Times New Roman" w:hAnsi="Arial" w:cs="Arial"/>
                <w:color w:val="000000"/>
                <w:sz w:val="20"/>
                <w:szCs w:val="20"/>
              </w:rPr>
              <w:t>%</w:t>
            </w:r>
          </w:p>
        </w:tc>
      </w:tr>
    </w:tbl>
    <w:p w14:paraId="3873FB6D" w14:textId="77777777" w:rsidR="00000000" w:rsidRDefault="00C01C43">
      <w:pPr>
        <w:jc w:val="both"/>
        <w:divId w:val="1990747953"/>
        <w:rPr>
          <w:rFonts w:eastAsia="Times New Roman"/>
        </w:rPr>
      </w:pPr>
    </w:p>
    <w:p w14:paraId="5481579E" w14:textId="77777777" w:rsidR="00000000" w:rsidRDefault="00C01C43">
      <w:pPr>
        <w:jc w:val="both"/>
        <w:divId w:val="1535728422"/>
        <w:rPr>
          <w:rFonts w:eastAsia="Times New Roman"/>
        </w:rPr>
      </w:pPr>
      <w:r>
        <w:rPr>
          <w:rFonts w:ascii="Arial" w:eastAsia="Times New Roman" w:hAnsi="Arial" w:cs="Arial"/>
          <w:color w:val="000000"/>
          <w:sz w:val="20"/>
          <w:szCs w:val="20"/>
        </w:rPr>
        <w:t>For the year ended December 31, 2020, our effective income tax rate was 32.2%, and our income tax provision was $52.1 million, as compared to an effective income tax rate of 23.7% and an income tax provision of $56.2 million for 2019. The tax provision inc</w:t>
      </w:r>
      <w:r>
        <w:rPr>
          <w:rFonts w:ascii="Arial" w:eastAsia="Times New Roman" w:hAnsi="Arial" w:cs="Arial"/>
          <w:color w:val="000000"/>
          <w:sz w:val="20"/>
          <w:szCs w:val="20"/>
        </w:rPr>
        <w:t>ludes a tax expense of $12.9 million for the tax on the gain on the sale of MSTS recorded during the third quarter of 2020. The higher effective income tax rate for 2020, as compared to 2019, resulted primarily from the impact of recording valuation allowa</w:t>
      </w:r>
      <w:r>
        <w:rPr>
          <w:rFonts w:ascii="Arial" w:eastAsia="Times New Roman" w:hAnsi="Arial" w:cs="Arial"/>
          <w:color w:val="000000"/>
          <w:sz w:val="20"/>
          <w:szCs w:val="20"/>
        </w:rPr>
        <w:t>nces against our deferred tax assets in various foreign jurisdictions, and the differences in the results of our subsidiaries in tax jurisdictions with different tax rates.</w:t>
      </w:r>
    </w:p>
    <w:p w14:paraId="010B2C22" w14:textId="77777777" w:rsidR="00000000" w:rsidRDefault="00C01C43">
      <w:pPr>
        <w:jc w:val="both"/>
        <w:divId w:val="1553075093"/>
        <w:rPr>
          <w:rFonts w:eastAsia="Times New Roman"/>
        </w:rPr>
      </w:pPr>
      <w:r>
        <w:rPr>
          <w:rFonts w:ascii="Arial" w:eastAsia="Times New Roman" w:hAnsi="Arial" w:cs="Arial"/>
          <w:color w:val="000000"/>
          <w:sz w:val="20"/>
          <w:szCs w:val="20"/>
        </w:rPr>
        <w:t xml:space="preserve">For the year ended December 31, 2019, our effective income tax rate was 23.7%, for </w:t>
      </w:r>
      <w:r>
        <w:rPr>
          <w:rFonts w:ascii="Arial" w:eastAsia="Times New Roman" w:hAnsi="Arial" w:cs="Arial"/>
          <w:color w:val="000000"/>
          <w:sz w:val="20"/>
          <w:szCs w:val="20"/>
        </w:rPr>
        <w:t xml:space="preserve">an income tax provision of $56.2 million, as compared to an effective income tax rate of 30.2% and an income tax provision of $55.9 million for 2018. The lower effective income tax rate for 2019 resulted principally from the benefits of differences in the </w:t>
      </w:r>
      <w:r>
        <w:rPr>
          <w:rFonts w:ascii="Arial" w:eastAsia="Times New Roman" w:hAnsi="Arial" w:cs="Arial"/>
          <w:color w:val="000000"/>
          <w:sz w:val="20"/>
          <w:szCs w:val="20"/>
        </w:rPr>
        <w:t>results of our subsidiaries in tax jurisdictions with different income tax rates, the impacts of BEAT and GILTI, other permanent tax differences, and one-time return-to-provision foreign exchange statutory adjustments. These benefits were reduced by increa</w:t>
      </w:r>
      <w:r>
        <w:rPr>
          <w:rFonts w:ascii="Arial" w:eastAsia="Times New Roman" w:hAnsi="Arial" w:cs="Arial"/>
          <w:color w:val="000000"/>
          <w:sz w:val="20"/>
          <w:szCs w:val="20"/>
        </w:rPr>
        <w:t>ses in uncertain tax positions and the effect of state income taxes. Several final and proposed regulations were issued for U.S. federal income tax purposes during 2019 regarding BEAT, foreign tax credits, and GILTI, among other areas. The Treasury Departm</w:t>
      </w:r>
      <w:r>
        <w:rPr>
          <w:rFonts w:ascii="Arial" w:eastAsia="Times New Roman" w:hAnsi="Arial" w:cs="Arial"/>
          <w:color w:val="000000"/>
          <w:sz w:val="20"/>
          <w:szCs w:val="20"/>
        </w:rPr>
        <w:t>ent and IRS released final and proposed regulations regarding BEAT on December 2, 2019 and provided an election to waive deductions for purposes of determining base erosion payments which we elected to apply to both 2018 and 2019. Our 2019 effective income</w:t>
      </w:r>
      <w:r>
        <w:rPr>
          <w:rFonts w:ascii="Arial" w:eastAsia="Times New Roman" w:hAnsi="Arial" w:cs="Arial"/>
          <w:color w:val="000000"/>
          <w:sz w:val="20"/>
          <w:szCs w:val="20"/>
        </w:rPr>
        <w:t xml:space="preserve"> tax rate and income tax expense reflect the results of this election for 2019 and the one-time benefit for 2018.</w:t>
      </w:r>
    </w:p>
    <w:p w14:paraId="24A8BEC3" w14:textId="77777777" w:rsidR="00000000" w:rsidRDefault="00C01C43">
      <w:pPr>
        <w:jc w:val="both"/>
        <w:divId w:val="1628968081"/>
        <w:rPr>
          <w:rFonts w:eastAsia="Times New Roman"/>
        </w:rPr>
      </w:pPr>
      <w:r>
        <w:rPr>
          <w:rFonts w:ascii="Arial" w:eastAsia="Times New Roman" w:hAnsi="Arial" w:cs="Arial"/>
          <w:color w:val="000000"/>
          <w:sz w:val="20"/>
          <w:szCs w:val="20"/>
        </w:rPr>
        <w:t>For the year ended December 31, 2018, our effective income tax rate was 30.2%, for an income tax provision of $55.9 million, as compared to an</w:t>
      </w:r>
      <w:r>
        <w:rPr>
          <w:rFonts w:ascii="Arial" w:eastAsia="Times New Roman" w:hAnsi="Arial" w:cs="Arial"/>
          <w:color w:val="000000"/>
          <w:sz w:val="20"/>
          <w:szCs w:val="20"/>
        </w:rPr>
        <w:t xml:space="preserve"> effective income tax rate of (707.1)% and an income tax provision of $149.2 million for 2017. The lower effective income tax rate for 2018 resulted primarily from differences in the results of our subsidiaries in tax jurisdictions with different income ta</w:t>
      </w:r>
      <w:r>
        <w:rPr>
          <w:rFonts w:ascii="Arial" w:eastAsia="Times New Roman" w:hAnsi="Arial" w:cs="Arial"/>
          <w:color w:val="000000"/>
          <w:sz w:val="20"/>
          <w:szCs w:val="20"/>
        </w:rPr>
        <w:t>x rates, the effects of the Act's $143.7 million one-time transition tax on historic accumulated foreign earnings, and a goodwill impairment. Without the transition tax charge, the effective income tax rate for 2017 would have been (25.9)%.</w:t>
      </w:r>
    </w:p>
    <w:p w14:paraId="78AB1155" w14:textId="77777777" w:rsidR="00000000" w:rsidRDefault="00C01C43">
      <w:pPr>
        <w:jc w:val="center"/>
        <w:divId w:val="4750506"/>
        <w:rPr>
          <w:rFonts w:eastAsia="Times New Roman"/>
        </w:rPr>
      </w:pPr>
      <w:r>
        <w:rPr>
          <w:rFonts w:ascii="Arial" w:eastAsia="Times New Roman" w:hAnsi="Arial" w:cs="Arial"/>
          <w:color w:val="000000"/>
          <w:sz w:val="16"/>
          <w:szCs w:val="16"/>
        </w:rPr>
        <w:t>79</w:t>
      </w:r>
    </w:p>
    <w:p w14:paraId="55C4F50F" w14:textId="77777777" w:rsidR="00000000" w:rsidRDefault="00C01C43">
      <w:pPr>
        <w:rPr>
          <w:rFonts w:eastAsia="Times New Roman"/>
        </w:rPr>
      </w:pPr>
      <w:r>
        <w:rPr>
          <w:rFonts w:eastAsia="Times New Roman"/>
        </w:rPr>
        <w:pict w14:anchorId="78EA905B">
          <v:rect id="_x0000_i1108" style="width:0;height:1.5pt" o:hralign="center" o:hrstd="t" o:hr="t" fillcolor="#a0a0a0" stroked="f"/>
        </w:pict>
      </w:r>
    </w:p>
    <w:p w14:paraId="7FFA1663" w14:textId="77777777" w:rsidR="00000000" w:rsidRDefault="00C01C43">
      <w:pPr>
        <w:divId w:val="1013842499"/>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3839E148" w14:textId="77777777" w:rsidR="00000000" w:rsidRDefault="00C01C43">
      <w:pPr>
        <w:jc w:val="both"/>
        <w:rPr>
          <w:rFonts w:eastAsia="Times New Roman"/>
        </w:rPr>
      </w:pPr>
      <w:r>
        <w:rPr>
          <w:rFonts w:ascii="Arial" w:eastAsia="Times New Roman" w:hAnsi="Arial" w:cs="Arial"/>
          <w:color w:val="000000"/>
          <w:sz w:val="20"/>
          <w:szCs w:val="20"/>
        </w:rPr>
        <w:t>We have analyzed our global working capital and cash requirements and the potential tax liabilities attributable to repatriation and have determined that we</w:t>
      </w:r>
      <w:r>
        <w:rPr>
          <w:rFonts w:ascii="Arial" w:eastAsia="Times New Roman" w:hAnsi="Arial" w:cs="Arial"/>
          <w:color w:val="000000"/>
          <w:sz w:val="20"/>
          <w:szCs w:val="20"/>
        </w:rPr>
        <w:t xml:space="preserve"> intend to continue our assertion that the earnings of certain of our non-U.S. subsidiaries are indefinitely reinvested. At December 31, 2020, $963.6 million of our foreign earnings were permanently reinvested in non-US business operations. For these inves</w:t>
      </w:r>
      <w:r>
        <w:rPr>
          <w:rFonts w:ascii="Arial" w:eastAsia="Times New Roman" w:hAnsi="Arial" w:cs="Arial"/>
          <w:color w:val="000000"/>
          <w:sz w:val="20"/>
          <w:szCs w:val="20"/>
        </w:rPr>
        <w:t>tments, if not reinvested indefinitely, we could potentially owe approximately $212.0 million in foreign withholding tax. For the remaining $1.4 billion accumulated foreign earnings that are actually or deemed repatriated, we have made an estimate of the a</w:t>
      </w:r>
      <w:r>
        <w:rPr>
          <w:rFonts w:ascii="Arial" w:eastAsia="Times New Roman" w:hAnsi="Arial" w:cs="Arial"/>
          <w:color w:val="000000"/>
          <w:sz w:val="20"/>
          <w:szCs w:val="20"/>
        </w:rPr>
        <w:t>ssociated foreign withholding and state income tax effects of $10.4 million for 2020.</w:t>
      </w:r>
    </w:p>
    <w:p w14:paraId="1F8450D0" w14:textId="77777777" w:rsidR="00000000" w:rsidRDefault="00C01C43">
      <w:pPr>
        <w:jc w:val="both"/>
        <w:rPr>
          <w:rFonts w:eastAsia="Times New Roman"/>
        </w:rPr>
      </w:pPr>
    </w:p>
    <w:p w14:paraId="321D043E" w14:textId="77777777" w:rsidR="00000000" w:rsidRDefault="00C01C43">
      <w:pPr>
        <w:jc w:val="both"/>
        <w:divId w:val="1402674309"/>
        <w:rPr>
          <w:rFonts w:eastAsia="Times New Roman"/>
        </w:rPr>
      </w:pPr>
      <w:r>
        <w:rPr>
          <w:rFonts w:ascii="Arial" w:eastAsia="Times New Roman" w:hAnsi="Arial" w:cs="Arial"/>
          <w:color w:val="000000"/>
          <w:sz w:val="20"/>
          <w:szCs w:val="20"/>
        </w:rPr>
        <w:t>The temporary differences which comprise our net deferred tax liabilities are as follows (in millions):</w:t>
      </w:r>
    </w:p>
    <w:tbl>
      <w:tblPr>
        <w:tblW w:w="4992" w:type="pct"/>
        <w:tblCellMar>
          <w:top w:w="15" w:type="dxa"/>
          <w:left w:w="15" w:type="dxa"/>
          <w:bottom w:w="15" w:type="dxa"/>
          <w:right w:w="15" w:type="dxa"/>
        </w:tblCellMar>
        <w:tblLook w:val="04A0" w:firstRow="1" w:lastRow="0" w:firstColumn="1" w:lastColumn="0" w:noHBand="0" w:noVBand="1"/>
      </w:tblPr>
      <w:tblGrid>
        <w:gridCol w:w="38"/>
        <w:gridCol w:w="5492"/>
        <w:gridCol w:w="37"/>
        <w:gridCol w:w="133"/>
        <w:gridCol w:w="1159"/>
        <w:gridCol w:w="37"/>
        <w:gridCol w:w="37"/>
        <w:gridCol w:w="37"/>
        <w:gridCol w:w="37"/>
        <w:gridCol w:w="132"/>
        <w:gridCol w:w="1118"/>
        <w:gridCol w:w="36"/>
      </w:tblGrid>
      <w:tr w:rsidR="00000000" w14:paraId="1CF88B0B" w14:textId="77777777">
        <w:trPr>
          <w:divId w:val="2131392501"/>
        </w:trPr>
        <w:tc>
          <w:tcPr>
            <w:tcW w:w="50" w:type="pct"/>
            <w:vAlign w:val="center"/>
            <w:hideMark/>
          </w:tcPr>
          <w:p w14:paraId="1E389FB5" w14:textId="77777777" w:rsidR="00000000" w:rsidRDefault="00C01C43">
            <w:pPr>
              <w:jc w:val="both"/>
              <w:rPr>
                <w:rFonts w:eastAsia="Times New Roman"/>
              </w:rPr>
            </w:pPr>
          </w:p>
        </w:tc>
        <w:tc>
          <w:tcPr>
            <w:tcW w:w="3341" w:type="pct"/>
            <w:vAlign w:val="center"/>
            <w:hideMark/>
          </w:tcPr>
          <w:p w14:paraId="7D53ACC8" w14:textId="77777777" w:rsidR="00000000" w:rsidRDefault="00C01C43">
            <w:pPr>
              <w:rPr>
                <w:rFonts w:eastAsia="Times New Roman"/>
                <w:sz w:val="20"/>
                <w:szCs w:val="20"/>
              </w:rPr>
            </w:pPr>
          </w:p>
        </w:tc>
        <w:tc>
          <w:tcPr>
            <w:tcW w:w="5" w:type="pct"/>
            <w:vAlign w:val="center"/>
            <w:hideMark/>
          </w:tcPr>
          <w:p w14:paraId="0E18602F" w14:textId="77777777" w:rsidR="00000000" w:rsidRDefault="00C01C43">
            <w:pPr>
              <w:rPr>
                <w:rFonts w:eastAsia="Times New Roman"/>
                <w:sz w:val="20"/>
                <w:szCs w:val="20"/>
              </w:rPr>
            </w:pPr>
          </w:p>
        </w:tc>
        <w:tc>
          <w:tcPr>
            <w:tcW w:w="50" w:type="pct"/>
            <w:vAlign w:val="center"/>
            <w:hideMark/>
          </w:tcPr>
          <w:p w14:paraId="582E915D" w14:textId="77777777" w:rsidR="00000000" w:rsidRDefault="00C01C43">
            <w:pPr>
              <w:rPr>
                <w:rFonts w:eastAsia="Times New Roman"/>
                <w:sz w:val="20"/>
                <w:szCs w:val="20"/>
              </w:rPr>
            </w:pPr>
          </w:p>
        </w:tc>
        <w:tc>
          <w:tcPr>
            <w:tcW w:w="728" w:type="pct"/>
            <w:vAlign w:val="center"/>
            <w:hideMark/>
          </w:tcPr>
          <w:p w14:paraId="0D8B6FA9" w14:textId="77777777" w:rsidR="00000000" w:rsidRDefault="00C01C43">
            <w:pPr>
              <w:rPr>
                <w:rFonts w:eastAsia="Times New Roman"/>
                <w:sz w:val="20"/>
                <w:szCs w:val="20"/>
              </w:rPr>
            </w:pPr>
          </w:p>
        </w:tc>
        <w:tc>
          <w:tcPr>
            <w:tcW w:w="5" w:type="pct"/>
            <w:vAlign w:val="center"/>
            <w:hideMark/>
          </w:tcPr>
          <w:p w14:paraId="394755D3" w14:textId="77777777" w:rsidR="00000000" w:rsidRDefault="00C01C43">
            <w:pPr>
              <w:rPr>
                <w:rFonts w:eastAsia="Times New Roman"/>
                <w:sz w:val="20"/>
                <w:szCs w:val="20"/>
              </w:rPr>
            </w:pPr>
          </w:p>
        </w:tc>
        <w:tc>
          <w:tcPr>
            <w:tcW w:w="5" w:type="pct"/>
            <w:vAlign w:val="center"/>
            <w:hideMark/>
          </w:tcPr>
          <w:p w14:paraId="00B458AC" w14:textId="77777777" w:rsidR="00000000" w:rsidRDefault="00C01C43">
            <w:pPr>
              <w:rPr>
                <w:rFonts w:eastAsia="Times New Roman"/>
                <w:sz w:val="20"/>
                <w:szCs w:val="20"/>
              </w:rPr>
            </w:pPr>
          </w:p>
        </w:tc>
        <w:tc>
          <w:tcPr>
            <w:tcW w:w="26" w:type="pct"/>
            <w:vAlign w:val="center"/>
            <w:hideMark/>
          </w:tcPr>
          <w:p w14:paraId="21BA69DF" w14:textId="77777777" w:rsidR="00000000" w:rsidRDefault="00C01C43">
            <w:pPr>
              <w:rPr>
                <w:rFonts w:eastAsia="Times New Roman"/>
                <w:sz w:val="20"/>
                <w:szCs w:val="20"/>
              </w:rPr>
            </w:pPr>
          </w:p>
        </w:tc>
        <w:tc>
          <w:tcPr>
            <w:tcW w:w="5" w:type="pct"/>
            <w:vAlign w:val="center"/>
            <w:hideMark/>
          </w:tcPr>
          <w:p w14:paraId="077C4A03" w14:textId="77777777" w:rsidR="00000000" w:rsidRDefault="00C01C43">
            <w:pPr>
              <w:rPr>
                <w:rFonts w:eastAsia="Times New Roman"/>
                <w:sz w:val="20"/>
                <w:szCs w:val="20"/>
              </w:rPr>
            </w:pPr>
          </w:p>
        </w:tc>
        <w:tc>
          <w:tcPr>
            <w:tcW w:w="50" w:type="pct"/>
            <w:vAlign w:val="center"/>
            <w:hideMark/>
          </w:tcPr>
          <w:p w14:paraId="46300455" w14:textId="77777777" w:rsidR="00000000" w:rsidRDefault="00C01C43">
            <w:pPr>
              <w:rPr>
                <w:rFonts w:eastAsia="Times New Roman"/>
                <w:sz w:val="20"/>
                <w:szCs w:val="20"/>
              </w:rPr>
            </w:pPr>
          </w:p>
        </w:tc>
        <w:tc>
          <w:tcPr>
            <w:tcW w:w="728" w:type="pct"/>
            <w:vAlign w:val="center"/>
            <w:hideMark/>
          </w:tcPr>
          <w:p w14:paraId="3B230BA8" w14:textId="77777777" w:rsidR="00000000" w:rsidRDefault="00C01C43">
            <w:pPr>
              <w:rPr>
                <w:rFonts w:eastAsia="Times New Roman"/>
                <w:sz w:val="20"/>
                <w:szCs w:val="20"/>
              </w:rPr>
            </w:pPr>
          </w:p>
        </w:tc>
        <w:tc>
          <w:tcPr>
            <w:tcW w:w="5" w:type="pct"/>
            <w:vAlign w:val="center"/>
            <w:hideMark/>
          </w:tcPr>
          <w:p w14:paraId="4A82F4DC" w14:textId="77777777" w:rsidR="00000000" w:rsidRDefault="00C01C43">
            <w:pPr>
              <w:rPr>
                <w:rFonts w:eastAsia="Times New Roman"/>
                <w:sz w:val="20"/>
                <w:szCs w:val="20"/>
              </w:rPr>
            </w:pPr>
          </w:p>
        </w:tc>
      </w:tr>
      <w:tr w:rsidR="00000000" w14:paraId="5F69D9FE" w14:textId="77777777">
        <w:trPr>
          <w:divId w:val="2131392501"/>
        </w:trPr>
        <w:tc>
          <w:tcPr>
            <w:tcW w:w="0" w:type="auto"/>
            <w:gridSpan w:val="3"/>
            <w:tcMar>
              <w:top w:w="0" w:type="dxa"/>
              <w:left w:w="20" w:type="dxa"/>
              <w:bottom w:w="0" w:type="dxa"/>
              <w:right w:w="20" w:type="dxa"/>
            </w:tcMar>
            <w:vAlign w:val="center"/>
            <w:hideMark/>
          </w:tcPr>
          <w:p w14:paraId="05FAE6C9" w14:textId="77777777" w:rsidR="00000000" w:rsidRDefault="00C01C43">
            <w:pPr>
              <w:rPr>
                <w:rFonts w:eastAsia="Times New Roman"/>
                <w:sz w:val="20"/>
                <w:szCs w:val="20"/>
              </w:rPr>
            </w:pPr>
          </w:p>
        </w:tc>
        <w:tc>
          <w:tcPr>
            <w:tcW w:w="0" w:type="auto"/>
            <w:gridSpan w:val="9"/>
            <w:tcMar>
              <w:top w:w="30" w:type="dxa"/>
              <w:left w:w="20" w:type="dxa"/>
              <w:bottom w:w="30" w:type="dxa"/>
              <w:right w:w="20" w:type="dxa"/>
            </w:tcMar>
            <w:vAlign w:val="bottom"/>
            <w:hideMark/>
          </w:tcPr>
          <w:p w14:paraId="057472EE" w14:textId="77777777" w:rsidR="00000000" w:rsidRDefault="00C01C43">
            <w:pPr>
              <w:jc w:val="center"/>
              <w:rPr>
                <w:rFonts w:eastAsia="Times New Roman"/>
              </w:rPr>
            </w:pPr>
            <w:r>
              <w:rPr>
                <w:rFonts w:ascii="Arial" w:eastAsia="Times New Roman" w:hAnsi="Arial" w:cs="Arial"/>
                <w:b/>
                <w:bCs/>
                <w:color w:val="000000"/>
                <w:sz w:val="16"/>
                <w:szCs w:val="16"/>
              </w:rPr>
              <w:t>As of December 31,</w:t>
            </w:r>
          </w:p>
        </w:tc>
      </w:tr>
      <w:tr w:rsidR="00000000" w14:paraId="3B101E93" w14:textId="77777777">
        <w:trPr>
          <w:divId w:val="2131392501"/>
        </w:trPr>
        <w:tc>
          <w:tcPr>
            <w:tcW w:w="0" w:type="auto"/>
            <w:gridSpan w:val="3"/>
            <w:tcMar>
              <w:top w:w="0" w:type="dxa"/>
              <w:left w:w="20" w:type="dxa"/>
              <w:bottom w:w="0" w:type="dxa"/>
              <w:right w:w="20" w:type="dxa"/>
            </w:tcMar>
            <w:vAlign w:val="center"/>
            <w:hideMark/>
          </w:tcPr>
          <w:p w14:paraId="7ADCD4B0"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D867F7"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D19244D"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92994E" w14:textId="77777777" w:rsidR="00000000" w:rsidRDefault="00C01C43">
            <w:pPr>
              <w:jc w:val="center"/>
              <w:rPr>
                <w:rFonts w:eastAsia="Times New Roman"/>
              </w:rPr>
            </w:pPr>
            <w:r>
              <w:rPr>
                <w:rFonts w:ascii="Arial" w:eastAsia="Times New Roman" w:hAnsi="Arial" w:cs="Arial"/>
                <w:b/>
                <w:bCs/>
                <w:color w:val="000000"/>
                <w:sz w:val="16"/>
                <w:szCs w:val="16"/>
              </w:rPr>
              <w:t>2019</w:t>
            </w:r>
          </w:p>
        </w:tc>
      </w:tr>
      <w:tr w:rsidR="00000000" w14:paraId="2AD8304E" w14:textId="77777777">
        <w:trPr>
          <w:divId w:val="2131392501"/>
        </w:trPr>
        <w:tc>
          <w:tcPr>
            <w:tcW w:w="0" w:type="auto"/>
            <w:gridSpan w:val="3"/>
            <w:tcBorders>
              <w:top w:val="single" w:sz="8" w:space="0" w:color="000000"/>
            </w:tcBorders>
            <w:tcMar>
              <w:top w:w="30" w:type="dxa"/>
              <w:left w:w="20" w:type="dxa"/>
              <w:bottom w:w="30" w:type="dxa"/>
              <w:right w:w="20" w:type="dxa"/>
            </w:tcMar>
            <w:vAlign w:val="bottom"/>
            <w:hideMark/>
          </w:tcPr>
          <w:p w14:paraId="7471D40D" w14:textId="77777777" w:rsidR="00000000" w:rsidRDefault="00C01C43">
            <w:pPr>
              <w:rPr>
                <w:rFonts w:eastAsia="Times New Roman"/>
              </w:rPr>
            </w:pPr>
            <w:r>
              <w:rPr>
                <w:rFonts w:ascii="Arial" w:eastAsia="Times New Roman" w:hAnsi="Arial" w:cs="Arial"/>
                <w:color w:val="000000"/>
                <w:sz w:val="20"/>
                <w:szCs w:val="20"/>
              </w:rPr>
              <w:t>Gross Deferred Tax Assets:</w:t>
            </w:r>
          </w:p>
        </w:tc>
        <w:tc>
          <w:tcPr>
            <w:tcW w:w="0" w:type="auto"/>
            <w:gridSpan w:val="3"/>
            <w:tcBorders>
              <w:top w:val="single" w:sz="8" w:space="0" w:color="000000"/>
            </w:tcBorders>
            <w:tcMar>
              <w:top w:w="0" w:type="dxa"/>
              <w:left w:w="20" w:type="dxa"/>
              <w:bottom w:w="0" w:type="dxa"/>
              <w:right w:w="20" w:type="dxa"/>
            </w:tcMar>
            <w:vAlign w:val="center"/>
            <w:hideMark/>
          </w:tcPr>
          <w:p w14:paraId="4DE0F114" w14:textId="77777777" w:rsidR="00000000" w:rsidRDefault="00C01C4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98D7DEE" w14:textId="77777777" w:rsidR="00000000" w:rsidRDefault="00C01C4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25025B" w14:textId="77777777" w:rsidR="00000000" w:rsidRDefault="00C01C43">
            <w:pPr>
              <w:rPr>
                <w:rFonts w:eastAsia="Times New Roman"/>
                <w:sz w:val="20"/>
                <w:szCs w:val="20"/>
              </w:rPr>
            </w:pPr>
          </w:p>
        </w:tc>
      </w:tr>
      <w:tr w:rsidR="00000000" w14:paraId="6BBE4083" w14:textId="77777777">
        <w:trPr>
          <w:divId w:val="2131392501"/>
        </w:trPr>
        <w:tc>
          <w:tcPr>
            <w:tcW w:w="0" w:type="auto"/>
            <w:gridSpan w:val="3"/>
            <w:shd w:val="clear" w:color="auto" w:fill="CCEEFF"/>
            <w:tcMar>
              <w:top w:w="30" w:type="dxa"/>
              <w:left w:w="20" w:type="dxa"/>
              <w:bottom w:w="30" w:type="dxa"/>
              <w:right w:w="20" w:type="dxa"/>
            </w:tcMar>
            <w:vAlign w:val="bottom"/>
            <w:hideMark/>
          </w:tcPr>
          <w:p w14:paraId="42C1F29B" w14:textId="77777777" w:rsidR="00000000" w:rsidRDefault="00C01C43">
            <w:pPr>
              <w:rPr>
                <w:rFonts w:eastAsia="Times New Roman"/>
              </w:rPr>
            </w:pPr>
            <w:r>
              <w:rPr>
                <w:rFonts w:ascii="Arial" w:eastAsia="Times New Roman" w:hAnsi="Arial" w:cs="Arial"/>
                <w:color w:val="000000"/>
                <w:sz w:val="20"/>
                <w:szCs w:val="20"/>
              </w:rPr>
              <w:t>Bad debt reserve</w:t>
            </w:r>
          </w:p>
        </w:tc>
        <w:tc>
          <w:tcPr>
            <w:tcW w:w="0" w:type="auto"/>
            <w:shd w:val="clear" w:color="auto" w:fill="CCEEFF"/>
            <w:tcMar>
              <w:top w:w="30" w:type="dxa"/>
              <w:left w:w="20" w:type="dxa"/>
              <w:bottom w:w="30" w:type="dxa"/>
              <w:right w:w="0" w:type="dxa"/>
            </w:tcMar>
            <w:vAlign w:val="bottom"/>
            <w:hideMark/>
          </w:tcPr>
          <w:p w14:paraId="25850F15"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7CA06C3F" w14:textId="77777777" w:rsidR="00000000" w:rsidRDefault="00C01C43">
            <w:pPr>
              <w:jc w:val="right"/>
              <w:rPr>
                <w:rFonts w:eastAsia="Times New Roman"/>
              </w:rPr>
            </w:pPr>
            <w:r>
              <w:rPr>
                <w:rFonts w:ascii="Arial" w:eastAsia="Times New Roman" w:hAnsi="Arial" w:cs="Arial"/>
                <w:color w:val="000000"/>
                <w:sz w:val="20"/>
                <w:szCs w:val="20"/>
              </w:rPr>
              <w:t>15.2 </w:t>
            </w:r>
          </w:p>
        </w:tc>
        <w:tc>
          <w:tcPr>
            <w:tcW w:w="0" w:type="auto"/>
            <w:shd w:val="clear" w:color="auto" w:fill="CCEEFF"/>
            <w:tcMar>
              <w:top w:w="30" w:type="dxa"/>
              <w:left w:w="0" w:type="dxa"/>
              <w:bottom w:w="30" w:type="dxa"/>
              <w:right w:w="20" w:type="dxa"/>
            </w:tcMar>
            <w:vAlign w:val="bottom"/>
            <w:hideMark/>
          </w:tcPr>
          <w:p w14:paraId="3165A20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04B03F"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5EA16FD"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0080A0EF" w14:textId="77777777" w:rsidR="00000000" w:rsidRDefault="00C01C43">
            <w:pPr>
              <w:jc w:val="right"/>
              <w:rPr>
                <w:rFonts w:eastAsia="Times New Roman"/>
              </w:rPr>
            </w:pPr>
            <w:r>
              <w:rPr>
                <w:rFonts w:ascii="Arial" w:eastAsia="Times New Roman" w:hAnsi="Arial" w:cs="Arial"/>
                <w:color w:val="000000"/>
                <w:sz w:val="20"/>
                <w:szCs w:val="20"/>
              </w:rPr>
              <w:t>4.2 </w:t>
            </w:r>
          </w:p>
        </w:tc>
        <w:tc>
          <w:tcPr>
            <w:tcW w:w="0" w:type="auto"/>
            <w:shd w:val="clear" w:color="auto" w:fill="CCEEFF"/>
            <w:tcMar>
              <w:top w:w="30" w:type="dxa"/>
              <w:left w:w="0" w:type="dxa"/>
              <w:bottom w:w="30" w:type="dxa"/>
              <w:right w:w="20" w:type="dxa"/>
            </w:tcMar>
            <w:vAlign w:val="bottom"/>
            <w:hideMark/>
          </w:tcPr>
          <w:p w14:paraId="61AAAD11" w14:textId="77777777" w:rsidR="00000000" w:rsidRDefault="00C01C43">
            <w:pPr>
              <w:jc w:val="right"/>
              <w:rPr>
                <w:rFonts w:eastAsia="Times New Roman"/>
              </w:rPr>
            </w:pPr>
          </w:p>
        </w:tc>
      </w:tr>
      <w:tr w:rsidR="00000000" w14:paraId="47A5091A" w14:textId="77777777">
        <w:trPr>
          <w:divId w:val="2131392501"/>
        </w:trPr>
        <w:tc>
          <w:tcPr>
            <w:tcW w:w="0" w:type="auto"/>
            <w:gridSpan w:val="3"/>
            <w:shd w:val="clear" w:color="auto" w:fill="FFFFFF"/>
            <w:tcMar>
              <w:top w:w="30" w:type="dxa"/>
              <w:left w:w="20" w:type="dxa"/>
              <w:bottom w:w="30" w:type="dxa"/>
              <w:right w:w="20" w:type="dxa"/>
            </w:tcMar>
            <w:vAlign w:val="bottom"/>
            <w:hideMark/>
          </w:tcPr>
          <w:p w14:paraId="7CBDD700" w14:textId="77777777" w:rsidR="00000000" w:rsidRDefault="00C01C43">
            <w:pPr>
              <w:rPr>
                <w:rFonts w:eastAsia="Times New Roman"/>
              </w:rPr>
            </w:pPr>
            <w:r>
              <w:rPr>
                <w:rFonts w:ascii="Arial" w:eastAsia="Times New Roman" w:hAnsi="Arial" w:cs="Arial"/>
                <w:color w:val="000000"/>
                <w:sz w:val="20"/>
                <w:szCs w:val="20"/>
              </w:rPr>
              <w:t>Net operating loss</w:t>
            </w:r>
          </w:p>
        </w:tc>
        <w:tc>
          <w:tcPr>
            <w:tcW w:w="0" w:type="auto"/>
            <w:gridSpan w:val="2"/>
            <w:shd w:val="clear" w:color="auto" w:fill="FFFFFF"/>
            <w:tcMar>
              <w:top w:w="30" w:type="dxa"/>
              <w:left w:w="20" w:type="dxa"/>
              <w:bottom w:w="30" w:type="dxa"/>
              <w:right w:w="0" w:type="dxa"/>
            </w:tcMar>
            <w:vAlign w:val="bottom"/>
            <w:hideMark/>
          </w:tcPr>
          <w:p w14:paraId="19EE0D1E" w14:textId="77777777" w:rsidR="00000000" w:rsidRDefault="00C01C43">
            <w:pPr>
              <w:jc w:val="right"/>
              <w:rPr>
                <w:rFonts w:eastAsia="Times New Roman"/>
              </w:rPr>
            </w:pPr>
            <w:r>
              <w:rPr>
                <w:rFonts w:ascii="Arial" w:eastAsia="Times New Roman" w:hAnsi="Arial" w:cs="Arial"/>
                <w:color w:val="000000"/>
                <w:sz w:val="20"/>
                <w:szCs w:val="20"/>
              </w:rPr>
              <w:t>57.4 </w:t>
            </w:r>
          </w:p>
        </w:tc>
        <w:tc>
          <w:tcPr>
            <w:tcW w:w="0" w:type="auto"/>
            <w:shd w:val="clear" w:color="auto" w:fill="FFFFFF"/>
            <w:tcMar>
              <w:top w:w="30" w:type="dxa"/>
              <w:left w:w="0" w:type="dxa"/>
              <w:bottom w:w="30" w:type="dxa"/>
              <w:right w:w="20" w:type="dxa"/>
            </w:tcMar>
            <w:vAlign w:val="bottom"/>
            <w:hideMark/>
          </w:tcPr>
          <w:p w14:paraId="5C7A03F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6692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2BE763" w14:textId="77777777" w:rsidR="00000000" w:rsidRDefault="00C01C43">
            <w:pPr>
              <w:jc w:val="right"/>
              <w:rPr>
                <w:rFonts w:eastAsia="Times New Roman"/>
              </w:rPr>
            </w:pPr>
            <w:r>
              <w:rPr>
                <w:rFonts w:ascii="Arial" w:eastAsia="Times New Roman" w:hAnsi="Arial" w:cs="Arial"/>
                <w:color w:val="000000"/>
                <w:sz w:val="20"/>
                <w:szCs w:val="20"/>
              </w:rPr>
              <w:t>40.1 </w:t>
            </w:r>
          </w:p>
        </w:tc>
        <w:tc>
          <w:tcPr>
            <w:tcW w:w="0" w:type="auto"/>
            <w:shd w:val="clear" w:color="auto" w:fill="FFFFFF"/>
            <w:tcMar>
              <w:top w:w="30" w:type="dxa"/>
              <w:left w:w="0" w:type="dxa"/>
              <w:bottom w:w="30" w:type="dxa"/>
              <w:right w:w="20" w:type="dxa"/>
            </w:tcMar>
            <w:vAlign w:val="bottom"/>
            <w:hideMark/>
          </w:tcPr>
          <w:p w14:paraId="1E5896FC" w14:textId="77777777" w:rsidR="00000000" w:rsidRDefault="00C01C43">
            <w:pPr>
              <w:jc w:val="right"/>
              <w:rPr>
                <w:rFonts w:eastAsia="Times New Roman"/>
              </w:rPr>
            </w:pPr>
          </w:p>
        </w:tc>
      </w:tr>
      <w:tr w:rsidR="00000000" w14:paraId="2F7E284B" w14:textId="77777777">
        <w:trPr>
          <w:divId w:val="2131392501"/>
        </w:trPr>
        <w:tc>
          <w:tcPr>
            <w:tcW w:w="0" w:type="auto"/>
            <w:gridSpan w:val="3"/>
            <w:shd w:val="clear" w:color="auto" w:fill="CCEEFF"/>
            <w:tcMar>
              <w:top w:w="30" w:type="dxa"/>
              <w:left w:w="20" w:type="dxa"/>
              <w:bottom w:w="30" w:type="dxa"/>
              <w:right w:w="20" w:type="dxa"/>
            </w:tcMar>
            <w:vAlign w:val="bottom"/>
            <w:hideMark/>
          </w:tcPr>
          <w:p w14:paraId="215B1632" w14:textId="77777777" w:rsidR="00000000" w:rsidRDefault="00C01C43">
            <w:pPr>
              <w:rPr>
                <w:rFonts w:eastAsia="Times New Roman"/>
              </w:rPr>
            </w:pPr>
            <w:r>
              <w:rPr>
                <w:rFonts w:ascii="Arial" w:eastAsia="Times New Roman" w:hAnsi="Arial" w:cs="Arial"/>
                <w:color w:val="000000"/>
                <w:sz w:val="20"/>
                <w:szCs w:val="20"/>
              </w:rPr>
              <w:t>Accrued and other share-based compensation</w:t>
            </w:r>
          </w:p>
        </w:tc>
        <w:tc>
          <w:tcPr>
            <w:tcW w:w="0" w:type="auto"/>
            <w:gridSpan w:val="2"/>
            <w:shd w:val="clear" w:color="auto" w:fill="CCEEFF"/>
            <w:tcMar>
              <w:top w:w="30" w:type="dxa"/>
              <w:left w:w="20" w:type="dxa"/>
              <w:bottom w:w="30" w:type="dxa"/>
              <w:right w:w="0" w:type="dxa"/>
            </w:tcMar>
            <w:vAlign w:val="bottom"/>
            <w:hideMark/>
          </w:tcPr>
          <w:p w14:paraId="3E6F3748" w14:textId="77777777" w:rsidR="00000000" w:rsidRDefault="00C01C43">
            <w:pPr>
              <w:jc w:val="right"/>
              <w:rPr>
                <w:rFonts w:eastAsia="Times New Roman"/>
              </w:rPr>
            </w:pPr>
            <w:r>
              <w:rPr>
                <w:rFonts w:ascii="Arial" w:eastAsia="Times New Roman" w:hAnsi="Arial" w:cs="Arial"/>
                <w:color w:val="000000"/>
                <w:sz w:val="20"/>
                <w:szCs w:val="20"/>
              </w:rPr>
              <w:t>14.7 </w:t>
            </w:r>
          </w:p>
        </w:tc>
        <w:tc>
          <w:tcPr>
            <w:tcW w:w="0" w:type="auto"/>
            <w:shd w:val="clear" w:color="auto" w:fill="CCEEFF"/>
            <w:tcMar>
              <w:top w:w="30" w:type="dxa"/>
              <w:left w:w="0" w:type="dxa"/>
              <w:bottom w:w="30" w:type="dxa"/>
              <w:right w:w="20" w:type="dxa"/>
            </w:tcMar>
            <w:vAlign w:val="bottom"/>
            <w:hideMark/>
          </w:tcPr>
          <w:p w14:paraId="4BA8AB0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7397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253E7D" w14:textId="77777777" w:rsidR="00000000" w:rsidRDefault="00C01C43">
            <w:pPr>
              <w:jc w:val="right"/>
              <w:rPr>
                <w:rFonts w:eastAsia="Times New Roman"/>
              </w:rPr>
            </w:pPr>
            <w:r>
              <w:rPr>
                <w:rFonts w:ascii="Arial" w:eastAsia="Times New Roman" w:hAnsi="Arial" w:cs="Arial"/>
                <w:color w:val="000000"/>
                <w:sz w:val="20"/>
                <w:szCs w:val="20"/>
              </w:rPr>
              <w:t>27.1 </w:t>
            </w:r>
          </w:p>
        </w:tc>
        <w:tc>
          <w:tcPr>
            <w:tcW w:w="0" w:type="auto"/>
            <w:shd w:val="clear" w:color="auto" w:fill="CCEEFF"/>
            <w:tcMar>
              <w:top w:w="30" w:type="dxa"/>
              <w:left w:w="0" w:type="dxa"/>
              <w:bottom w:w="30" w:type="dxa"/>
              <w:right w:w="20" w:type="dxa"/>
            </w:tcMar>
            <w:vAlign w:val="bottom"/>
            <w:hideMark/>
          </w:tcPr>
          <w:p w14:paraId="1FDAFF3A" w14:textId="77777777" w:rsidR="00000000" w:rsidRDefault="00C01C43">
            <w:pPr>
              <w:jc w:val="right"/>
              <w:rPr>
                <w:rFonts w:eastAsia="Times New Roman"/>
              </w:rPr>
            </w:pPr>
          </w:p>
        </w:tc>
      </w:tr>
      <w:tr w:rsidR="00000000" w14:paraId="775D2F49" w14:textId="77777777">
        <w:trPr>
          <w:divId w:val="2131392501"/>
        </w:trPr>
        <w:tc>
          <w:tcPr>
            <w:tcW w:w="0" w:type="auto"/>
            <w:gridSpan w:val="3"/>
            <w:shd w:val="clear" w:color="auto" w:fill="FFFFFF"/>
            <w:tcMar>
              <w:top w:w="30" w:type="dxa"/>
              <w:left w:w="20" w:type="dxa"/>
              <w:bottom w:w="30" w:type="dxa"/>
              <w:right w:w="20" w:type="dxa"/>
            </w:tcMar>
            <w:vAlign w:val="bottom"/>
            <w:hideMark/>
          </w:tcPr>
          <w:p w14:paraId="15DC7F05" w14:textId="77777777" w:rsidR="00000000" w:rsidRDefault="00C01C43">
            <w:pPr>
              <w:rPr>
                <w:rFonts w:eastAsia="Times New Roman"/>
              </w:rPr>
            </w:pPr>
            <w:r>
              <w:rPr>
                <w:rFonts w:ascii="Arial" w:eastAsia="Times New Roman" w:hAnsi="Arial" w:cs="Arial"/>
                <w:color w:val="000000"/>
                <w:sz w:val="20"/>
                <w:szCs w:val="20"/>
              </w:rPr>
              <w:t>Leases</w:t>
            </w:r>
          </w:p>
        </w:tc>
        <w:tc>
          <w:tcPr>
            <w:tcW w:w="0" w:type="auto"/>
            <w:gridSpan w:val="2"/>
            <w:shd w:val="clear" w:color="auto" w:fill="FFFFFF"/>
            <w:tcMar>
              <w:top w:w="30" w:type="dxa"/>
              <w:left w:w="20" w:type="dxa"/>
              <w:bottom w:w="30" w:type="dxa"/>
              <w:right w:w="0" w:type="dxa"/>
            </w:tcMar>
            <w:vAlign w:val="bottom"/>
            <w:hideMark/>
          </w:tcPr>
          <w:p w14:paraId="47019804" w14:textId="77777777" w:rsidR="00000000" w:rsidRDefault="00C01C43">
            <w:pPr>
              <w:jc w:val="right"/>
              <w:rPr>
                <w:rFonts w:eastAsia="Times New Roman"/>
              </w:rPr>
            </w:pPr>
            <w:r>
              <w:rPr>
                <w:rFonts w:ascii="Arial" w:eastAsia="Times New Roman" w:hAnsi="Arial" w:cs="Arial"/>
                <w:color w:val="000000"/>
                <w:sz w:val="20"/>
                <w:szCs w:val="20"/>
              </w:rPr>
              <w:t>2.5 </w:t>
            </w:r>
          </w:p>
        </w:tc>
        <w:tc>
          <w:tcPr>
            <w:tcW w:w="0" w:type="auto"/>
            <w:shd w:val="clear" w:color="auto" w:fill="FFFFFF"/>
            <w:tcMar>
              <w:top w:w="30" w:type="dxa"/>
              <w:left w:w="0" w:type="dxa"/>
              <w:bottom w:w="30" w:type="dxa"/>
              <w:right w:w="20" w:type="dxa"/>
            </w:tcMar>
            <w:vAlign w:val="bottom"/>
            <w:hideMark/>
          </w:tcPr>
          <w:p w14:paraId="2331A9F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1703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4BF7BB"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4B6B886A" w14:textId="77777777" w:rsidR="00000000" w:rsidRDefault="00C01C43">
            <w:pPr>
              <w:jc w:val="right"/>
              <w:rPr>
                <w:rFonts w:eastAsia="Times New Roman"/>
              </w:rPr>
            </w:pPr>
          </w:p>
        </w:tc>
      </w:tr>
      <w:tr w:rsidR="00000000" w14:paraId="0D82A860" w14:textId="77777777">
        <w:trPr>
          <w:divId w:val="2131392501"/>
        </w:trPr>
        <w:tc>
          <w:tcPr>
            <w:tcW w:w="0" w:type="auto"/>
            <w:gridSpan w:val="3"/>
            <w:shd w:val="clear" w:color="auto" w:fill="CCEEFF"/>
            <w:tcMar>
              <w:top w:w="30" w:type="dxa"/>
              <w:left w:w="20" w:type="dxa"/>
              <w:bottom w:w="30" w:type="dxa"/>
              <w:right w:w="20" w:type="dxa"/>
            </w:tcMar>
            <w:vAlign w:val="bottom"/>
            <w:hideMark/>
          </w:tcPr>
          <w:p w14:paraId="4CEBE91F" w14:textId="77777777" w:rsidR="00000000" w:rsidRDefault="00C01C43">
            <w:pPr>
              <w:rPr>
                <w:rFonts w:eastAsia="Times New Roman"/>
              </w:rPr>
            </w:pPr>
            <w:r>
              <w:rPr>
                <w:rFonts w:ascii="Arial" w:eastAsia="Times New Roman" w:hAnsi="Arial" w:cs="Arial"/>
                <w:color w:val="000000"/>
                <w:sz w:val="20"/>
                <w:szCs w:val="20"/>
              </w:rPr>
              <w:t>Accrued expenses</w:t>
            </w:r>
          </w:p>
        </w:tc>
        <w:tc>
          <w:tcPr>
            <w:tcW w:w="0" w:type="auto"/>
            <w:gridSpan w:val="2"/>
            <w:shd w:val="clear" w:color="auto" w:fill="CCEEFF"/>
            <w:tcMar>
              <w:top w:w="30" w:type="dxa"/>
              <w:left w:w="20" w:type="dxa"/>
              <w:bottom w:w="30" w:type="dxa"/>
              <w:right w:w="0" w:type="dxa"/>
            </w:tcMar>
            <w:vAlign w:val="bottom"/>
            <w:hideMark/>
          </w:tcPr>
          <w:p w14:paraId="115B2FCB" w14:textId="77777777" w:rsidR="00000000" w:rsidRDefault="00C01C43">
            <w:pPr>
              <w:jc w:val="right"/>
              <w:rPr>
                <w:rFonts w:eastAsia="Times New Roman"/>
              </w:rPr>
            </w:pPr>
            <w:r>
              <w:rPr>
                <w:rFonts w:ascii="Arial" w:eastAsia="Times New Roman" w:hAnsi="Arial" w:cs="Arial"/>
                <w:color w:val="000000"/>
                <w:sz w:val="20"/>
                <w:szCs w:val="20"/>
              </w:rPr>
              <w:t>3.9 </w:t>
            </w:r>
          </w:p>
        </w:tc>
        <w:tc>
          <w:tcPr>
            <w:tcW w:w="0" w:type="auto"/>
            <w:shd w:val="clear" w:color="auto" w:fill="CCEEFF"/>
            <w:tcMar>
              <w:top w:w="30" w:type="dxa"/>
              <w:left w:w="0" w:type="dxa"/>
              <w:bottom w:w="30" w:type="dxa"/>
              <w:right w:w="20" w:type="dxa"/>
            </w:tcMar>
            <w:vAlign w:val="bottom"/>
            <w:hideMark/>
          </w:tcPr>
          <w:p w14:paraId="724536F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599E3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181FD0" w14:textId="77777777" w:rsidR="00000000" w:rsidRDefault="00C01C43">
            <w:pPr>
              <w:jc w:val="right"/>
              <w:rPr>
                <w:rFonts w:eastAsia="Times New Roman"/>
              </w:rPr>
            </w:pPr>
            <w:r>
              <w:rPr>
                <w:rFonts w:ascii="Arial" w:eastAsia="Times New Roman" w:hAnsi="Arial" w:cs="Arial"/>
                <w:color w:val="000000"/>
                <w:sz w:val="20"/>
                <w:szCs w:val="20"/>
              </w:rPr>
              <w:t>6.0 </w:t>
            </w:r>
          </w:p>
        </w:tc>
        <w:tc>
          <w:tcPr>
            <w:tcW w:w="0" w:type="auto"/>
            <w:shd w:val="clear" w:color="auto" w:fill="CCEEFF"/>
            <w:tcMar>
              <w:top w:w="30" w:type="dxa"/>
              <w:left w:w="0" w:type="dxa"/>
              <w:bottom w:w="30" w:type="dxa"/>
              <w:right w:w="20" w:type="dxa"/>
            </w:tcMar>
            <w:vAlign w:val="bottom"/>
            <w:hideMark/>
          </w:tcPr>
          <w:p w14:paraId="01895B5D" w14:textId="77777777" w:rsidR="00000000" w:rsidRDefault="00C01C43">
            <w:pPr>
              <w:jc w:val="right"/>
              <w:rPr>
                <w:rFonts w:eastAsia="Times New Roman"/>
              </w:rPr>
            </w:pPr>
          </w:p>
        </w:tc>
      </w:tr>
      <w:tr w:rsidR="00000000" w14:paraId="5FB7D9E0" w14:textId="77777777">
        <w:trPr>
          <w:divId w:val="2131392501"/>
        </w:trPr>
        <w:tc>
          <w:tcPr>
            <w:tcW w:w="0" w:type="auto"/>
            <w:gridSpan w:val="3"/>
            <w:shd w:val="clear" w:color="auto" w:fill="FFFFFF"/>
            <w:tcMar>
              <w:top w:w="30" w:type="dxa"/>
              <w:left w:w="20" w:type="dxa"/>
              <w:bottom w:w="30" w:type="dxa"/>
              <w:right w:w="20" w:type="dxa"/>
            </w:tcMar>
            <w:vAlign w:val="bottom"/>
            <w:hideMark/>
          </w:tcPr>
          <w:p w14:paraId="68821715" w14:textId="77777777" w:rsidR="00000000" w:rsidRDefault="00C01C43">
            <w:pPr>
              <w:rPr>
                <w:rFonts w:eastAsia="Times New Roman"/>
              </w:rPr>
            </w:pPr>
            <w:r>
              <w:rPr>
                <w:rFonts w:ascii="Arial" w:eastAsia="Times New Roman" w:hAnsi="Arial" w:cs="Arial"/>
                <w:color w:val="000000"/>
                <w:sz w:val="20"/>
                <w:szCs w:val="20"/>
              </w:rPr>
              <w:t>U.S. foreign income tax credits</w:t>
            </w:r>
          </w:p>
        </w:tc>
        <w:tc>
          <w:tcPr>
            <w:tcW w:w="0" w:type="auto"/>
            <w:gridSpan w:val="2"/>
            <w:shd w:val="clear" w:color="auto" w:fill="FFFFFF"/>
            <w:tcMar>
              <w:top w:w="30" w:type="dxa"/>
              <w:left w:w="20" w:type="dxa"/>
              <w:bottom w:w="30" w:type="dxa"/>
              <w:right w:w="0" w:type="dxa"/>
            </w:tcMar>
            <w:vAlign w:val="bottom"/>
            <w:hideMark/>
          </w:tcPr>
          <w:p w14:paraId="61BC6C69" w14:textId="77777777" w:rsidR="00000000" w:rsidRDefault="00C01C43">
            <w:pPr>
              <w:jc w:val="right"/>
              <w:rPr>
                <w:rFonts w:eastAsia="Times New Roman"/>
              </w:rPr>
            </w:pPr>
            <w:r>
              <w:rPr>
                <w:rFonts w:ascii="Arial" w:eastAsia="Times New Roman" w:hAnsi="Arial" w:cs="Arial"/>
                <w:color w:val="000000"/>
                <w:sz w:val="20"/>
                <w:szCs w:val="20"/>
              </w:rPr>
              <w:t>1.2 </w:t>
            </w:r>
          </w:p>
        </w:tc>
        <w:tc>
          <w:tcPr>
            <w:tcW w:w="0" w:type="auto"/>
            <w:shd w:val="clear" w:color="auto" w:fill="FFFFFF"/>
            <w:tcMar>
              <w:top w:w="30" w:type="dxa"/>
              <w:left w:w="0" w:type="dxa"/>
              <w:bottom w:w="30" w:type="dxa"/>
              <w:right w:w="20" w:type="dxa"/>
            </w:tcMar>
            <w:vAlign w:val="bottom"/>
            <w:hideMark/>
          </w:tcPr>
          <w:p w14:paraId="1497F05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BADD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78FD74" w14:textId="77777777" w:rsidR="00000000" w:rsidRDefault="00C01C43">
            <w:pPr>
              <w:jc w:val="right"/>
              <w:rPr>
                <w:rFonts w:eastAsia="Times New Roman"/>
              </w:rPr>
            </w:pPr>
            <w:r>
              <w:rPr>
                <w:rFonts w:ascii="Arial" w:eastAsia="Times New Roman" w:hAnsi="Arial" w:cs="Arial"/>
                <w:color w:val="000000"/>
                <w:sz w:val="20"/>
                <w:szCs w:val="20"/>
              </w:rPr>
              <w:t>3.0 </w:t>
            </w:r>
          </w:p>
        </w:tc>
        <w:tc>
          <w:tcPr>
            <w:tcW w:w="0" w:type="auto"/>
            <w:shd w:val="clear" w:color="auto" w:fill="FFFFFF"/>
            <w:tcMar>
              <w:top w:w="30" w:type="dxa"/>
              <w:left w:w="0" w:type="dxa"/>
              <w:bottom w:w="30" w:type="dxa"/>
              <w:right w:w="20" w:type="dxa"/>
            </w:tcMar>
            <w:vAlign w:val="bottom"/>
            <w:hideMark/>
          </w:tcPr>
          <w:p w14:paraId="73A017A4" w14:textId="77777777" w:rsidR="00000000" w:rsidRDefault="00C01C43">
            <w:pPr>
              <w:jc w:val="right"/>
              <w:rPr>
                <w:rFonts w:eastAsia="Times New Roman"/>
              </w:rPr>
            </w:pPr>
          </w:p>
        </w:tc>
      </w:tr>
      <w:tr w:rsidR="00000000" w14:paraId="14A10645" w14:textId="77777777">
        <w:trPr>
          <w:divId w:val="2131392501"/>
        </w:trPr>
        <w:tc>
          <w:tcPr>
            <w:tcW w:w="0" w:type="auto"/>
            <w:gridSpan w:val="3"/>
            <w:shd w:val="clear" w:color="auto" w:fill="CCEEFF"/>
            <w:tcMar>
              <w:top w:w="30" w:type="dxa"/>
              <w:left w:w="20" w:type="dxa"/>
              <w:bottom w:w="30" w:type="dxa"/>
              <w:right w:w="20" w:type="dxa"/>
            </w:tcMar>
            <w:vAlign w:val="bottom"/>
            <w:hideMark/>
          </w:tcPr>
          <w:p w14:paraId="2B2E4469" w14:textId="77777777" w:rsidR="00000000" w:rsidRDefault="00C01C43">
            <w:pPr>
              <w:rPr>
                <w:rFonts w:eastAsia="Times New Roman"/>
              </w:rPr>
            </w:pPr>
            <w:r>
              <w:rPr>
                <w:rFonts w:ascii="Arial" w:eastAsia="Times New Roman" w:hAnsi="Arial" w:cs="Arial"/>
                <w:color w:val="000000"/>
                <w:sz w:val="20"/>
                <w:szCs w:val="20"/>
              </w:rPr>
              <w:t>Other income tax credits</w:t>
            </w:r>
          </w:p>
        </w:tc>
        <w:tc>
          <w:tcPr>
            <w:tcW w:w="0" w:type="auto"/>
            <w:gridSpan w:val="2"/>
            <w:shd w:val="clear" w:color="auto" w:fill="CCEEFF"/>
            <w:tcMar>
              <w:top w:w="30" w:type="dxa"/>
              <w:left w:w="20" w:type="dxa"/>
              <w:bottom w:w="30" w:type="dxa"/>
              <w:right w:w="0" w:type="dxa"/>
            </w:tcMar>
            <w:vAlign w:val="bottom"/>
            <w:hideMark/>
          </w:tcPr>
          <w:p w14:paraId="29034869" w14:textId="77777777" w:rsidR="00000000" w:rsidRDefault="00C01C43">
            <w:pPr>
              <w:jc w:val="right"/>
              <w:rPr>
                <w:rFonts w:eastAsia="Times New Roman"/>
              </w:rPr>
            </w:pPr>
            <w:r>
              <w:rPr>
                <w:rFonts w:ascii="Arial" w:eastAsia="Times New Roman" w:hAnsi="Arial" w:cs="Arial"/>
                <w:color w:val="000000"/>
                <w:sz w:val="20"/>
                <w:szCs w:val="20"/>
              </w:rPr>
              <w:t>0.2 </w:t>
            </w:r>
          </w:p>
        </w:tc>
        <w:tc>
          <w:tcPr>
            <w:tcW w:w="0" w:type="auto"/>
            <w:shd w:val="clear" w:color="auto" w:fill="CCEEFF"/>
            <w:tcMar>
              <w:top w:w="30" w:type="dxa"/>
              <w:left w:w="0" w:type="dxa"/>
              <w:bottom w:w="30" w:type="dxa"/>
              <w:right w:w="20" w:type="dxa"/>
            </w:tcMar>
            <w:vAlign w:val="bottom"/>
            <w:hideMark/>
          </w:tcPr>
          <w:p w14:paraId="7DFDBCE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46000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7BF944" w14:textId="77777777" w:rsidR="00000000" w:rsidRDefault="00C01C43">
            <w:pPr>
              <w:jc w:val="right"/>
              <w:rPr>
                <w:rFonts w:eastAsia="Times New Roman"/>
              </w:rPr>
            </w:pPr>
            <w:r>
              <w:rPr>
                <w:rFonts w:ascii="Arial" w:eastAsia="Times New Roman" w:hAnsi="Arial" w:cs="Arial"/>
                <w:color w:val="000000"/>
                <w:sz w:val="20"/>
                <w:szCs w:val="20"/>
              </w:rPr>
              <w:t>0.2 </w:t>
            </w:r>
          </w:p>
        </w:tc>
        <w:tc>
          <w:tcPr>
            <w:tcW w:w="0" w:type="auto"/>
            <w:shd w:val="clear" w:color="auto" w:fill="CCEEFF"/>
            <w:tcMar>
              <w:top w:w="30" w:type="dxa"/>
              <w:left w:w="0" w:type="dxa"/>
              <w:bottom w:w="30" w:type="dxa"/>
              <w:right w:w="20" w:type="dxa"/>
            </w:tcMar>
            <w:vAlign w:val="bottom"/>
            <w:hideMark/>
          </w:tcPr>
          <w:p w14:paraId="41166EAF" w14:textId="77777777" w:rsidR="00000000" w:rsidRDefault="00C01C43">
            <w:pPr>
              <w:jc w:val="right"/>
              <w:rPr>
                <w:rFonts w:eastAsia="Times New Roman"/>
              </w:rPr>
            </w:pPr>
          </w:p>
        </w:tc>
      </w:tr>
      <w:tr w:rsidR="00000000" w14:paraId="1769494D" w14:textId="77777777">
        <w:trPr>
          <w:divId w:val="2131392501"/>
        </w:trPr>
        <w:tc>
          <w:tcPr>
            <w:tcW w:w="0" w:type="auto"/>
            <w:gridSpan w:val="3"/>
            <w:shd w:val="clear" w:color="auto" w:fill="FFFFFF"/>
            <w:tcMar>
              <w:top w:w="30" w:type="dxa"/>
              <w:left w:w="20" w:type="dxa"/>
              <w:bottom w:w="30" w:type="dxa"/>
              <w:right w:w="20" w:type="dxa"/>
            </w:tcMar>
            <w:vAlign w:val="bottom"/>
            <w:hideMark/>
          </w:tcPr>
          <w:p w14:paraId="007A3E9E" w14:textId="77777777" w:rsidR="00000000" w:rsidRDefault="00C01C43">
            <w:pPr>
              <w:rPr>
                <w:rFonts w:eastAsia="Times New Roman"/>
              </w:rPr>
            </w:pPr>
            <w:r>
              <w:rPr>
                <w:rFonts w:ascii="Arial" w:eastAsia="Times New Roman" w:hAnsi="Arial" w:cs="Arial"/>
                <w:color w:val="000000"/>
                <w:sz w:val="20"/>
                <w:szCs w:val="20"/>
              </w:rPr>
              <w:t>Customer deposits</w:t>
            </w:r>
          </w:p>
        </w:tc>
        <w:tc>
          <w:tcPr>
            <w:tcW w:w="0" w:type="auto"/>
            <w:gridSpan w:val="2"/>
            <w:shd w:val="clear" w:color="auto" w:fill="FFFFFF"/>
            <w:tcMar>
              <w:top w:w="30" w:type="dxa"/>
              <w:left w:w="20" w:type="dxa"/>
              <w:bottom w:w="30" w:type="dxa"/>
              <w:right w:w="0" w:type="dxa"/>
            </w:tcMar>
            <w:vAlign w:val="bottom"/>
            <w:hideMark/>
          </w:tcPr>
          <w:p w14:paraId="6CC0D3B1" w14:textId="77777777" w:rsidR="00000000" w:rsidRDefault="00C01C43">
            <w:pPr>
              <w:jc w:val="right"/>
              <w:rPr>
                <w:rFonts w:eastAsia="Times New Roman"/>
              </w:rPr>
            </w:pPr>
            <w:r>
              <w:rPr>
                <w:rFonts w:ascii="Arial" w:eastAsia="Times New Roman" w:hAnsi="Arial" w:cs="Arial"/>
                <w:color w:val="000000"/>
                <w:sz w:val="20"/>
                <w:szCs w:val="20"/>
              </w:rPr>
              <w:t>1.2 </w:t>
            </w:r>
          </w:p>
        </w:tc>
        <w:tc>
          <w:tcPr>
            <w:tcW w:w="0" w:type="auto"/>
            <w:shd w:val="clear" w:color="auto" w:fill="FFFFFF"/>
            <w:tcMar>
              <w:top w:w="30" w:type="dxa"/>
              <w:left w:w="0" w:type="dxa"/>
              <w:bottom w:w="30" w:type="dxa"/>
              <w:right w:w="20" w:type="dxa"/>
            </w:tcMar>
            <w:vAlign w:val="bottom"/>
            <w:hideMark/>
          </w:tcPr>
          <w:p w14:paraId="3C86122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35A4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5B3627" w14:textId="77777777" w:rsidR="00000000" w:rsidRDefault="00C01C43">
            <w:pPr>
              <w:jc w:val="right"/>
              <w:rPr>
                <w:rFonts w:eastAsia="Times New Roman"/>
              </w:rPr>
            </w:pPr>
            <w:r>
              <w:rPr>
                <w:rFonts w:ascii="Arial" w:eastAsia="Times New Roman" w:hAnsi="Arial" w:cs="Arial"/>
                <w:color w:val="000000"/>
                <w:sz w:val="20"/>
                <w:szCs w:val="20"/>
              </w:rPr>
              <w:t>3.1 </w:t>
            </w:r>
          </w:p>
        </w:tc>
        <w:tc>
          <w:tcPr>
            <w:tcW w:w="0" w:type="auto"/>
            <w:shd w:val="clear" w:color="auto" w:fill="FFFFFF"/>
            <w:tcMar>
              <w:top w:w="30" w:type="dxa"/>
              <w:left w:w="0" w:type="dxa"/>
              <w:bottom w:w="30" w:type="dxa"/>
              <w:right w:w="20" w:type="dxa"/>
            </w:tcMar>
            <w:vAlign w:val="bottom"/>
            <w:hideMark/>
          </w:tcPr>
          <w:p w14:paraId="0839406D" w14:textId="77777777" w:rsidR="00000000" w:rsidRDefault="00C01C43">
            <w:pPr>
              <w:jc w:val="right"/>
              <w:rPr>
                <w:rFonts w:eastAsia="Times New Roman"/>
              </w:rPr>
            </w:pPr>
          </w:p>
        </w:tc>
      </w:tr>
      <w:tr w:rsidR="00000000" w14:paraId="38CF0FBC" w14:textId="77777777">
        <w:trPr>
          <w:divId w:val="2131392501"/>
        </w:trPr>
        <w:tc>
          <w:tcPr>
            <w:tcW w:w="0" w:type="auto"/>
            <w:gridSpan w:val="3"/>
            <w:shd w:val="clear" w:color="auto" w:fill="CCEEFF"/>
            <w:tcMar>
              <w:top w:w="30" w:type="dxa"/>
              <w:left w:w="20" w:type="dxa"/>
              <w:bottom w:w="30" w:type="dxa"/>
              <w:right w:w="20" w:type="dxa"/>
            </w:tcMar>
            <w:vAlign w:val="bottom"/>
            <w:hideMark/>
          </w:tcPr>
          <w:p w14:paraId="3D2DCF30" w14:textId="77777777" w:rsidR="00000000" w:rsidRDefault="00C01C43">
            <w:pPr>
              <w:rPr>
                <w:rFonts w:eastAsia="Times New Roman"/>
              </w:rPr>
            </w:pPr>
            <w:r>
              <w:rPr>
                <w:rFonts w:ascii="Arial" w:eastAsia="Times New Roman" w:hAnsi="Arial" w:cs="Arial"/>
                <w:color w:val="000000"/>
                <w:sz w:val="20"/>
                <w:szCs w:val="20"/>
              </w:rPr>
              <w:t>Investments</w:t>
            </w:r>
          </w:p>
        </w:tc>
        <w:tc>
          <w:tcPr>
            <w:tcW w:w="0" w:type="auto"/>
            <w:gridSpan w:val="2"/>
            <w:shd w:val="clear" w:color="auto" w:fill="CCEEFF"/>
            <w:tcMar>
              <w:top w:w="30" w:type="dxa"/>
              <w:left w:w="20" w:type="dxa"/>
              <w:bottom w:w="30" w:type="dxa"/>
              <w:right w:w="0" w:type="dxa"/>
            </w:tcMar>
            <w:vAlign w:val="bottom"/>
            <w:hideMark/>
          </w:tcPr>
          <w:p w14:paraId="21723177" w14:textId="77777777" w:rsidR="00000000" w:rsidRDefault="00C01C43">
            <w:pPr>
              <w:jc w:val="right"/>
              <w:rPr>
                <w:rFonts w:eastAsia="Times New Roman"/>
              </w:rPr>
            </w:pPr>
            <w:r>
              <w:rPr>
                <w:rFonts w:ascii="Arial" w:eastAsia="Times New Roman" w:hAnsi="Arial" w:cs="Arial"/>
                <w:color w:val="000000"/>
                <w:sz w:val="20"/>
                <w:szCs w:val="20"/>
              </w:rPr>
              <w:t>1.9 </w:t>
            </w:r>
          </w:p>
        </w:tc>
        <w:tc>
          <w:tcPr>
            <w:tcW w:w="0" w:type="auto"/>
            <w:shd w:val="clear" w:color="auto" w:fill="CCEEFF"/>
            <w:tcMar>
              <w:top w:w="30" w:type="dxa"/>
              <w:left w:w="0" w:type="dxa"/>
              <w:bottom w:w="30" w:type="dxa"/>
              <w:right w:w="20" w:type="dxa"/>
            </w:tcMar>
            <w:vAlign w:val="bottom"/>
            <w:hideMark/>
          </w:tcPr>
          <w:p w14:paraId="34E0719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2225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9B5851" w14:textId="77777777" w:rsidR="00000000" w:rsidRDefault="00C01C43">
            <w:pPr>
              <w:jc w:val="right"/>
              <w:rPr>
                <w:rFonts w:eastAsia="Times New Roman"/>
              </w:rPr>
            </w:pPr>
            <w:r>
              <w:rPr>
                <w:rFonts w:ascii="Arial" w:eastAsia="Times New Roman" w:hAnsi="Arial" w:cs="Arial"/>
                <w:color w:val="000000"/>
                <w:sz w:val="20"/>
                <w:szCs w:val="20"/>
              </w:rPr>
              <w:t>1.9 </w:t>
            </w:r>
          </w:p>
        </w:tc>
        <w:tc>
          <w:tcPr>
            <w:tcW w:w="0" w:type="auto"/>
            <w:shd w:val="clear" w:color="auto" w:fill="CCEEFF"/>
            <w:tcMar>
              <w:top w:w="30" w:type="dxa"/>
              <w:left w:w="0" w:type="dxa"/>
              <w:bottom w:w="30" w:type="dxa"/>
              <w:right w:w="20" w:type="dxa"/>
            </w:tcMar>
            <w:vAlign w:val="bottom"/>
            <w:hideMark/>
          </w:tcPr>
          <w:p w14:paraId="0C97DB91" w14:textId="77777777" w:rsidR="00000000" w:rsidRDefault="00C01C43">
            <w:pPr>
              <w:jc w:val="right"/>
              <w:rPr>
                <w:rFonts w:eastAsia="Times New Roman"/>
              </w:rPr>
            </w:pPr>
          </w:p>
        </w:tc>
      </w:tr>
      <w:tr w:rsidR="00000000" w14:paraId="735A570D" w14:textId="77777777">
        <w:trPr>
          <w:divId w:val="2131392501"/>
        </w:trPr>
        <w:tc>
          <w:tcPr>
            <w:tcW w:w="0" w:type="auto"/>
            <w:gridSpan w:val="3"/>
            <w:shd w:val="clear" w:color="auto" w:fill="FFFFFF"/>
            <w:tcMar>
              <w:top w:w="30" w:type="dxa"/>
              <w:left w:w="20" w:type="dxa"/>
              <w:bottom w:w="30" w:type="dxa"/>
              <w:right w:w="20" w:type="dxa"/>
            </w:tcMar>
            <w:vAlign w:val="bottom"/>
            <w:hideMark/>
          </w:tcPr>
          <w:p w14:paraId="7A9B72C4" w14:textId="77777777" w:rsidR="00000000" w:rsidRDefault="00C01C43">
            <w:pPr>
              <w:rPr>
                <w:rFonts w:eastAsia="Times New Roman"/>
              </w:rPr>
            </w:pPr>
            <w:r>
              <w:rPr>
                <w:rFonts w:ascii="Arial" w:eastAsia="Times New Roman" w:hAnsi="Arial" w:cs="Arial"/>
                <w:color w:val="000000"/>
                <w:sz w:val="20"/>
                <w:szCs w:val="20"/>
              </w:rPr>
              <w:t>Unrealized foreign exchange</w:t>
            </w:r>
          </w:p>
        </w:tc>
        <w:tc>
          <w:tcPr>
            <w:tcW w:w="0" w:type="auto"/>
            <w:gridSpan w:val="2"/>
            <w:shd w:val="clear" w:color="auto" w:fill="FFFFFF"/>
            <w:tcMar>
              <w:top w:w="30" w:type="dxa"/>
              <w:left w:w="20" w:type="dxa"/>
              <w:bottom w:w="30" w:type="dxa"/>
              <w:right w:w="0" w:type="dxa"/>
            </w:tcMar>
            <w:vAlign w:val="bottom"/>
            <w:hideMark/>
          </w:tcPr>
          <w:p w14:paraId="388EB061" w14:textId="77777777" w:rsidR="00000000" w:rsidRDefault="00C01C43">
            <w:pPr>
              <w:jc w:val="right"/>
              <w:rPr>
                <w:rFonts w:eastAsia="Times New Roman"/>
              </w:rPr>
            </w:pPr>
            <w:r>
              <w:rPr>
                <w:rFonts w:ascii="Arial" w:eastAsia="Times New Roman" w:hAnsi="Arial" w:cs="Arial"/>
                <w:color w:val="000000"/>
                <w:sz w:val="20"/>
                <w:szCs w:val="20"/>
              </w:rPr>
              <w:t>16.4 </w:t>
            </w:r>
          </w:p>
        </w:tc>
        <w:tc>
          <w:tcPr>
            <w:tcW w:w="0" w:type="auto"/>
            <w:shd w:val="clear" w:color="auto" w:fill="FFFFFF"/>
            <w:tcMar>
              <w:top w:w="30" w:type="dxa"/>
              <w:left w:w="0" w:type="dxa"/>
              <w:bottom w:w="30" w:type="dxa"/>
              <w:right w:w="20" w:type="dxa"/>
            </w:tcMar>
            <w:vAlign w:val="bottom"/>
            <w:hideMark/>
          </w:tcPr>
          <w:p w14:paraId="551157B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5F2FE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BE30CB"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E62E790" w14:textId="77777777" w:rsidR="00000000" w:rsidRDefault="00C01C43">
            <w:pPr>
              <w:jc w:val="right"/>
              <w:rPr>
                <w:rFonts w:eastAsia="Times New Roman"/>
              </w:rPr>
            </w:pPr>
          </w:p>
        </w:tc>
      </w:tr>
      <w:tr w:rsidR="00000000" w14:paraId="6612F9F0" w14:textId="77777777">
        <w:trPr>
          <w:divId w:val="2131392501"/>
        </w:trPr>
        <w:tc>
          <w:tcPr>
            <w:tcW w:w="0" w:type="auto"/>
            <w:gridSpan w:val="3"/>
            <w:shd w:val="clear" w:color="auto" w:fill="CCEEFF"/>
            <w:tcMar>
              <w:top w:w="30" w:type="dxa"/>
              <w:left w:w="20" w:type="dxa"/>
              <w:bottom w:w="30" w:type="dxa"/>
              <w:right w:w="20" w:type="dxa"/>
            </w:tcMar>
            <w:vAlign w:val="bottom"/>
            <w:hideMark/>
          </w:tcPr>
          <w:p w14:paraId="6BCA8275" w14:textId="77777777" w:rsidR="00000000" w:rsidRDefault="00C01C43">
            <w:pPr>
              <w:rPr>
                <w:rFonts w:eastAsia="Times New Roman"/>
              </w:rPr>
            </w:pPr>
            <w:r>
              <w:rPr>
                <w:rFonts w:ascii="Arial" w:eastAsia="Times New Roman" w:hAnsi="Arial" w:cs="Arial"/>
                <w:color w:val="000000"/>
                <w:sz w:val="20"/>
                <w:szCs w:val="20"/>
              </w:rPr>
              <w:t>Cash flow hedges</w:t>
            </w:r>
          </w:p>
        </w:tc>
        <w:tc>
          <w:tcPr>
            <w:tcW w:w="0" w:type="auto"/>
            <w:gridSpan w:val="2"/>
            <w:shd w:val="clear" w:color="auto" w:fill="CCEEFF"/>
            <w:tcMar>
              <w:top w:w="30" w:type="dxa"/>
              <w:left w:w="20" w:type="dxa"/>
              <w:bottom w:w="30" w:type="dxa"/>
              <w:right w:w="0" w:type="dxa"/>
            </w:tcMar>
            <w:vAlign w:val="bottom"/>
            <w:hideMark/>
          </w:tcPr>
          <w:p w14:paraId="52FBC2B5" w14:textId="77777777" w:rsidR="00000000" w:rsidRDefault="00C01C43">
            <w:pPr>
              <w:jc w:val="right"/>
              <w:rPr>
                <w:rFonts w:eastAsia="Times New Roman"/>
              </w:rPr>
            </w:pPr>
            <w:r>
              <w:rPr>
                <w:rFonts w:ascii="Arial" w:eastAsia="Times New Roman" w:hAnsi="Arial" w:cs="Arial"/>
                <w:color w:val="000000"/>
                <w:sz w:val="20"/>
                <w:szCs w:val="20"/>
              </w:rPr>
              <w:t>2.9 </w:t>
            </w:r>
          </w:p>
        </w:tc>
        <w:tc>
          <w:tcPr>
            <w:tcW w:w="0" w:type="auto"/>
            <w:shd w:val="clear" w:color="auto" w:fill="CCEEFF"/>
            <w:tcMar>
              <w:top w:w="30" w:type="dxa"/>
              <w:left w:w="0" w:type="dxa"/>
              <w:bottom w:w="30" w:type="dxa"/>
              <w:right w:w="20" w:type="dxa"/>
            </w:tcMar>
            <w:vAlign w:val="bottom"/>
            <w:hideMark/>
          </w:tcPr>
          <w:p w14:paraId="1F696B8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4DEDD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AADB08" w14:textId="77777777" w:rsidR="00000000" w:rsidRDefault="00C01C43">
            <w:pPr>
              <w:jc w:val="right"/>
              <w:rPr>
                <w:rFonts w:eastAsia="Times New Roman"/>
              </w:rPr>
            </w:pPr>
            <w:r>
              <w:rPr>
                <w:rFonts w:ascii="Arial" w:eastAsia="Times New Roman" w:hAnsi="Arial" w:cs="Arial"/>
                <w:color w:val="000000"/>
                <w:sz w:val="20"/>
                <w:szCs w:val="20"/>
              </w:rPr>
              <w:t>3.9 </w:t>
            </w:r>
          </w:p>
        </w:tc>
        <w:tc>
          <w:tcPr>
            <w:tcW w:w="0" w:type="auto"/>
            <w:shd w:val="clear" w:color="auto" w:fill="CCEEFF"/>
            <w:tcMar>
              <w:top w:w="30" w:type="dxa"/>
              <w:left w:w="0" w:type="dxa"/>
              <w:bottom w:w="30" w:type="dxa"/>
              <w:right w:w="20" w:type="dxa"/>
            </w:tcMar>
            <w:vAlign w:val="bottom"/>
            <w:hideMark/>
          </w:tcPr>
          <w:p w14:paraId="57A167AB" w14:textId="77777777" w:rsidR="00000000" w:rsidRDefault="00C01C43">
            <w:pPr>
              <w:jc w:val="right"/>
              <w:rPr>
                <w:rFonts w:eastAsia="Times New Roman"/>
              </w:rPr>
            </w:pPr>
          </w:p>
        </w:tc>
      </w:tr>
      <w:tr w:rsidR="00000000" w14:paraId="67F897E2" w14:textId="77777777">
        <w:trPr>
          <w:divId w:val="2131392501"/>
        </w:trPr>
        <w:tc>
          <w:tcPr>
            <w:tcW w:w="0" w:type="auto"/>
            <w:gridSpan w:val="3"/>
            <w:tcBorders>
              <w:top w:val="single" w:sz="8" w:space="0" w:color="D9D9D9"/>
              <w:left w:val="single" w:sz="8" w:space="0" w:color="D9D9D9"/>
            </w:tcBorders>
            <w:shd w:val="clear" w:color="auto" w:fill="FFFFFF"/>
            <w:tcMar>
              <w:top w:w="30" w:type="dxa"/>
              <w:left w:w="20" w:type="dxa"/>
              <w:bottom w:w="30" w:type="dxa"/>
              <w:right w:w="20" w:type="dxa"/>
            </w:tcMar>
            <w:vAlign w:val="bottom"/>
            <w:hideMark/>
          </w:tcPr>
          <w:p w14:paraId="010B5ED5" w14:textId="77777777" w:rsidR="00000000" w:rsidRDefault="00C01C43">
            <w:pPr>
              <w:rPr>
                <w:rFonts w:eastAsia="Times New Roman"/>
              </w:rPr>
            </w:pPr>
            <w:r>
              <w:rPr>
                <w:rFonts w:ascii="Arial" w:eastAsia="Times New Roman" w:hAnsi="Arial" w:cs="Arial"/>
                <w:color w:val="000000"/>
                <w:sz w:val="20"/>
                <w:szCs w:val="20"/>
              </w:rPr>
              <w:t>Interest Limitation</w:t>
            </w:r>
          </w:p>
        </w:tc>
        <w:tc>
          <w:tcPr>
            <w:tcW w:w="0" w:type="auto"/>
            <w:gridSpan w:val="2"/>
            <w:tcBorders>
              <w:top w:val="single" w:sz="8" w:space="0" w:color="D9D9D9"/>
            </w:tcBorders>
            <w:shd w:val="clear" w:color="auto" w:fill="FFFFFF"/>
            <w:tcMar>
              <w:top w:w="30" w:type="dxa"/>
              <w:left w:w="20" w:type="dxa"/>
              <w:bottom w:w="30" w:type="dxa"/>
              <w:right w:w="0" w:type="dxa"/>
            </w:tcMar>
            <w:vAlign w:val="bottom"/>
            <w:hideMark/>
          </w:tcPr>
          <w:p w14:paraId="2C41C169" w14:textId="77777777" w:rsidR="00000000" w:rsidRDefault="00C01C43">
            <w:pPr>
              <w:jc w:val="right"/>
              <w:rPr>
                <w:rFonts w:eastAsia="Times New Roman"/>
              </w:rPr>
            </w:pPr>
            <w:r>
              <w:rPr>
                <w:rFonts w:ascii="Arial" w:eastAsia="Times New Roman" w:hAnsi="Arial" w:cs="Arial"/>
                <w:color w:val="000000"/>
                <w:sz w:val="20"/>
                <w:szCs w:val="20"/>
              </w:rPr>
              <w:t>10.7 </w:t>
            </w:r>
          </w:p>
        </w:tc>
        <w:tc>
          <w:tcPr>
            <w:tcW w:w="0" w:type="auto"/>
            <w:tcBorders>
              <w:top w:val="single" w:sz="8" w:space="0" w:color="D9D9D9"/>
            </w:tcBorders>
            <w:shd w:val="clear" w:color="auto" w:fill="FFFFFF"/>
            <w:tcMar>
              <w:top w:w="30" w:type="dxa"/>
              <w:left w:w="0" w:type="dxa"/>
              <w:bottom w:w="30" w:type="dxa"/>
              <w:right w:w="20" w:type="dxa"/>
            </w:tcMar>
            <w:vAlign w:val="bottom"/>
            <w:hideMark/>
          </w:tcPr>
          <w:p w14:paraId="71A59D2E" w14:textId="77777777" w:rsidR="00000000" w:rsidRDefault="00C01C43">
            <w:pPr>
              <w:jc w:val="right"/>
              <w:rPr>
                <w:rFonts w:eastAsia="Times New Roman"/>
              </w:rPr>
            </w:pPr>
          </w:p>
        </w:tc>
        <w:tc>
          <w:tcPr>
            <w:tcW w:w="0" w:type="auto"/>
            <w:gridSpan w:val="3"/>
            <w:tcBorders>
              <w:top w:val="single" w:sz="8" w:space="0" w:color="D9D9D9"/>
            </w:tcBorders>
            <w:shd w:val="clear" w:color="auto" w:fill="FFFFFF"/>
            <w:tcMar>
              <w:top w:w="0" w:type="dxa"/>
              <w:left w:w="20" w:type="dxa"/>
              <w:bottom w:w="0" w:type="dxa"/>
              <w:right w:w="20" w:type="dxa"/>
            </w:tcMar>
            <w:vAlign w:val="center"/>
            <w:hideMark/>
          </w:tcPr>
          <w:p w14:paraId="798BD05A" w14:textId="77777777" w:rsidR="00000000" w:rsidRDefault="00C01C43">
            <w:pPr>
              <w:jc w:val="right"/>
              <w:rPr>
                <w:rFonts w:eastAsia="Times New Roman"/>
                <w:sz w:val="20"/>
                <w:szCs w:val="20"/>
              </w:rPr>
            </w:pPr>
          </w:p>
        </w:tc>
        <w:tc>
          <w:tcPr>
            <w:tcW w:w="0" w:type="auto"/>
            <w:gridSpan w:val="2"/>
            <w:tcBorders>
              <w:top w:val="single" w:sz="8" w:space="0" w:color="D9D9D9"/>
              <w:left w:val="single" w:sz="8" w:space="0" w:color="D9D9D9"/>
            </w:tcBorders>
            <w:shd w:val="clear" w:color="auto" w:fill="FFFFFF"/>
            <w:tcMar>
              <w:top w:w="30" w:type="dxa"/>
              <w:left w:w="20" w:type="dxa"/>
              <w:bottom w:w="30" w:type="dxa"/>
              <w:right w:w="0" w:type="dxa"/>
            </w:tcMar>
            <w:vAlign w:val="bottom"/>
            <w:hideMark/>
          </w:tcPr>
          <w:p w14:paraId="03C4FED1" w14:textId="77777777" w:rsidR="00000000" w:rsidRDefault="00C01C43">
            <w:pPr>
              <w:jc w:val="right"/>
              <w:rPr>
                <w:rFonts w:eastAsia="Times New Roman"/>
              </w:rPr>
            </w:pPr>
            <w:r>
              <w:rPr>
                <w:rFonts w:ascii="Arial" w:eastAsia="Times New Roman" w:hAnsi="Arial" w:cs="Arial"/>
                <w:color w:val="000000"/>
                <w:sz w:val="20"/>
                <w:szCs w:val="20"/>
              </w:rPr>
              <w:t>6.1 </w:t>
            </w:r>
          </w:p>
        </w:tc>
        <w:tc>
          <w:tcPr>
            <w:tcW w:w="0" w:type="auto"/>
            <w:tcBorders>
              <w:top w:val="single" w:sz="8" w:space="0" w:color="D9D9D9"/>
              <w:right w:val="single" w:sz="8" w:space="0" w:color="D9D9D9"/>
            </w:tcBorders>
            <w:shd w:val="clear" w:color="auto" w:fill="FFFFFF"/>
            <w:tcMar>
              <w:top w:w="30" w:type="dxa"/>
              <w:left w:w="0" w:type="dxa"/>
              <w:bottom w:w="30" w:type="dxa"/>
              <w:right w:w="20" w:type="dxa"/>
            </w:tcMar>
            <w:vAlign w:val="bottom"/>
            <w:hideMark/>
          </w:tcPr>
          <w:p w14:paraId="37703D9E" w14:textId="77777777" w:rsidR="00000000" w:rsidRDefault="00C01C43">
            <w:pPr>
              <w:jc w:val="right"/>
              <w:rPr>
                <w:rFonts w:eastAsia="Times New Roman"/>
              </w:rPr>
            </w:pPr>
          </w:p>
        </w:tc>
      </w:tr>
      <w:tr w:rsidR="00000000" w14:paraId="3852ED67" w14:textId="77777777">
        <w:trPr>
          <w:divId w:val="2131392501"/>
        </w:trPr>
        <w:tc>
          <w:tcPr>
            <w:tcW w:w="0" w:type="auto"/>
            <w:gridSpan w:val="3"/>
            <w:tcBorders>
              <w:top w:val="single" w:sz="8" w:space="0" w:color="D9D9D9"/>
            </w:tcBorders>
            <w:shd w:val="clear" w:color="auto" w:fill="CCEEFF"/>
            <w:tcMar>
              <w:top w:w="30" w:type="dxa"/>
              <w:left w:w="20" w:type="dxa"/>
              <w:bottom w:w="30" w:type="dxa"/>
              <w:right w:w="20" w:type="dxa"/>
            </w:tcMar>
            <w:vAlign w:val="bottom"/>
            <w:hideMark/>
          </w:tcPr>
          <w:p w14:paraId="46E7AFDD" w14:textId="77777777" w:rsidR="00000000" w:rsidRDefault="00C01C43">
            <w:pPr>
              <w:rPr>
                <w:rFonts w:eastAsia="Times New Roman"/>
              </w:rPr>
            </w:pPr>
            <w:r>
              <w:rPr>
                <w:rFonts w:ascii="Arial" w:eastAsia="Times New Roman" w:hAnsi="Arial" w:cs="Arial"/>
                <w:color w:val="000000"/>
                <w:sz w:val="20"/>
                <w:szCs w:val="20"/>
              </w:rPr>
              <w:t>Other</w:t>
            </w:r>
          </w:p>
        </w:tc>
        <w:tc>
          <w:tcPr>
            <w:tcW w:w="0" w:type="auto"/>
            <w:gridSpan w:val="2"/>
            <w:tcBorders>
              <w:top w:val="single" w:sz="8" w:space="0" w:color="D9D9D9"/>
            </w:tcBorders>
            <w:shd w:val="clear" w:color="auto" w:fill="CCEEFF"/>
            <w:tcMar>
              <w:top w:w="30" w:type="dxa"/>
              <w:left w:w="20" w:type="dxa"/>
              <w:bottom w:w="30" w:type="dxa"/>
              <w:right w:w="0" w:type="dxa"/>
            </w:tcMar>
            <w:vAlign w:val="bottom"/>
            <w:hideMark/>
          </w:tcPr>
          <w:p w14:paraId="4152874E"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D9D9D9"/>
            </w:tcBorders>
            <w:shd w:val="clear" w:color="auto" w:fill="CCEEFF"/>
            <w:tcMar>
              <w:top w:w="30" w:type="dxa"/>
              <w:left w:w="0" w:type="dxa"/>
              <w:bottom w:w="30" w:type="dxa"/>
              <w:right w:w="20" w:type="dxa"/>
            </w:tcMar>
            <w:vAlign w:val="bottom"/>
            <w:hideMark/>
          </w:tcPr>
          <w:p w14:paraId="161D82E5" w14:textId="77777777" w:rsidR="00000000" w:rsidRDefault="00C01C43">
            <w:pPr>
              <w:jc w:val="right"/>
              <w:rPr>
                <w:rFonts w:eastAsia="Times New Roman"/>
              </w:rPr>
            </w:pPr>
          </w:p>
        </w:tc>
        <w:tc>
          <w:tcPr>
            <w:tcW w:w="0" w:type="auto"/>
            <w:gridSpan w:val="3"/>
            <w:tcBorders>
              <w:top w:val="single" w:sz="8" w:space="0" w:color="D9D9D9"/>
            </w:tcBorders>
            <w:shd w:val="clear" w:color="auto" w:fill="CCEEFF"/>
            <w:tcMar>
              <w:top w:w="0" w:type="dxa"/>
              <w:left w:w="20" w:type="dxa"/>
              <w:bottom w:w="0" w:type="dxa"/>
              <w:right w:w="20" w:type="dxa"/>
            </w:tcMar>
            <w:vAlign w:val="center"/>
            <w:hideMark/>
          </w:tcPr>
          <w:p w14:paraId="05335094" w14:textId="77777777" w:rsidR="00000000" w:rsidRDefault="00C01C43">
            <w:pPr>
              <w:jc w:val="right"/>
              <w:rPr>
                <w:rFonts w:eastAsia="Times New Roman"/>
                <w:sz w:val="20"/>
                <w:szCs w:val="20"/>
              </w:rPr>
            </w:pPr>
          </w:p>
        </w:tc>
        <w:tc>
          <w:tcPr>
            <w:tcW w:w="0" w:type="auto"/>
            <w:gridSpan w:val="2"/>
            <w:tcBorders>
              <w:top w:val="single" w:sz="8" w:space="0" w:color="D9D9D9"/>
            </w:tcBorders>
            <w:shd w:val="clear" w:color="auto" w:fill="CCEEFF"/>
            <w:tcMar>
              <w:top w:w="30" w:type="dxa"/>
              <w:left w:w="20" w:type="dxa"/>
              <w:bottom w:w="30" w:type="dxa"/>
              <w:right w:w="0" w:type="dxa"/>
            </w:tcMar>
            <w:vAlign w:val="bottom"/>
            <w:hideMark/>
          </w:tcPr>
          <w:p w14:paraId="1CA6F8E3"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D9D9D9"/>
            </w:tcBorders>
            <w:shd w:val="clear" w:color="auto" w:fill="CCEEFF"/>
            <w:tcMar>
              <w:top w:w="30" w:type="dxa"/>
              <w:left w:w="0" w:type="dxa"/>
              <w:bottom w:w="30" w:type="dxa"/>
              <w:right w:w="20" w:type="dxa"/>
            </w:tcMar>
            <w:vAlign w:val="bottom"/>
            <w:hideMark/>
          </w:tcPr>
          <w:p w14:paraId="4CA6DC01" w14:textId="77777777" w:rsidR="00000000" w:rsidRDefault="00C01C43">
            <w:pPr>
              <w:jc w:val="right"/>
              <w:rPr>
                <w:rFonts w:eastAsia="Times New Roman"/>
              </w:rPr>
            </w:pPr>
          </w:p>
        </w:tc>
      </w:tr>
      <w:tr w:rsidR="00000000" w14:paraId="2E9C6871" w14:textId="77777777">
        <w:trPr>
          <w:divId w:val="213139250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06A567E" w14:textId="77777777" w:rsidR="00000000" w:rsidRDefault="00C01C43">
            <w:pPr>
              <w:rPr>
                <w:rFonts w:eastAsia="Times New Roman"/>
              </w:rPr>
            </w:pPr>
            <w:r>
              <w:rPr>
                <w:rFonts w:ascii="Arial" w:eastAsia="Times New Roman" w:hAnsi="Arial" w:cs="Arial"/>
                <w:color w:val="000000"/>
                <w:sz w:val="20"/>
                <w:szCs w:val="20"/>
              </w:rPr>
              <w:t>Total gross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8503F3" w14:textId="77777777" w:rsidR="00000000" w:rsidRDefault="00C01C43">
            <w:pPr>
              <w:jc w:val="right"/>
              <w:rPr>
                <w:rFonts w:eastAsia="Times New Roman"/>
              </w:rPr>
            </w:pPr>
            <w:r>
              <w:rPr>
                <w:rFonts w:ascii="Arial" w:eastAsia="Times New Roman" w:hAnsi="Arial" w:cs="Arial"/>
                <w:color w:val="000000"/>
                <w:sz w:val="20"/>
                <w:szCs w:val="20"/>
              </w:rPr>
              <w:t>128.2 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F57BDD"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39D870E"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52FFA6" w14:textId="77777777" w:rsidR="00000000" w:rsidRDefault="00C01C43">
            <w:pPr>
              <w:jc w:val="right"/>
              <w:rPr>
                <w:rFonts w:eastAsia="Times New Roman"/>
              </w:rPr>
            </w:pPr>
            <w:r>
              <w:rPr>
                <w:rFonts w:ascii="Arial" w:eastAsia="Times New Roman" w:hAnsi="Arial" w:cs="Arial"/>
                <w:color w:val="000000"/>
                <w:sz w:val="20"/>
                <w:szCs w:val="20"/>
              </w:rPr>
              <w:t>95.6 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265BCB" w14:textId="77777777" w:rsidR="00000000" w:rsidRDefault="00C01C43">
            <w:pPr>
              <w:jc w:val="right"/>
              <w:rPr>
                <w:rFonts w:eastAsia="Times New Roman"/>
              </w:rPr>
            </w:pPr>
          </w:p>
        </w:tc>
      </w:tr>
      <w:tr w:rsidR="00000000" w14:paraId="6F176855" w14:textId="77777777">
        <w:trPr>
          <w:divId w:val="21313925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5F8DE5" w14:textId="77777777" w:rsidR="00000000" w:rsidRDefault="00C01C43">
            <w:pPr>
              <w:rPr>
                <w:rFonts w:eastAsia="Times New Roman"/>
              </w:rPr>
            </w:pPr>
            <w:r>
              <w:rPr>
                <w:rFonts w:ascii="Arial" w:eastAsia="Times New Roman" w:hAnsi="Arial" w:cs="Arial"/>
                <w:color w:val="000000"/>
                <w:sz w:val="20"/>
                <w:szCs w:val="20"/>
              </w:rPr>
              <w:t>Less: Valuation allowance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D351AD" w14:textId="77777777" w:rsidR="00000000" w:rsidRDefault="00C01C43">
            <w:pPr>
              <w:jc w:val="right"/>
              <w:rPr>
                <w:rFonts w:eastAsia="Times New Roman"/>
              </w:rPr>
            </w:pPr>
            <w:r>
              <w:rPr>
                <w:rFonts w:ascii="Arial" w:eastAsia="Times New Roman" w:hAnsi="Arial" w:cs="Arial"/>
                <w:color w:val="000000"/>
                <w:sz w:val="20"/>
                <w:szCs w:val="20"/>
              </w:rPr>
              <w:t>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F11844"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3CA7F1"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03AE14" w14:textId="77777777" w:rsidR="00000000" w:rsidRDefault="00C01C43">
            <w:pPr>
              <w:jc w:val="right"/>
              <w:rPr>
                <w:rFonts w:eastAsia="Times New Roman"/>
              </w:rPr>
            </w:pPr>
            <w:r>
              <w:rPr>
                <w:rFonts w:ascii="Arial" w:eastAsia="Times New Roman" w:hAnsi="Arial" w:cs="Arial"/>
                <w:color w:val="000000"/>
                <w:sz w:val="20"/>
                <w:szCs w:val="20"/>
              </w:rPr>
              <w:t>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3A13D4" w14:textId="77777777" w:rsidR="00000000" w:rsidRDefault="00C01C43">
            <w:pPr>
              <w:jc w:val="right"/>
              <w:rPr>
                <w:rFonts w:eastAsia="Times New Roman"/>
              </w:rPr>
            </w:pPr>
          </w:p>
        </w:tc>
      </w:tr>
      <w:tr w:rsidR="00000000" w14:paraId="3A2D710A" w14:textId="77777777">
        <w:trPr>
          <w:divId w:val="213139250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00A672F" w14:textId="77777777" w:rsidR="00000000" w:rsidRDefault="00C01C43">
            <w:pPr>
              <w:rPr>
                <w:rFonts w:eastAsia="Times New Roman"/>
              </w:rPr>
            </w:pPr>
            <w:r>
              <w:rPr>
                <w:rFonts w:ascii="Arial" w:eastAsia="Times New Roman" w:hAnsi="Arial" w:cs="Arial"/>
                <w:color w:val="000000"/>
                <w:sz w:val="20"/>
                <w:szCs w:val="20"/>
              </w:rPr>
              <w:t>Gross deferred tax assets, net of valuation allowance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255BE7" w14:textId="77777777" w:rsidR="00000000" w:rsidRDefault="00C01C43">
            <w:pPr>
              <w:jc w:val="right"/>
              <w:rPr>
                <w:rFonts w:eastAsia="Times New Roman"/>
              </w:rPr>
            </w:pPr>
            <w:r>
              <w:rPr>
                <w:rFonts w:ascii="Arial" w:eastAsia="Times New Roman" w:hAnsi="Arial" w:cs="Arial"/>
                <w:color w:val="000000"/>
                <w:sz w:val="20"/>
                <w:szCs w:val="20"/>
              </w:rPr>
              <w:t>80.2 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43810F"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6BB1BFA"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2D2582" w14:textId="77777777" w:rsidR="00000000" w:rsidRDefault="00C01C43">
            <w:pPr>
              <w:jc w:val="right"/>
              <w:rPr>
                <w:rFonts w:eastAsia="Times New Roman"/>
              </w:rPr>
            </w:pPr>
            <w:r>
              <w:rPr>
                <w:rFonts w:ascii="Arial" w:eastAsia="Times New Roman" w:hAnsi="Arial" w:cs="Arial"/>
                <w:color w:val="000000"/>
                <w:sz w:val="20"/>
                <w:szCs w:val="20"/>
              </w:rPr>
              <w:t>63.1 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049DFB" w14:textId="77777777" w:rsidR="00000000" w:rsidRDefault="00C01C43">
            <w:pPr>
              <w:jc w:val="right"/>
              <w:rPr>
                <w:rFonts w:eastAsia="Times New Roman"/>
              </w:rPr>
            </w:pPr>
          </w:p>
        </w:tc>
      </w:tr>
      <w:tr w:rsidR="00000000" w14:paraId="0BF6072A" w14:textId="77777777">
        <w:trPr>
          <w:divId w:val="21313925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C5651B7" w14:textId="77777777" w:rsidR="00000000" w:rsidRDefault="00C01C43">
            <w:pPr>
              <w:rPr>
                <w:rFonts w:eastAsia="Times New Roman"/>
              </w:rPr>
            </w:pPr>
            <w:r>
              <w:rPr>
                <w:rFonts w:ascii="Arial" w:eastAsia="Times New Roman" w:hAnsi="Arial" w:cs="Arial"/>
                <w:color w:val="000000"/>
                <w:sz w:val="20"/>
                <w:szCs w:val="20"/>
              </w:rPr>
              <w:t>Deferred Tax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689C574" w14:textId="77777777" w:rsidR="00000000" w:rsidRDefault="00C01C43">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68C33D" w14:textId="77777777" w:rsidR="00000000" w:rsidRDefault="00C01C4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416DBAB" w14:textId="77777777" w:rsidR="00000000" w:rsidRDefault="00C01C43">
            <w:pPr>
              <w:rPr>
                <w:rFonts w:eastAsia="Times New Roman"/>
              </w:rPr>
            </w:pPr>
            <w:r>
              <w:rPr>
                <w:rFonts w:ascii="Arial" w:eastAsia="Times New Roman" w:hAnsi="Arial" w:cs="Arial"/>
                <w:color w:val="000000"/>
                <w:sz w:val="20"/>
                <w:szCs w:val="20"/>
              </w:rPr>
              <w:t> </w:t>
            </w:r>
          </w:p>
        </w:tc>
      </w:tr>
      <w:tr w:rsidR="00000000" w14:paraId="200E54AC" w14:textId="77777777">
        <w:trPr>
          <w:divId w:val="2131392501"/>
        </w:trPr>
        <w:tc>
          <w:tcPr>
            <w:tcW w:w="0" w:type="auto"/>
            <w:gridSpan w:val="3"/>
            <w:shd w:val="clear" w:color="auto" w:fill="FFFFFF"/>
            <w:tcMar>
              <w:top w:w="30" w:type="dxa"/>
              <w:left w:w="20" w:type="dxa"/>
              <w:bottom w:w="30" w:type="dxa"/>
              <w:right w:w="20" w:type="dxa"/>
            </w:tcMar>
            <w:vAlign w:val="bottom"/>
            <w:hideMark/>
          </w:tcPr>
          <w:p w14:paraId="787D9A24" w14:textId="77777777" w:rsidR="00000000" w:rsidRDefault="00C01C43">
            <w:pPr>
              <w:rPr>
                <w:rFonts w:eastAsia="Times New Roman"/>
              </w:rPr>
            </w:pPr>
            <w:r>
              <w:rPr>
                <w:rFonts w:ascii="Arial" w:eastAsia="Times New Roman" w:hAnsi="Arial" w:cs="Arial"/>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058F46A6" w14:textId="77777777" w:rsidR="00000000" w:rsidRDefault="00C01C43">
            <w:pPr>
              <w:jc w:val="right"/>
              <w:rPr>
                <w:rFonts w:eastAsia="Times New Roman"/>
              </w:rPr>
            </w:pPr>
            <w:r>
              <w:rPr>
                <w:rFonts w:ascii="Arial" w:eastAsia="Times New Roman" w:hAnsi="Arial" w:cs="Arial"/>
                <w:color w:val="000000"/>
                <w:sz w:val="20"/>
                <w:szCs w:val="20"/>
              </w:rPr>
              <w:t>(23.2)</w:t>
            </w:r>
          </w:p>
        </w:tc>
        <w:tc>
          <w:tcPr>
            <w:tcW w:w="0" w:type="auto"/>
            <w:shd w:val="clear" w:color="auto" w:fill="FFFFFF"/>
            <w:tcMar>
              <w:top w:w="30" w:type="dxa"/>
              <w:left w:w="0" w:type="dxa"/>
              <w:bottom w:w="30" w:type="dxa"/>
              <w:right w:w="20" w:type="dxa"/>
            </w:tcMar>
            <w:vAlign w:val="bottom"/>
            <w:hideMark/>
          </w:tcPr>
          <w:p w14:paraId="6496139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7B488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9B0CE2" w14:textId="77777777" w:rsidR="00000000" w:rsidRDefault="00C01C43">
            <w:pPr>
              <w:jc w:val="right"/>
              <w:rPr>
                <w:rFonts w:eastAsia="Times New Roman"/>
              </w:rPr>
            </w:pPr>
            <w:r>
              <w:rPr>
                <w:rFonts w:ascii="Arial" w:eastAsia="Times New Roman" w:hAnsi="Arial" w:cs="Arial"/>
                <w:color w:val="000000"/>
                <w:sz w:val="20"/>
                <w:szCs w:val="20"/>
              </w:rPr>
              <w:t>(11.7)</w:t>
            </w:r>
          </w:p>
        </w:tc>
        <w:tc>
          <w:tcPr>
            <w:tcW w:w="0" w:type="auto"/>
            <w:shd w:val="clear" w:color="auto" w:fill="FFFFFF"/>
            <w:tcMar>
              <w:top w:w="30" w:type="dxa"/>
              <w:left w:w="0" w:type="dxa"/>
              <w:bottom w:w="30" w:type="dxa"/>
              <w:right w:w="20" w:type="dxa"/>
            </w:tcMar>
            <w:vAlign w:val="bottom"/>
            <w:hideMark/>
          </w:tcPr>
          <w:p w14:paraId="674A14D6" w14:textId="77777777" w:rsidR="00000000" w:rsidRDefault="00C01C43">
            <w:pPr>
              <w:jc w:val="right"/>
              <w:rPr>
                <w:rFonts w:eastAsia="Times New Roman"/>
              </w:rPr>
            </w:pPr>
          </w:p>
        </w:tc>
      </w:tr>
      <w:tr w:rsidR="00000000" w14:paraId="26986C91" w14:textId="77777777">
        <w:trPr>
          <w:divId w:val="2131392501"/>
        </w:trPr>
        <w:tc>
          <w:tcPr>
            <w:tcW w:w="0" w:type="auto"/>
            <w:gridSpan w:val="3"/>
            <w:shd w:val="clear" w:color="auto" w:fill="CCEEFF"/>
            <w:tcMar>
              <w:top w:w="30" w:type="dxa"/>
              <w:left w:w="20" w:type="dxa"/>
              <w:bottom w:w="30" w:type="dxa"/>
              <w:right w:w="20" w:type="dxa"/>
            </w:tcMar>
            <w:vAlign w:val="bottom"/>
            <w:hideMark/>
          </w:tcPr>
          <w:p w14:paraId="60D318C8" w14:textId="77777777" w:rsidR="00000000" w:rsidRDefault="00C01C43">
            <w:pPr>
              <w:rPr>
                <w:rFonts w:eastAsia="Times New Roman"/>
              </w:rPr>
            </w:pPr>
            <w:r>
              <w:rPr>
                <w:rFonts w:ascii="Arial" w:eastAsia="Times New Roman" w:hAnsi="Arial" w:cs="Arial"/>
                <w:color w:val="000000"/>
                <w:sz w:val="20"/>
                <w:szCs w:val="20"/>
              </w:rPr>
              <w:t>Goodwill and intangible assets</w:t>
            </w:r>
          </w:p>
        </w:tc>
        <w:tc>
          <w:tcPr>
            <w:tcW w:w="0" w:type="auto"/>
            <w:gridSpan w:val="2"/>
            <w:shd w:val="clear" w:color="auto" w:fill="CCEEFF"/>
            <w:tcMar>
              <w:top w:w="30" w:type="dxa"/>
              <w:left w:w="20" w:type="dxa"/>
              <w:bottom w:w="30" w:type="dxa"/>
              <w:right w:w="0" w:type="dxa"/>
            </w:tcMar>
            <w:vAlign w:val="bottom"/>
            <w:hideMark/>
          </w:tcPr>
          <w:p w14:paraId="1D6AA9BE" w14:textId="77777777" w:rsidR="00000000" w:rsidRDefault="00C01C43">
            <w:pPr>
              <w:jc w:val="right"/>
              <w:rPr>
                <w:rFonts w:eastAsia="Times New Roman"/>
              </w:rPr>
            </w:pPr>
            <w:r>
              <w:rPr>
                <w:rFonts w:ascii="Arial" w:eastAsia="Times New Roman" w:hAnsi="Arial" w:cs="Arial"/>
                <w:color w:val="000000"/>
                <w:sz w:val="20"/>
                <w:szCs w:val="20"/>
              </w:rPr>
              <w:t>(54.8)</w:t>
            </w:r>
          </w:p>
        </w:tc>
        <w:tc>
          <w:tcPr>
            <w:tcW w:w="0" w:type="auto"/>
            <w:shd w:val="clear" w:color="auto" w:fill="CCEEFF"/>
            <w:tcMar>
              <w:top w:w="30" w:type="dxa"/>
              <w:left w:w="0" w:type="dxa"/>
              <w:bottom w:w="30" w:type="dxa"/>
              <w:right w:w="20" w:type="dxa"/>
            </w:tcMar>
            <w:vAlign w:val="bottom"/>
            <w:hideMark/>
          </w:tcPr>
          <w:p w14:paraId="1FFEA5E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E8A0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70CCA3" w14:textId="77777777" w:rsidR="00000000" w:rsidRDefault="00C01C43">
            <w:pPr>
              <w:jc w:val="right"/>
              <w:rPr>
                <w:rFonts w:eastAsia="Times New Roman"/>
              </w:rPr>
            </w:pPr>
            <w:r>
              <w:rPr>
                <w:rFonts w:ascii="Arial" w:eastAsia="Times New Roman" w:hAnsi="Arial" w:cs="Arial"/>
                <w:color w:val="000000"/>
                <w:sz w:val="20"/>
                <w:szCs w:val="20"/>
              </w:rPr>
              <w:t>(53.5)</w:t>
            </w:r>
          </w:p>
        </w:tc>
        <w:tc>
          <w:tcPr>
            <w:tcW w:w="0" w:type="auto"/>
            <w:shd w:val="clear" w:color="auto" w:fill="CCEEFF"/>
            <w:tcMar>
              <w:top w:w="30" w:type="dxa"/>
              <w:left w:w="0" w:type="dxa"/>
              <w:bottom w:w="30" w:type="dxa"/>
              <w:right w:w="20" w:type="dxa"/>
            </w:tcMar>
            <w:vAlign w:val="bottom"/>
            <w:hideMark/>
          </w:tcPr>
          <w:p w14:paraId="45674A41" w14:textId="77777777" w:rsidR="00000000" w:rsidRDefault="00C01C43">
            <w:pPr>
              <w:jc w:val="right"/>
              <w:rPr>
                <w:rFonts w:eastAsia="Times New Roman"/>
              </w:rPr>
            </w:pPr>
          </w:p>
        </w:tc>
      </w:tr>
      <w:tr w:rsidR="00000000" w14:paraId="7164C138" w14:textId="77777777">
        <w:trPr>
          <w:divId w:val="2131392501"/>
        </w:trPr>
        <w:tc>
          <w:tcPr>
            <w:tcW w:w="0" w:type="auto"/>
            <w:gridSpan w:val="3"/>
            <w:shd w:val="clear" w:color="auto" w:fill="FFFFFF"/>
            <w:tcMar>
              <w:top w:w="30" w:type="dxa"/>
              <w:left w:w="20" w:type="dxa"/>
              <w:bottom w:w="30" w:type="dxa"/>
              <w:right w:w="20" w:type="dxa"/>
            </w:tcMar>
            <w:vAlign w:val="bottom"/>
            <w:hideMark/>
          </w:tcPr>
          <w:p w14:paraId="4089BF0F" w14:textId="77777777" w:rsidR="00000000" w:rsidRDefault="00C01C43">
            <w:pPr>
              <w:rPr>
                <w:rFonts w:eastAsia="Times New Roman"/>
              </w:rPr>
            </w:pPr>
            <w:r>
              <w:rPr>
                <w:rFonts w:ascii="Arial" w:eastAsia="Times New Roman" w:hAnsi="Arial" w:cs="Arial"/>
                <w:color w:val="000000"/>
                <w:sz w:val="20"/>
                <w:szCs w:val="20"/>
              </w:rPr>
              <w:t>Unrealized foreign exchange</w:t>
            </w:r>
          </w:p>
        </w:tc>
        <w:tc>
          <w:tcPr>
            <w:tcW w:w="0" w:type="auto"/>
            <w:gridSpan w:val="2"/>
            <w:shd w:val="clear" w:color="auto" w:fill="FFFFFF"/>
            <w:tcMar>
              <w:top w:w="30" w:type="dxa"/>
              <w:left w:w="20" w:type="dxa"/>
              <w:bottom w:w="30" w:type="dxa"/>
              <w:right w:w="0" w:type="dxa"/>
            </w:tcMar>
            <w:vAlign w:val="bottom"/>
            <w:hideMark/>
          </w:tcPr>
          <w:p w14:paraId="7F7367C1"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96057F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C6EE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D8A17C" w14:textId="77777777" w:rsidR="00000000" w:rsidRDefault="00C01C43">
            <w:pPr>
              <w:jc w:val="right"/>
              <w:rPr>
                <w:rFonts w:eastAsia="Times New Roman"/>
              </w:rPr>
            </w:pPr>
            <w:r>
              <w:rPr>
                <w:rFonts w:ascii="Arial" w:eastAsia="Times New Roman" w:hAnsi="Arial" w:cs="Arial"/>
                <w:color w:val="000000"/>
                <w:sz w:val="20"/>
                <w:szCs w:val="20"/>
              </w:rPr>
              <w:t>(6.3)</w:t>
            </w:r>
          </w:p>
        </w:tc>
        <w:tc>
          <w:tcPr>
            <w:tcW w:w="0" w:type="auto"/>
            <w:shd w:val="clear" w:color="auto" w:fill="FFFFFF"/>
            <w:tcMar>
              <w:top w:w="30" w:type="dxa"/>
              <w:left w:w="0" w:type="dxa"/>
              <w:bottom w:w="30" w:type="dxa"/>
              <w:right w:w="20" w:type="dxa"/>
            </w:tcMar>
            <w:vAlign w:val="bottom"/>
            <w:hideMark/>
          </w:tcPr>
          <w:p w14:paraId="2AB80A02" w14:textId="77777777" w:rsidR="00000000" w:rsidRDefault="00C01C43">
            <w:pPr>
              <w:jc w:val="right"/>
              <w:rPr>
                <w:rFonts w:eastAsia="Times New Roman"/>
              </w:rPr>
            </w:pPr>
          </w:p>
        </w:tc>
      </w:tr>
      <w:tr w:rsidR="00000000" w14:paraId="06992DD7" w14:textId="77777777">
        <w:trPr>
          <w:divId w:val="2131392501"/>
        </w:trPr>
        <w:tc>
          <w:tcPr>
            <w:tcW w:w="0" w:type="auto"/>
            <w:gridSpan w:val="3"/>
            <w:shd w:val="clear" w:color="auto" w:fill="CCEEFF"/>
            <w:tcMar>
              <w:top w:w="30" w:type="dxa"/>
              <w:left w:w="20" w:type="dxa"/>
              <w:bottom w:w="30" w:type="dxa"/>
              <w:right w:w="20" w:type="dxa"/>
            </w:tcMar>
            <w:vAlign w:val="bottom"/>
            <w:hideMark/>
          </w:tcPr>
          <w:p w14:paraId="41558106" w14:textId="77777777" w:rsidR="00000000" w:rsidRDefault="00C01C43">
            <w:pPr>
              <w:rPr>
                <w:rFonts w:eastAsia="Times New Roman"/>
              </w:rPr>
            </w:pPr>
            <w:r>
              <w:rPr>
                <w:rFonts w:ascii="Arial" w:eastAsia="Times New Roman" w:hAnsi="Arial" w:cs="Arial"/>
                <w:color w:val="000000"/>
                <w:sz w:val="20"/>
                <w:szCs w:val="20"/>
              </w:rPr>
              <w:t>Prepaid expenses, deductible for tax purposes</w:t>
            </w:r>
          </w:p>
        </w:tc>
        <w:tc>
          <w:tcPr>
            <w:tcW w:w="0" w:type="auto"/>
            <w:gridSpan w:val="2"/>
            <w:shd w:val="clear" w:color="auto" w:fill="CCEEFF"/>
            <w:tcMar>
              <w:top w:w="30" w:type="dxa"/>
              <w:left w:w="20" w:type="dxa"/>
              <w:bottom w:w="30" w:type="dxa"/>
              <w:right w:w="0" w:type="dxa"/>
            </w:tcMar>
            <w:vAlign w:val="bottom"/>
            <w:hideMark/>
          </w:tcPr>
          <w:p w14:paraId="08438A71" w14:textId="77777777" w:rsidR="00000000" w:rsidRDefault="00C01C43">
            <w:pPr>
              <w:jc w:val="right"/>
              <w:rPr>
                <w:rFonts w:eastAsia="Times New Roman"/>
              </w:rPr>
            </w:pPr>
            <w:r>
              <w:rPr>
                <w:rFonts w:ascii="Arial" w:eastAsia="Times New Roman" w:hAnsi="Arial" w:cs="Arial"/>
                <w:color w:val="000000"/>
                <w:sz w:val="20"/>
                <w:szCs w:val="20"/>
              </w:rPr>
              <w:t>(3.3)</w:t>
            </w:r>
          </w:p>
        </w:tc>
        <w:tc>
          <w:tcPr>
            <w:tcW w:w="0" w:type="auto"/>
            <w:shd w:val="clear" w:color="auto" w:fill="CCEEFF"/>
            <w:tcMar>
              <w:top w:w="30" w:type="dxa"/>
              <w:left w:w="0" w:type="dxa"/>
              <w:bottom w:w="30" w:type="dxa"/>
              <w:right w:w="20" w:type="dxa"/>
            </w:tcMar>
            <w:vAlign w:val="bottom"/>
            <w:hideMark/>
          </w:tcPr>
          <w:p w14:paraId="2222BA9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BF1E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5C8269" w14:textId="77777777" w:rsidR="00000000" w:rsidRDefault="00C01C43">
            <w:pPr>
              <w:jc w:val="right"/>
              <w:rPr>
                <w:rFonts w:eastAsia="Times New Roman"/>
              </w:rPr>
            </w:pPr>
            <w:r>
              <w:rPr>
                <w:rFonts w:ascii="Arial" w:eastAsia="Times New Roman" w:hAnsi="Arial" w:cs="Arial"/>
                <w:color w:val="000000"/>
                <w:sz w:val="20"/>
                <w:szCs w:val="20"/>
              </w:rPr>
              <w:t>(4.2)</w:t>
            </w:r>
          </w:p>
        </w:tc>
        <w:tc>
          <w:tcPr>
            <w:tcW w:w="0" w:type="auto"/>
            <w:shd w:val="clear" w:color="auto" w:fill="CCEEFF"/>
            <w:tcMar>
              <w:top w:w="30" w:type="dxa"/>
              <w:left w:w="0" w:type="dxa"/>
              <w:bottom w:w="30" w:type="dxa"/>
              <w:right w:w="20" w:type="dxa"/>
            </w:tcMar>
            <w:vAlign w:val="bottom"/>
            <w:hideMark/>
          </w:tcPr>
          <w:p w14:paraId="4303DF45" w14:textId="77777777" w:rsidR="00000000" w:rsidRDefault="00C01C43">
            <w:pPr>
              <w:jc w:val="right"/>
              <w:rPr>
                <w:rFonts w:eastAsia="Times New Roman"/>
              </w:rPr>
            </w:pPr>
          </w:p>
        </w:tc>
      </w:tr>
      <w:tr w:rsidR="00000000" w14:paraId="0ADCA0DF" w14:textId="77777777">
        <w:trPr>
          <w:divId w:val="2131392501"/>
        </w:trPr>
        <w:tc>
          <w:tcPr>
            <w:tcW w:w="0" w:type="auto"/>
            <w:gridSpan w:val="3"/>
            <w:shd w:val="clear" w:color="auto" w:fill="FFFFFF"/>
            <w:tcMar>
              <w:top w:w="30" w:type="dxa"/>
              <w:left w:w="20" w:type="dxa"/>
              <w:bottom w:w="30" w:type="dxa"/>
              <w:right w:w="20" w:type="dxa"/>
            </w:tcMar>
            <w:vAlign w:val="bottom"/>
            <w:hideMark/>
          </w:tcPr>
          <w:p w14:paraId="3D80476E" w14:textId="77777777" w:rsidR="00000000" w:rsidRDefault="00C01C43">
            <w:pPr>
              <w:rPr>
                <w:rFonts w:eastAsia="Times New Roman"/>
              </w:rPr>
            </w:pPr>
            <w:r>
              <w:rPr>
                <w:rFonts w:ascii="Arial" w:eastAsia="Times New Roman" w:hAnsi="Arial" w:cs="Arial"/>
                <w:color w:val="000000"/>
                <w:sz w:val="20"/>
                <w:szCs w:val="20"/>
              </w:rPr>
              <w:t>Deferred tax costs on foreign unrepatriated earnings</w:t>
            </w:r>
          </w:p>
        </w:tc>
        <w:tc>
          <w:tcPr>
            <w:tcW w:w="0" w:type="auto"/>
            <w:gridSpan w:val="2"/>
            <w:shd w:val="clear" w:color="auto" w:fill="FFFFFF"/>
            <w:tcMar>
              <w:top w:w="30" w:type="dxa"/>
              <w:left w:w="20" w:type="dxa"/>
              <w:bottom w:w="30" w:type="dxa"/>
              <w:right w:w="0" w:type="dxa"/>
            </w:tcMar>
            <w:vAlign w:val="bottom"/>
            <w:hideMark/>
          </w:tcPr>
          <w:p w14:paraId="7D4114E2" w14:textId="77777777" w:rsidR="00000000" w:rsidRDefault="00C01C43">
            <w:pPr>
              <w:jc w:val="right"/>
              <w:rPr>
                <w:rFonts w:eastAsia="Times New Roman"/>
              </w:rPr>
            </w:pPr>
            <w:r>
              <w:rPr>
                <w:rFonts w:ascii="Arial" w:eastAsia="Times New Roman" w:hAnsi="Arial" w:cs="Arial"/>
                <w:color w:val="000000"/>
                <w:sz w:val="20"/>
                <w:szCs w:val="20"/>
              </w:rPr>
              <w:t>(10.4)</w:t>
            </w:r>
          </w:p>
        </w:tc>
        <w:tc>
          <w:tcPr>
            <w:tcW w:w="0" w:type="auto"/>
            <w:shd w:val="clear" w:color="auto" w:fill="FFFFFF"/>
            <w:tcMar>
              <w:top w:w="30" w:type="dxa"/>
              <w:left w:w="0" w:type="dxa"/>
              <w:bottom w:w="30" w:type="dxa"/>
              <w:right w:w="20" w:type="dxa"/>
            </w:tcMar>
            <w:vAlign w:val="bottom"/>
            <w:hideMark/>
          </w:tcPr>
          <w:p w14:paraId="44CB1EB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65E24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A7173C" w14:textId="77777777" w:rsidR="00000000" w:rsidRDefault="00C01C43">
            <w:pPr>
              <w:jc w:val="right"/>
              <w:rPr>
                <w:rFonts w:eastAsia="Times New Roman"/>
              </w:rPr>
            </w:pPr>
            <w:r>
              <w:rPr>
                <w:rFonts w:ascii="Arial" w:eastAsia="Times New Roman" w:hAnsi="Arial" w:cs="Arial"/>
                <w:color w:val="000000"/>
                <w:sz w:val="20"/>
                <w:szCs w:val="20"/>
              </w:rPr>
              <w:t>(12.0)</w:t>
            </w:r>
          </w:p>
        </w:tc>
        <w:tc>
          <w:tcPr>
            <w:tcW w:w="0" w:type="auto"/>
            <w:shd w:val="clear" w:color="auto" w:fill="FFFFFF"/>
            <w:tcMar>
              <w:top w:w="30" w:type="dxa"/>
              <w:left w:w="0" w:type="dxa"/>
              <w:bottom w:w="30" w:type="dxa"/>
              <w:right w:w="20" w:type="dxa"/>
            </w:tcMar>
            <w:vAlign w:val="bottom"/>
            <w:hideMark/>
          </w:tcPr>
          <w:p w14:paraId="1F333749" w14:textId="77777777" w:rsidR="00000000" w:rsidRDefault="00C01C43">
            <w:pPr>
              <w:jc w:val="right"/>
              <w:rPr>
                <w:rFonts w:eastAsia="Times New Roman"/>
              </w:rPr>
            </w:pPr>
          </w:p>
        </w:tc>
      </w:tr>
      <w:tr w:rsidR="00000000" w14:paraId="7E21CC66" w14:textId="77777777">
        <w:trPr>
          <w:divId w:val="2131392501"/>
        </w:trPr>
        <w:tc>
          <w:tcPr>
            <w:tcW w:w="0" w:type="auto"/>
            <w:gridSpan w:val="3"/>
            <w:shd w:val="clear" w:color="auto" w:fill="CCEEFF"/>
            <w:tcMar>
              <w:top w:w="30" w:type="dxa"/>
              <w:left w:w="20" w:type="dxa"/>
              <w:bottom w:w="30" w:type="dxa"/>
              <w:right w:w="20" w:type="dxa"/>
            </w:tcMar>
            <w:vAlign w:val="bottom"/>
            <w:hideMark/>
          </w:tcPr>
          <w:p w14:paraId="4D144B13" w14:textId="77777777" w:rsidR="00000000" w:rsidRDefault="00C01C43">
            <w:pPr>
              <w:rPr>
                <w:rFonts w:eastAsia="Times New Roman"/>
              </w:rPr>
            </w:pPr>
            <w:r>
              <w:rPr>
                <w:rFonts w:ascii="Arial" w:eastAsia="Times New Roman" w:hAnsi="Arial" w:cs="Arial"/>
                <w:color w:val="000000"/>
                <w:sz w:val="20"/>
                <w:szCs w:val="20"/>
              </w:rPr>
              <w:t>Unrealized derivatives</w:t>
            </w:r>
          </w:p>
        </w:tc>
        <w:tc>
          <w:tcPr>
            <w:tcW w:w="0" w:type="auto"/>
            <w:gridSpan w:val="2"/>
            <w:shd w:val="clear" w:color="auto" w:fill="CCEEFF"/>
            <w:tcMar>
              <w:top w:w="30" w:type="dxa"/>
              <w:left w:w="20" w:type="dxa"/>
              <w:bottom w:w="30" w:type="dxa"/>
              <w:right w:w="0" w:type="dxa"/>
            </w:tcMar>
            <w:vAlign w:val="bottom"/>
            <w:hideMark/>
          </w:tcPr>
          <w:p w14:paraId="1E90FD5C" w14:textId="77777777" w:rsidR="00000000" w:rsidRDefault="00C01C43">
            <w:pPr>
              <w:jc w:val="right"/>
              <w:rPr>
                <w:rFonts w:eastAsia="Times New Roman"/>
              </w:rPr>
            </w:pPr>
            <w:r>
              <w:rPr>
                <w:rFonts w:ascii="Arial" w:eastAsia="Times New Roman" w:hAnsi="Arial" w:cs="Arial"/>
                <w:color w:val="000000"/>
                <w:sz w:val="20"/>
                <w:szCs w:val="20"/>
              </w:rPr>
              <w:t>(6.4)</w:t>
            </w:r>
          </w:p>
        </w:tc>
        <w:tc>
          <w:tcPr>
            <w:tcW w:w="0" w:type="auto"/>
            <w:shd w:val="clear" w:color="auto" w:fill="CCEEFF"/>
            <w:tcMar>
              <w:top w:w="30" w:type="dxa"/>
              <w:left w:w="0" w:type="dxa"/>
              <w:bottom w:w="30" w:type="dxa"/>
              <w:right w:w="20" w:type="dxa"/>
            </w:tcMar>
            <w:vAlign w:val="bottom"/>
            <w:hideMark/>
          </w:tcPr>
          <w:p w14:paraId="3B5463A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FBE1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ACF3BD" w14:textId="77777777" w:rsidR="00000000" w:rsidRDefault="00C01C43">
            <w:pPr>
              <w:jc w:val="right"/>
              <w:rPr>
                <w:rFonts w:eastAsia="Times New Roman"/>
              </w:rPr>
            </w:pPr>
            <w:r>
              <w:rPr>
                <w:rFonts w:ascii="Arial" w:eastAsia="Times New Roman" w:hAnsi="Arial" w:cs="Arial"/>
                <w:color w:val="000000"/>
                <w:sz w:val="20"/>
                <w:szCs w:val="20"/>
              </w:rPr>
              <w:t>(3.8)</w:t>
            </w:r>
          </w:p>
        </w:tc>
        <w:tc>
          <w:tcPr>
            <w:tcW w:w="0" w:type="auto"/>
            <w:shd w:val="clear" w:color="auto" w:fill="CCEEFF"/>
            <w:tcMar>
              <w:top w:w="30" w:type="dxa"/>
              <w:left w:w="0" w:type="dxa"/>
              <w:bottom w:w="30" w:type="dxa"/>
              <w:right w:w="20" w:type="dxa"/>
            </w:tcMar>
            <w:vAlign w:val="bottom"/>
            <w:hideMark/>
          </w:tcPr>
          <w:p w14:paraId="500F8302" w14:textId="77777777" w:rsidR="00000000" w:rsidRDefault="00C01C43">
            <w:pPr>
              <w:jc w:val="right"/>
              <w:rPr>
                <w:rFonts w:eastAsia="Times New Roman"/>
              </w:rPr>
            </w:pPr>
          </w:p>
        </w:tc>
      </w:tr>
      <w:tr w:rsidR="00000000" w14:paraId="32750F72" w14:textId="77777777">
        <w:trPr>
          <w:divId w:val="2131392501"/>
        </w:trPr>
        <w:tc>
          <w:tcPr>
            <w:tcW w:w="0" w:type="auto"/>
            <w:gridSpan w:val="3"/>
            <w:tcBorders>
              <w:top w:val="single" w:sz="8" w:space="0" w:color="D9D9D9"/>
            </w:tcBorders>
            <w:shd w:val="clear" w:color="auto" w:fill="FFFFFF"/>
            <w:tcMar>
              <w:top w:w="30" w:type="dxa"/>
              <w:left w:w="20" w:type="dxa"/>
              <w:bottom w:w="30" w:type="dxa"/>
              <w:right w:w="20" w:type="dxa"/>
            </w:tcMar>
            <w:vAlign w:val="bottom"/>
            <w:hideMark/>
          </w:tcPr>
          <w:p w14:paraId="71AB5BBD" w14:textId="77777777" w:rsidR="00000000" w:rsidRDefault="00C01C43">
            <w:pPr>
              <w:rPr>
                <w:rFonts w:eastAsia="Times New Roman"/>
              </w:rPr>
            </w:pPr>
            <w:r>
              <w:rPr>
                <w:rFonts w:ascii="Arial" w:eastAsia="Times New Roman" w:hAnsi="Arial" w:cs="Arial"/>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55EB5712" w14:textId="77777777" w:rsidR="00000000" w:rsidRDefault="00C01C43">
            <w:pPr>
              <w:jc w:val="right"/>
              <w:rPr>
                <w:rFonts w:eastAsia="Times New Roman"/>
              </w:rPr>
            </w:pPr>
            <w:r>
              <w:rPr>
                <w:rFonts w:ascii="Arial" w:eastAsia="Times New Roman" w:hAnsi="Arial" w:cs="Arial"/>
                <w:color w:val="000000"/>
                <w:sz w:val="20"/>
                <w:szCs w:val="20"/>
              </w:rPr>
              <w:t>(2.3)</w:t>
            </w:r>
          </w:p>
        </w:tc>
        <w:tc>
          <w:tcPr>
            <w:tcW w:w="0" w:type="auto"/>
            <w:shd w:val="clear" w:color="auto" w:fill="FFFFFF"/>
            <w:tcMar>
              <w:top w:w="30" w:type="dxa"/>
              <w:left w:w="0" w:type="dxa"/>
              <w:bottom w:w="30" w:type="dxa"/>
              <w:right w:w="20" w:type="dxa"/>
            </w:tcMar>
            <w:vAlign w:val="bottom"/>
            <w:hideMark/>
          </w:tcPr>
          <w:p w14:paraId="40783FA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2EDC0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BB199D" w14:textId="77777777" w:rsidR="00000000" w:rsidRDefault="00C01C43">
            <w:pPr>
              <w:jc w:val="right"/>
              <w:rPr>
                <w:rFonts w:eastAsia="Times New Roman"/>
              </w:rPr>
            </w:pPr>
            <w:r>
              <w:rPr>
                <w:rFonts w:ascii="Arial" w:eastAsia="Times New Roman" w:hAnsi="Arial" w:cs="Arial"/>
                <w:color w:val="000000"/>
                <w:sz w:val="20"/>
                <w:szCs w:val="20"/>
              </w:rPr>
              <w:t>(5.6)</w:t>
            </w:r>
          </w:p>
        </w:tc>
        <w:tc>
          <w:tcPr>
            <w:tcW w:w="0" w:type="auto"/>
            <w:shd w:val="clear" w:color="auto" w:fill="FFFFFF"/>
            <w:tcMar>
              <w:top w:w="30" w:type="dxa"/>
              <w:left w:w="0" w:type="dxa"/>
              <w:bottom w:w="30" w:type="dxa"/>
              <w:right w:w="20" w:type="dxa"/>
            </w:tcMar>
            <w:vAlign w:val="bottom"/>
            <w:hideMark/>
          </w:tcPr>
          <w:p w14:paraId="24D24A31" w14:textId="77777777" w:rsidR="00000000" w:rsidRDefault="00C01C43">
            <w:pPr>
              <w:jc w:val="right"/>
              <w:rPr>
                <w:rFonts w:eastAsia="Times New Roman"/>
              </w:rPr>
            </w:pPr>
          </w:p>
        </w:tc>
      </w:tr>
      <w:tr w:rsidR="00000000" w14:paraId="196E3590" w14:textId="77777777">
        <w:trPr>
          <w:divId w:val="21313925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DE5EFE" w14:textId="77777777" w:rsidR="00000000" w:rsidRDefault="00C01C43">
            <w:pPr>
              <w:rPr>
                <w:rFonts w:eastAsia="Times New Roman"/>
              </w:rPr>
            </w:pPr>
            <w:r>
              <w:rPr>
                <w:rFonts w:ascii="Arial" w:eastAsia="Times New Roman" w:hAnsi="Arial" w:cs="Arial"/>
                <w:color w:val="000000"/>
                <w:sz w:val="20"/>
                <w:szCs w:val="20"/>
              </w:rPr>
              <w:t>Total gross deferred tax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EF1EEA" w14:textId="77777777" w:rsidR="00000000" w:rsidRDefault="00C01C43">
            <w:pPr>
              <w:jc w:val="right"/>
              <w:rPr>
                <w:rFonts w:eastAsia="Times New Roman"/>
              </w:rPr>
            </w:pPr>
            <w:r>
              <w:rPr>
                <w:rFonts w:ascii="Arial" w:eastAsia="Times New Roman" w:hAnsi="Arial" w:cs="Arial"/>
                <w:color w:val="000000"/>
                <w:sz w:val="20"/>
                <w:szCs w:val="20"/>
              </w:rPr>
              <w:t>(100.4)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81B0B5"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64BDFC"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D94928" w14:textId="77777777" w:rsidR="00000000" w:rsidRDefault="00C01C43">
            <w:pPr>
              <w:jc w:val="right"/>
              <w:rPr>
                <w:rFonts w:eastAsia="Times New Roman"/>
              </w:rPr>
            </w:pPr>
            <w:r>
              <w:rPr>
                <w:rFonts w:ascii="Arial" w:eastAsia="Times New Roman" w:hAnsi="Arial" w:cs="Arial"/>
                <w:color w:val="000000"/>
                <w:sz w:val="20"/>
                <w:szCs w:val="20"/>
              </w:rPr>
              <w:t>(97.1)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D870DA" w14:textId="77777777" w:rsidR="00000000" w:rsidRDefault="00C01C43">
            <w:pPr>
              <w:jc w:val="right"/>
              <w:rPr>
                <w:rFonts w:eastAsia="Times New Roman"/>
              </w:rPr>
            </w:pPr>
          </w:p>
        </w:tc>
      </w:tr>
      <w:tr w:rsidR="00000000" w14:paraId="5AF76C61" w14:textId="77777777">
        <w:trPr>
          <w:divId w:val="213139250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4098B0A" w14:textId="77777777" w:rsidR="00000000" w:rsidRDefault="00C01C43">
            <w:pPr>
              <w:rPr>
                <w:rFonts w:eastAsia="Times New Roman"/>
              </w:rPr>
            </w:pPr>
            <w:r>
              <w:rPr>
                <w:rFonts w:ascii="Arial" w:eastAsia="Times New Roman" w:hAnsi="Arial" w:cs="Arial"/>
                <w:color w:val="000000"/>
                <w:sz w:val="20"/>
                <w:szCs w:val="20"/>
              </w:rPr>
              <w:t>Net deferred tax liability</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27BB2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447E32" w14:textId="77777777" w:rsidR="00000000" w:rsidRDefault="00C01C43">
            <w:pPr>
              <w:jc w:val="right"/>
              <w:rPr>
                <w:rFonts w:eastAsia="Times New Roman"/>
              </w:rPr>
            </w:pPr>
            <w:r>
              <w:rPr>
                <w:rFonts w:ascii="Arial" w:eastAsia="Times New Roman" w:hAnsi="Arial" w:cs="Arial"/>
                <w:color w:val="000000"/>
                <w:sz w:val="20"/>
                <w:szCs w:val="20"/>
              </w:rPr>
              <w:t>20.2 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AA1DB4"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7425E8E"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32311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9258CE" w14:textId="77777777" w:rsidR="00000000" w:rsidRDefault="00C01C43">
            <w:pPr>
              <w:jc w:val="right"/>
              <w:rPr>
                <w:rFonts w:eastAsia="Times New Roman"/>
              </w:rPr>
            </w:pPr>
            <w:r>
              <w:rPr>
                <w:rFonts w:ascii="Arial" w:eastAsia="Times New Roman" w:hAnsi="Arial" w:cs="Arial"/>
                <w:color w:val="000000"/>
                <w:sz w:val="20"/>
                <w:szCs w:val="20"/>
              </w:rPr>
              <w:t>34.0 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65D70A" w14:textId="77777777" w:rsidR="00000000" w:rsidRDefault="00C01C43">
            <w:pPr>
              <w:jc w:val="right"/>
              <w:rPr>
                <w:rFonts w:eastAsia="Times New Roman"/>
              </w:rPr>
            </w:pPr>
          </w:p>
        </w:tc>
      </w:tr>
      <w:tr w:rsidR="00000000" w14:paraId="20111EA4" w14:textId="77777777">
        <w:trPr>
          <w:divId w:val="2131392501"/>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105A598" w14:textId="77777777" w:rsidR="00000000" w:rsidRDefault="00C01C43">
            <w:pPr>
              <w:rPr>
                <w:rFonts w:eastAsia="Times New Roman"/>
              </w:rPr>
            </w:pPr>
            <w:r>
              <w:rPr>
                <w:rFonts w:ascii="Arial" w:eastAsia="Times New Roman" w:hAnsi="Arial" w:cs="Arial"/>
                <w:color w:val="000000"/>
                <w:sz w:val="20"/>
                <w:szCs w:val="20"/>
              </w:rPr>
              <w:t>Net deferred tax asset</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0AEA8B0"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78A3411"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BFC38A2" w14:textId="77777777" w:rsidR="00000000" w:rsidRDefault="00C01C43">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6156B21"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EBBA762" w14:textId="77777777" w:rsidR="00000000" w:rsidRDefault="00C01C43">
            <w:pPr>
              <w:jc w:val="right"/>
              <w:rPr>
                <w:rFonts w:eastAsia="Times New Roman"/>
              </w:rPr>
            </w:pPr>
          </w:p>
        </w:tc>
      </w:tr>
      <w:tr w:rsidR="00000000" w14:paraId="395C6FD8" w14:textId="77777777">
        <w:trPr>
          <w:divId w:val="2131392501"/>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BD12A5B" w14:textId="77777777" w:rsidR="00000000" w:rsidRDefault="00C01C43">
            <w:pPr>
              <w:rPr>
                <w:rFonts w:eastAsia="Times New Roman"/>
              </w:rPr>
            </w:pPr>
            <w:r>
              <w:rPr>
                <w:rFonts w:ascii="Arial" w:eastAsia="Times New Roman" w:hAnsi="Arial" w:cs="Arial"/>
                <w:color w:val="000000"/>
                <w:sz w:val="20"/>
                <w:szCs w:val="20"/>
              </w:rPr>
              <w:t>Reported on the Consolidated Balance Sheets as: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252C86A" w14:textId="77777777" w:rsidR="00000000" w:rsidRDefault="00C01C43">
            <w:pPr>
              <w:rPr>
                <w:rFonts w:eastAsia="Times New Roman"/>
              </w:rPr>
            </w:pPr>
            <w:r>
              <w:rPr>
                <w:rFonts w:ascii="Arial" w:eastAsia="Times New Roman" w:hAnsi="Arial" w:cs="Arial"/>
                <w:color w:val="000000"/>
                <w:sz w:val="20"/>
                <w:szCs w:val="20"/>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CDF5ECE" w14:textId="77777777" w:rsidR="00000000" w:rsidRDefault="00C01C43">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044C594" w14:textId="77777777" w:rsidR="00000000" w:rsidRDefault="00C01C43">
            <w:pPr>
              <w:rPr>
                <w:rFonts w:eastAsia="Times New Roman"/>
              </w:rPr>
            </w:pPr>
            <w:r>
              <w:rPr>
                <w:rFonts w:ascii="Arial" w:eastAsia="Times New Roman" w:hAnsi="Arial" w:cs="Arial"/>
                <w:color w:val="000000"/>
                <w:sz w:val="20"/>
                <w:szCs w:val="20"/>
              </w:rPr>
              <w:t> </w:t>
            </w:r>
          </w:p>
        </w:tc>
      </w:tr>
      <w:tr w:rsidR="00000000" w14:paraId="7DC75DBC" w14:textId="77777777">
        <w:trPr>
          <w:divId w:val="2131392501"/>
        </w:trPr>
        <w:tc>
          <w:tcPr>
            <w:tcW w:w="0" w:type="auto"/>
            <w:gridSpan w:val="3"/>
            <w:shd w:val="clear" w:color="auto" w:fill="CCEEFF"/>
            <w:tcMar>
              <w:top w:w="30" w:type="dxa"/>
              <w:left w:w="20" w:type="dxa"/>
              <w:bottom w:w="30" w:type="dxa"/>
              <w:right w:w="20" w:type="dxa"/>
            </w:tcMar>
            <w:vAlign w:val="bottom"/>
            <w:hideMark/>
          </w:tcPr>
          <w:p w14:paraId="2A3B8A56" w14:textId="77777777" w:rsidR="00000000" w:rsidRDefault="00C01C43">
            <w:pPr>
              <w:rPr>
                <w:rFonts w:eastAsia="Times New Roman"/>
              </w:rPr>
            </w:pPr>
            <w:r>
              <w:rPr>
                <w:rFonts w:ascii="Arial" w:eastAsia="Times New Roman" w:hAnsi="Arial" w:cs="Arial"/>
                <w:color w:val="000000"/>
                <w:sz w:val="20"/>
                <w:szCs w:val="20"/>
              </w:rPr>
              <w:t>Identifiable intangible and other non-current assets for deferred tax assets, non-current</w:t>
            </w:r>
          </w:p>
        </w:tc>
        <w:tc>
          <w:tcPr>
            <w:tcW w:w="0" w:type="auto"/>
            <w:shd w:val="clear" w:color="auto" w:fill="CCEEFF"/>
            <w:tcMar>
              <w:top w:w="30" w:type="dxa"/>
              <w:left w:w="20" w:type="dxa"/>
              <w:bottom w:w="30" w:type="dxa"/>
              <w:right w:w="0" w:type="dxa"/>
            </w:tcMar>
            <w:vAlign w:val="bottom"/>
            <w:hideMark/>
          </w:tcPr>
          <w:p w14:paraId="4936C90D"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55CBE052" w14:textId="77777777" w:rsidR="00000000" w:rsidRDefault="00C01C43">
            <w:pPr>
              <w:jc w:val="right"/>
              <w:rPr>
                <w:rFonts w:eastAsia="Times New Roman"/>
              </w:rPr>
            </w:pPr>
            <w:r>
              <w:rPr>
                <w:rFonts w:ascii="Arial" w:eastAsia="Times New Roman" w:hAnsi="Arial" w:cs="Arial"/>
                <w:color w:val="000000"/>
                <w:sz w:val="20"/>
                <w:szCs w:val="20"/>
              </w:rPr>
              <w:t>33.7 </w:t>
            </w:r>
          </w:p>
        </w:tc>
        <w:tc>
          <w:tcPr>
            <w:tcW w:w="0" w:type="auto"/>
            <w:shd w:val="clear" w:color="auto" w:fill="CCEEFF"/>
            <w:tcMar>
              <w:top w:w="30" w:type="dxa"/>
              <w:left w:w="0" w:type="dxa"/>
              <w:bottom w:w="30" w:type="dxa"/>
              <w:right w:w="20" w:type="dxa"/>
            </w:tcMar>
            <w:vAlign w:val="bottom"/>
            <w:hideMark/>
          </w:tcPr>
          <w:p w14:paraId="0969998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2E366"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4A8B5C"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0D110F4" w14:textId="77777777" w:rsidR="00000000" w:rsidRDefault="00C01C43">
            <w:pPr>
              <w:jc w:val="right"/>
              <w:rPr>
                <w:rFonts w:eastAsia="Times New Roman"/>
              </w:rPr>
            </w:pPr>
            <w:r>
              <w:rPr>
                <w:rFonts w:ascii="Arial" w:eastAsia="Times New Roman" w:hAnsi="Arial" w:cs="Arial"/>
                <w:color w:val="000000"/>
                <w:sz w:val="20"/>
                <w:szCs w:val="20"/>
              </w:rPr>
              <w:t>20.7 </w:t>
            </w:r>
          </w:p>
        </w:tc>
        <w:tc>
          <w:tcPr>
            <w:tcW w:w="0" w:type="auto"/>
            <w:shd w:val="clear" w:color="auto" w:fill="CCEEFF"/>
            <w:tcMar>
              <w:top w:w="30" w:type="dxa"/>
              <w:left w:w="0" w:type="dxa"/>
              <w:bottom w:w="30" w:type="dxa"/>
              <w:right w:w="20" w:type="dxa"/>
            </w:tcMar>
            <w:vAlign w:val="bottom"/>
            <w:hideMark/>
          </w:tcPr>
          <w:p w14:paraId="2F8433E3" w14:textId="77777777" w:rsidR="00000000" w:rsidRDefault="00C01C43">
            <w:pPr>
              <w:jc w:val="right"/>
              <w:rPr>
                <w:rFonts w:eastAsia="Times New Roman"/>
              </w:rPr>
            </w:pPr>
          </w:p>
        </w:tc>
      </w:tr>
      <w:tr w:rsidR="00000000" w14:paraId="5951F0F1" w14:textId="77777777">
        <w:trPr>
          <w:divId w:val="2131392501"/>
          <w:trHeight w:val="28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463E011" w14:textId="77777777" w:rsidR="00000000" w:rsidRDefault="00C01C43">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697E63B"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C686183"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B71D6FF" w14:textId="77777777" w:rsidR="00000000" w:rsidRDefault="00C01C43">
            <w:pPr>
              <w:rPr>
                <w:rFonts w:eastAsia="Times New Roman"/>
                <w:sz w:val="20"/>
                <w:szCs w:val="20"/>
              </w:rPr>
            </w:pPr>
          </w:p>
        </w:tc>
      </w:tr>
      <w:tr w:rsidR="00000000" w14:paraId="11E98C67" w14:textId="77777777">
        <w:trPr>
          <w:divId w:val="2131392501"/>
        </w:trPr>
        <w:tc>
          <w:tcPr>
            <w:tcW w:w="0" w:type="auto"/>
            <w:gridSpan w:val="3"/>
            <w:tcBorders>
              <w:top w:val="double" w:sz="6" w:space="0" w:color="000000"/>
              <w:bottom w:val="double" w:sz="6" w:space="0" w:color="000000"/>
            </w:tcBorders>
            <w:shd w:val="clear" w:color="auto" w:fill="CCEEFF"/>
            <w:tcMar>
              <w:top w:w="30" w:type="dxa"/>
              <w:left w:w="20" w:type="dxa"/>
              <w:bottom w:w="30" w:type="dxa"/>
              <w:right w:w="20" w:type="dxa"/>
            </w:tcMar>
            <w:vAlign w:val="bottom"/>
            <w:hideMark/>
          </w:tcPr>
          <w:p w14:paraId="37953494" w14:textId="77777777" w:rsidR="00000000" w:rsidRDefault="00C01C43">
            <w:pPr>
              <w:rPr>
                <w:rFonts w:eastAsia="Times New Roman"/>
              </w:rPr>
            </w:pPr>
            <w:r>
              <w:rPr>
                <w:rFonts w:ascii="Arial" w:eastAsia="Times New Roman" w:hAnsi="Arial" w:cs="Arial"/>
                <w:color w:val="000000"/>
                <w:sz w:val="20"/>
                <w:szCs w:val="20"/>
              </w:rPr>
              <w:t>Non-current income tax liabilities, net of deferred tax liabilities, non-current</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20EE23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00A1B26" w14:textId="77777777" w:rsidR="00000000" w:rsidRDefault="00C01C43">
            <w:pPr>
              <w:jc w:val="right"/>
              <w:rPr>
                <w:rFonts w:eastAsia="Times New Roman"/>
              </w:rPr>
            </w:pPr>
            <w:r>
              <w:rPr>
                <w:rFonts w:ascii="Arial" w:eastAsia="Times New Roman" w:hAnsi="Arial" w:cs="Arial"/>
                <w:color w:val="000000"/>
                <w:sz w:val="20"/>
                <w:szCs w:val="20"/>
              </w:rPr>
              <w:t>53.6 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5EC04450" w14:textId="77777777" w:rsidR="00000000" w:rsidRDefault="00C01C43">
            <w:pPr>
              <w:jc w:val="right"/>
              <w:rPr>
                <w:rFonts w:eastAsia="Times New Roman"/>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vAlign w:val="center"/>
            <w:hideMark/>
          </w:tcPr>
          <w:p w14:paraId="1109A428" w14:textId="77777777" w:rsidR="00000000" w:rsidRDefault="00C01C43">
            <w:pPr>
              <w:jc w:val="right"/>
              <w:rPr>
                <w:rFonts w:eastAsia="Times New Roman"/>
                <w:sz w:val="20"/>
                <w:szCs w:val="20"/>
              </w:rPr>
            </w:pPr>
          </w:p>
        </w:tc>
        <w:tc>
          <w:tcPr>
            <w:tcW w:w="0" w:type="auto"/>
            <w:gridSpan w:val="3"/>
            <w:tcBorders>
              <w:top w:val="double" w:sz="6" w:space="0" w:color="000000"/>
              <w:bottom w:val="double" w:sz="6" w:space="0" w:color="000000"/>
            </w:tcBorders>
            <w:shd w:val="clear" w:color="auto" w:fill="CCEEFF"/>
            <w:tcMar>
              <w:top w:w="30" w:type="dxa"/>
              <w:left w:w="20" w:type="dxa"/>
              <w:bottom w:w="30" w:type="dxa"/>
              <w:right w:w="20" w:type="dxa"/>
            </w:tcMar>
            <w:vAlign w:val="bottom"/>
            <w:hideMark/>
          </w:tcPr>
          <w:p w14:paraId="39EB4602" w14:textId="77777777" w:rsidR="00000000" w:rsidRDefault="00C01C43">
            <w:pPr>
              <w:jc w:val="right"/>
              <w:rPr>
                <w:rFonts w:eastAsia="Times New Roman"/>
              </w:rPr>
            </w:pPr>
            <w:r>
              <w:rPr>
                <w:rFonts w:ascii="Arial" w:eastAsia="Times New Roman" w:hAnsi="Arial" w:cs="Arial"/>
                <w:color w:val="000000"/>
                <w:sz w:val="20"/>
                <w:szCs w:val="20"/>
              </w:rPr>
              <w:t>54.1</w:t>
            </w:r>
          </w:p>
        </w:tc>
      </w:tr>
    </w:tbl>
    <w:p w14:paraId="47BBFE72" w14:textId="77777777" w:rsidR="00000000" w:rsidRDefault="00C01C43">
      <w:pPr>
        <w:jc w:val="center"/>
        <w:divId w:val="332148107"/>
        <w:rPr>
          <w:rFonts w:eastAsia="Times New Roman"/>
        </w:rPr>
      </w:pPr>
      <w:r>
        <w:rPr>
          <w:rFonts w:ascii="Arial" w:eastAsia="Times New Roman" w:hAnsi="Arial" w:cs="Arial"/>
          <w:color w:val="000000"/>
          <w:sz w:val="16"/>
          <w:szCs w:val="16"/>
        </w:rPr>
        <w:t>80</w:t>
      </w:r>
    </w:p>
    <w:p w14:paraId="121D29A4" w14:textId="77777777" w:rsidR="00000000" w:rsidRDefault="00C01C43">
      <w:pPr>
        <w:rPr>
          <w:rFonts w:eastAsia="Times New Roman"/>
        </w:rPr>
      </w:pPr>
      <w:r>
        <w:rPr>
          <w:rFonts w:eastAsia="Times New Roman"/>
        </w:rPr>
        <w:pict w14:anchorId="59B0DDE8">
          <v:rect id="_x0000_i1109" style="width:0;height:1.5pt" o:hralign="center" o:hrstd="t" o:hr="t" fillcolor="#a0a0a0" stroked="f"/>
        </w:pict>
      </w:r>
    </w:p>
    <w:p w14:paraId="03D34456" w14:textId="77777777" w:rsidR="00000000" w:rsidRDefault="00C01C43">
      <w:pPr>
        <w:divId w:val="1511799409"/>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5AF13CDB" w14:textId="77777777" w:rsidR="00000000" w:rsidRDefault="00C01C43">
      <w:pPr>
        <w:jc w:val="both"/>
        <w:divId w:val="993949478"/>
        <w:rPr>
          <w:rFonts w:eastAsia="Times New Roman"/>
        </w:rPr>
      </w:pPr>
      <w:r>
        <w:rPr>
          <w:rFonts w:ascii="Arial" w:eastAsia="Times New Roman" w:hAnsi="Arial" w:cs="Arial"/>
          <w:color w:val="000000"/>
          <w:sz w:val="20"/>
          <w:szCs w:val="20"/>
        </w:rPr>
        <w:t>As of December 31, 2020 and 2019, we had gross net operating losses (“NOLs”) of approximately $418.2 million and $375.9 million, respectively. T</w:t>
      </w:r>
      <w:r>
        <w:rPr>
          <w:rFonts w:ascii="Arial" w:eastAsia="Times New Roman" w:hAnsi="Arial" w:cs="Arial"/>
          <w:color w:val="000000"/>
          <w:sz w:val="20"/>
          <w:szCs w:val="20"/>
        </w:rPr>
        <w:t>he NOLs as of December 31, 2020, originated in various U.S. states and non-U.S. countries. We have recorded a deferred tax asset of $57.4 million reflecting the benefit of the NOL carryforward as of December 31, 2020. This deferred tax asset expires as fol</w:t>
      </w:r>
      <w:r>
        <w:rPr>
          <w:rFonts w:ascii="Arial" w:eastAsia="Times New Roman" w:hAnsi="Arial" w:cs="Arial"/>
          <w:color w:val="000000"/>
          <w:sz w:val="20"/>
          <w:szCs w:val="20"/>
        </w:rPr>
        <w:t>lows (in millions):</w:t>
      </w:r>
    </w:p>
    <w:tbl>
      <w:tblPr>
        <w:tblW w:w="4992" w:type="pct"/>
        <w:tblCellMar>
          <w:top w:w="15" w:type="dxa"/>
          <w:left w:w="15" w:type="dxa"/>
          <w:bottom w:w="15" w:type="dxa"/>
          <w:right w:w="15" w:type="dxa"/>
        </w:tblCellMar>
        <w:tblLook w:val="04A0" w:firstRow="1" w:lastRow="0" w:firstColumn="1" w:lastColumn="0" w:noHBand="0" w:noVBand="1"/>
      </w:tblPr>
      <w:tblGrid>
        <w:gridCol w:w="56"/>
        <w:gridCol w:w="2068"/>
        <w:gridCol w:w="36"/>
        <w:gridCol w:w="56"/>
        <w:gridCol w:w="4631"/>
        <w:gridCol w:w="36"/>
        <w:gridCol w:w="133"/>
        <w:gridCol w:w="1241"/>
        <w:gridCol w:w="36"/>
      </w:tblGrid>
      <w:tr w:rsidR="00000000" w14:paraId="5C116C63" w14:textId="77777777">
        <w:trPr>
          <w:divId w:val="1852572546"/>
        </w:trPr>
        <w:tc>
          <w:tcPr>
            <w:tcW w:w="50" w:type="pct"/>
            <w:vAlign w:val="center"/>
            <w:hideMark/>
          </w:tcPr>
          <w:p w14:paraId="73B87E70" w14:textId="77777777" w:rsidR="00000000" w:rsidRDefault="00C01C43">
            <w:pPr>
              <w:jc w:val="both"/>
              <w:rPr>
                <w:rFonts w:eastAsia="Times New Roman"/>
              </w:rPr>
            </w:pPr>
          </w:p>
        </w:tc>
        <w:tc>
          <w:tcPr>
            <w:tcW w:w="1262" w:type="pct"/>
            <w:vAlign w:val="center"/>
            <w:hideMark/>
          </w:tcPr>
          <w:p w14:paraId="07D78993" w14:textId="77777777" w:rsidR="00000000" w:rsidRDefault="00C01C43">
            <w:pPr>
              <w:rPr>
                <w:rFonts w:eastAsia="Times New Roman"/>
                <w:sz w:val="20"/>
                <w:szCs w:val="20"/>
              </w:rPr>
            </w:pPr>
          </w:p>
        </w:tc>
        <w:tc>
          <w:tcPr>
            <w:tcW w:w="5" w:type="pct"/>
            <w:vAlign w:val="center"/>
            <w:hideMark/>
          </w:tcPr>
          <w:p w14:paraId="72C57BAE" w14:textId="77777777" w:rsidR="00000000" w:rsidRDefault="00C01C43">
            <w:pPr>
              <w:rPr>
                <w:rFonts w:eastAsia="Times New Roman"/>
                <w:sz w:val="20"/>
                <w:szCs w:val="20"/>
              </w:rPr>
            </w:pPr>
          </w:p>
        </w:tc>
        <w:tc>
          <w:tcPr>
            <w:tcW w:w="50" w:type="pct"/>
            <w:vAlign w:val="center"/>
            <w:hideMark/>
          </w:tcPr>
          <w:p w14:paraId="1D26B3A8" w14:textId="77777777" w:rsidR="00000000" w:rsidRDefault="00C01C43">
            <w:pPr>
              <w:rPr>
                <w:rFonts w:eastAsia="Times New Roman"/>
                <w:sz w:val="20"/>
                <w:szCs w:val="20"/>
              </w:rPr>
            </w:pPr>
          </w:p>
        </w:tc>
        <w:tc>
          <w:tcPr>
            <w:tcW w:w="2807" w:type="pct"/>
            <w:vAlign w:val="center"/>
            <w:hideMark/>
          </w:tcPr>
          <w:p w14:paraId="70C6E7CE" w14:textId="77777777" w:rsidR="00000000" w:rsidRDefault="00C01C43">
            <w:pPr>
              <w:rPr>
                <w:rFonts w:eastAsia="Times New Roman"/>
                <w:sz w:val="20"/>
                <w:szCs w:val="20"/>
              </w:rPr>
            </w:pPr>
          </w:p>
        </w:tc>
        <w:tc>
          <w:tcPr>
            <w:tcW w:w="5" w:type="pct"/>
            <w:vAlign w:val="center"/>
            <w:hideMark/>
          </w:tcPr>
          <w:p w14:paraId="19B7B762" w14:textId="77777777" w:rsidR="00000000" w:rsidRDefault="00C01C43">
            <w:pPr>
              <w:rPr>
                <w:rFonts w:eastAsia="Times New Roman"/>
                <w:sz w:val="20"/>
                <w:szCs w:val="20"/>
              </w:rPr>
            </w:pPr>
          </w:p>
        </w:tc>
        <w:tc>
          <w:tcPr>
            <w:tcW w:w="50" w:type="pct"/>
            <w:vAlign w:val="center"/>
            <w:hideMark/>
          </w:tcPr>
          <w:p w14:paraId="3802F3A8" w14:textId="77777777" w:rsidR="00000000" w:rsidRDefault="00C01C43">
            <w:pPr>
              <w:rPr>
                <w:rFonts w:eastAsia="Times New Roman"/>
                <w:sz w:val="20"/>
                <w:szCs w:val="20"/>
              </w:rPr>
            </w:pPr>
          </w:p>
        </w:tc>
        <w:tc>
          <w:tcPr>
            <w:tcW w:w="764" w:type="pct"/>
            <w:vAlign w:val="center"/>
            <w:hideMark/>
          </w:tcPr>
          <w:p w14:paraId="644A51B1" w14:textId="77777777" w:rsidR="00000000" w:rsidRDefault="00C01C43">
            <w:pPr>
              <w:rPr>
                <w:rFonts w:eastAsia="Times New Roman"/>
                <w:sz w:val="20"/>
                <w:szCs w:val="20"/>
              </w:rPr>
            </w:pPr>
          </w:p>
        </w:tc>
        <w:tc>
          <w:tcPr>
            <w:tcW w:w="5" w:type="pct"/>
            <w:vAlign w:val="center"/>
            <w:hideMark/>
          </w:tcPr>
          <w:p w14:paraId="122CCF17" w14:textId="77777777" w:rsidR="00000000" w:rsidRDefault="00C01C43">
            <w:pPr>
              <w:rPr>
                <w:rFonts w:eastAsia="Times New Roman"/>
                <w:sz w:val="20"/>
                <w:szCs w:val="20"/>
              </w:rPr>
            </w:pPr>
          </w:p>
        </w:tc>
      </w:tr>
      <w:tr w:rsidR="00000000" w14:paraId="04571AE7" w14:textId="77777777">
        <w:trPr>
          <w:divId w:val="1852572546"/>
        </w:trPr>
        <w:tc>
          <w:tcPr>
            <w:tcW w:w="0" w:type="auto"/>
            <w:gridSpan w:val="3"/>
            <w:tcMar>
              <w:top w:w="30" w:type="dxa"/>
              <w:left w:w="20" w:type="dxa"/>
              <w:bottom w:w="30" w:type="dxa"/>
              <w:right w:w="20" w:type="dxa"/>
            </w:tcMar>
            <w:vAlign w:val="bottom"/>
            <w:hideMark/>
          </w:tcPr>
          <w:p w14:paraId="2377F34C" w14:textId="77777777" w:rsidR="00000000" w:rsidRDefault="00C01C43">
            <w:pPr>
              <w:rPr>
                <w:rFonts w:eastAsia="Times New Roman"/>
              </w:rPr>
            </w:pPr>
            <w:r>
              <w:rPr>
                <w:rFonts w:ascii="Arial" w:eastAsia="Times New Roman" w:hAnsi="Arial" w:cs="Arial"/>
                <w:b/>
                <w:bCs/>
                <w:color w:val="000000"/>
                <w:sz w:val="16"/>
                <w:szCs w:val="16"/>
              </w:rPr>
              <w:t>Net Operating Loss</w:t>
            </w:r>
          </w:p>
        </w:tc>
        <w:tc>
          <w:tcPr>
            <w:tcW w:w="0" w:type="auto"/>
            <w:gridSpan w:val="3"/>
            <w:tcMar>
              <w:top w:w="30" w:type="dxa"/>
              <w:left w:w="20" w:type="dxa"/>
              <w:bottom w:w="30" w:type="dxa"/>
              <w:right w:w="20" w:type="dxa"/>
            </w:tcMar>
            <w:vAlign w:val="bottom"/>
            <w:hideMark/>
          </w:tcPr>
          <w:p w14:paraId="4BBD8293" w14:textId="77777777" w:rsidR="00000000" w:rsidRDefault="00C01C43">
            <w:pPr>
              <w:jc w:val="center"/>
              <w:rPr>
                <w:rFonts w:eastAsia="Times New Roman"/>
              </w:rPr>
            </w:pPr>
            <w:r>
              <w:rPr>
                <w:rFonts w:ascii="Arial" w:eastAsia="Times New Roman" w:hAnsi="Arial" w:cs="Arial"/>
                <w:b/>
                <w:bCs/>
                <w:color w:val="000000"/>
                <w:sz w:val="16"/>
                <w:szCs w:val="16"/>
              </w:rPr>
              <w:t>Expiration Date</w:t>
            </w:r>
          </w:p>
        </w:tc>
        <w:tc>
          <w:tcPr>
            <w:tcW w:w="0" w:type="auto"/>
            <w:gridSpan w:val="3"/>
            <w:tcMar>
              <w:top w:w="30" w:type="dxa"/>
              <w:left w:w="20" w:type="dxa"/>
              <w:bottom w:w="30" w:type="dxa"/>
              <w:right w:w="20" w:type="dxa"/>
            </w:tcMar>
            <w:vAlign w:val="bottom"/>
            <w:hideMark/>
          </w:tcPr>
          <w:p w14:paraId="404724AF" w14:textId="77777777" w:rsidR="00000000" w:rsidRDefault="00C01C43">
            <w:pPr>
              <w:jc w:val="center"/>
              <w:rPr>
                <w:rFonts w:eastAsia="Times New Roman"/>
              </w:rPr>
            </w:pPr>
            <w:r>
              <w:rPr>
                <w:rFonts w:ascii="Arial" w:eastAsia="Times New Roman" w:hAnsi="Arial" w:cs="Arial"/>
                <w:b/>
                <w:bCs/>
                <w:color w:val="000000"/>
                <w:sz w:val="16"/>
                <w:szCs w:val="16"/>
              </w:rPr>
              <w:t>Deferred Tax Asset</w:t>
            </w:r>
          </w:p>
        </w:tc>
      </w:tr>
      <w:tr w:rsidR="00000000" w14:paraId="0FE4A7E2" w14:textId="77777777">
        <w:trPr>
          <w:divId w:val="185257254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AFD4C8" w14:textId="77777777" w:rsidR="00000000" w:rsidRDefault="00C01C43">
            <w:pPr>
              <w:rPr>
                <w:rFonts w:eastAsia="Times New Roman"/>
              </w:rPr>
            </w:pPr>
            <w:r>
              <w:rPr>
                <w:rFonts w:ascii="Arial" w:eastAsia="Times New Roman" w:hAnsi="Arial" w:cs="Arial"/>
                <w:color w:val="000000"/>
                <w:sz w:val="20"/>
                <w:szCs w:val="20"/>
              </w:rPr>
              <w:t>US States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082AD5D" w14:textId="77777777" w:rsidR="00000000" w:rsidRDefault="00C01C43">
            <w:pPr>
              <w:rPr>
                <w:rFonts w:eastAsia="Times New Roman"/>
              </w:rPr>
            </w:pPr>
            <w:r>
              <w:rPr>
                <w:rFonts w:ascii="Arial" w:eastAsia="Times New Roman" w:hAnsi="Arial" w:cs="Arial"/>
                <w:color w:val="000000"/>
                <w:sz w:val="20"/>
                <w:szCs w:val="20"/>
              </w:rPr>
              <w:t>2021-2040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417EC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AAA39C" w14:textId="77777777" w:rsidR="00000000" w:rsidRDefault="00C01C43">
            <w:pPr>
              <w:jc w:val="right"/>
              <w:rPr>
                <w:rFonts w:eastAsia="Times New Roman"/>
              </w:rPr>
            </w:pPr>
            <w:r>
              <w:rPr>
                <w:rFonts w:ascii="Arial" w:eastAsia="Times New Roman" w:hAnsi="Arial" w:cs="Arial"/>
                <w:color w:val="000000"/>
                <w:sz w:val="20"/>
                <w:szCs w:val="20"/>
              </w:rPr>
              <w:t>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53A4C3" w14:textId="77777777" w:rsidR="00000000" w:rsidRDefault="00C01C43">
            <w:pPr>
              <w:jc w:val="right"/>
              <w:rPr>
                <w:rFonts w:eastAsia="Times New Roman"/>
              </w:rPr>
            </w:pPr>
          </w:p>
        </w:tc>
      </w:tr>
      <w:tr w:rsidR="00000000" w14:paraId="7246B1DB" w14:textId="77777777">
        <w:trPr>
          <w:divId w:val="1852572546"/>
        </w:trPr>
        <w:tc>
          <w:tcPr>
            <w:tcW w:w="0" w:type="auto"/>
            <w:gridSpan w:val="3"/>
            <w:shd w:val="clear" w:color="auto" w:fill="FFFFFF"/>
            <w:tcMar>
              <w:top w:w="30" w:type="dxa"/>
              <w:left w:w="20" w:type="dxa"/>
              <w:bottom w:w="30" w:type="dxa"/>
              <w:right w:w="20" w:type="dxa"/>
            </w:tcMar>
            <w:vAlign w:val="bottom"/>
            <w:hideMark/>
          </w:tcPr>
          <w:p w14:paraId="520930D0" w14:textId="77777777" w:rsidR="00000000" w:rsidRDefault="00C01C43">
            <w:pPr>
              <w:rPr>
                <w:rFonts w:eastAsia="Times New Roman"/>
              </w:rPr>
            </w:pPr>
            <w:r>
              <w:rPr>
                <w:rFonts w:ascii="Arial" w:eastAsia="Times New Roman" w:hAnsi="Arial" w:cs="Arial"/>
                <w:color w:val="000000"/>
                <w:sz w:val="20"/>
                <w:szCs w:val="20"/>
              </w:rPr>
              <w:t>US States</w:t>
            </w:r>
          </w:p>
        </w:tc>
        <w:tc>
          <w:tcPr>
            <w:tcW w:w="0" w:type="auto"/>
            <w:gridSpan w:val="3"/>
            <w:shd w:val="clear" w:color="auto" w:fill="FFFFFF"/>
            <w:tcMar>
              <w:top w:w="30" w:type="dxa"/>
              <w:left w:w="20" w:type="dxa"/>
              <w:bottom w:w="30" w:type="dxa"/>
              <w:right w:w="20" w:type="dxa"/>
            </w:tcMar>
            <w:vAlign w:val="bottom"/>
            <w:hideMark/>
          </w:tcPr>
          <w:p w14:paraId="45A27FBE" w14:textId="77777777" w:rsidR="00000000" w:rsidRDefault="00C01C43">
            <w:pPr>
              <w:rPr>
                <w:rFonts w:eastAsia="Times New Roman"/>
              </w:rPr>
            </w:pPr>
            <w:r>
              <w:rPr>
                <w:rFonts w:ascii="Arial" w:eastAsia="Times New Roman" w:hAnsi="Arial" w:cs="Arial"/>
                <w:color w:val="000000"/>
                <w:sz w:val="20"/>
                <w:szCs w:val="20"/>
              </w:rPr>
              <w:t>Indefinite</w:t>
            </w:r>
          </w:p>
        </w:tc>
        <w:tc>
          <w:tcPr>
            <w:tcW w:w="0" w:type="auto"/>
            <w:shd w:val="clear" w:color="auto" w:fill="FFFFFF"/>
            <w:tcMar>
              <w:top w:w="30" w:type="dxa"/>
              <w:left w:w="20" w:type="dxa"/>
              <w:bottom w:w="30" w:type="dxa"/>
              <w:right w:w="0" w:type="dxa"/>
            </w:tcMar>
            <w:vAlign w:val="bottom"/>
            <w:hideMark/>
          </w:tcPr>
          <w:p w14:paraId="060B703F"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FDDDAA7" w14:textId="77777777" w:rsidR="00000000" w:rsidRDefault="00C01C43">
            <w:pPr>
              <w:jc w:val="right"/>
              <w:rPr>
                <w:rFonts w:eastAsia="Times New Roman"/>
              </w:rPr>
            </w:pPr>
            <w:r>
              <w:rPr>
                <w:rFonts w:ascii="Arial" w:eastAsia="Times New Roman" w:hAnsi="Arial" w:cs="Arial"/>
                <w:color w:val="000000"/>
                <w:sz w:val="20"/>
                <w:szCs w:val="20"/>
              </w:rPr>
              <w:t>2.8 </w:t>
            </w:r>
          </w:p>
        </w:tc>
        <w:tc>
          <w:tcPr>
            <w:tcW w:w="0" w:type="auto"/>
            <w:shd w:val="clear" w:color="auto" w:fill="FFFFFF"/>
            <w:tcMar>
              <w:top w:w="30" w:type="dxa"/>
              <w:left w:w="0" w:type="dxa"/>
              <w:bottom w:w="30" w:type="dxa"/>
              <w:right w:w="20" w:type="dxa"/>
            </w:tcMar>
            <w:vAlign w:val="bottom"/>
            <w:hideMark/>
          </w:tcPr>
          <w:p w14:paraId="7D1A3A97" w14:textId="77777777" w:rsidR="00000000" w:rsidRDefault="00C01C43">
            <w:pPr>
              <w:jc w:val="right"/>
              <w:rPr>
                <w:rFonts w:eastAsia="Times New Roman"/>
              </w:rPr>
            </w:pPr>
          </w:p>
        </w:tc>
      </w:tr>
      <w:tr w:rsidR="00000000" w14:paraId="5EBCCC83" w14:textId="77777777">
        <w:trPr>
          <w:divId w:val="1852572546"/>
        </w:trPr>
        <w:tc>
          <w:tcPr>
            <w:tcW w:w="0" w:type="auto"/>
            <w:gridSpan w:val="3"/>
            <w:shd w:val="clear" w:color="auto" w:fill="CCEEFF"/>
            <w:tcMar>
              <w:top w:w="30" w:type="dxa"/>
              <w:left w:w="20" w:type="dxa"/>
              <w:bottom w:w="30" w:type="dxa"/>
              <w:right w:w="20" w:type="dxa"/>
            </w:tcMar>
            <w:vAlign w:val="bottom"/>
            <w:hideMark/>
          </w:tcPr>
          <w:p w14:paraId="1D221A45" w14:textId="77777777" w:rsidR="00000000" w:rsidRDefault="00C01C43">
            <w:pPr>
              <w:rPr>
                <w:rFonts w:eastAsia="Times New Roman"/>
              </w:rPr>
            </w:pPr>
            <w:r>
              <w:rPr>
                <w:rFonts w:ascii="Arial" w:eastAsia="Times New Roman" w:hAnsi="Arial" w:cs="Arial"/>
                <w:color w:val="000000"/>
                <w:sz w:val="20"/>
                <w:szCs w:val="20"/>
              </w:rPr>
              <w:t>Foreign</w:t>
            </w:r>
          </w:p>
        </w:tc>
        <w:tc>
          <w:tcPr>
            <w:tcW w:w="0" w:type="auto"/>
            <w:gridSpan w:val="3"/>
            <w:shd w:val="clear" w:color="auto" w:fill="CCEEFF"/>
            <w:tcMar>
              <w:top w:w="30" w:type="dxa"/>
              <w:left w:w="20" w:type="dxa"/>
              <w:bottom w:w="30" w:type="dxa"/>
              <w:right w:w="20" w:type="dxa"/>
            </w:tcMar>
            <w:vAlign w:val="bottom"/>
            <w:hideMark/>
          </w:tcPr>
          <w:p w14:paraId="40567859" w14:textId="77777777" w:rsidR="00000000" w:rsidRDefault="00C01C43">
            <w:pPr>
              <w:rPr>
                <w:rFonts w:eastAsia="Times New Roman"/>
              </w:rPr>
            </w:pPr>
            <w:r>
              <w:rPr>
                <w:rFonts w:ascii="Arial" w:eastAsia="Times New Roman" w:hAnsi="Arial" w:cs="Arial"/>
                <w:color w:val="000000"/>
                <w:sz w:val="20"/>
                <w:szCs w:val="20"/>
              </w:rPr>
              <w:t>2022-2040</w:t>
            </w:r>
          </w:p>
        </w:tc>
        <w:tc>
          <w:tcPr>
            <w:tcW w:w="0" w:type="auto"/>
            <w:shd w:val="clear" w:color="auto" w:fill="CCEEFF"/>
            <w:tcMar>
              <w:top w:w="30" w:type="dxa"/>
              <w:left w:w="20" w:type="dxa"/>
              <w:bottom w:w="30" w:type="dxa"/>
              <w:right w:w="0" w:type="dxa"/>
            </w:tcMar>
            <w:vAlign w:val="bottom"/>
            <w:hideMark/>
          </w:tcPr>
          <w:p w14:paraId="5053B969"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6FCCB22" w14:textId="77777777" w:rsidR="00000000" w:rsidRDefault="00C01C43">
            <w:pPr>
              <w:jc w:val="right"/>
              <w:rPr>
                <w:rFonts w:eastAsia="Times New Roman"/>
              </w:rPr>
            </w:pPr>
            <w:r>
              <w:rPr>
                <w:rFonts w:ascii="Arial" w:eastAsia="Times New Roman" w:hAnsi="Arial" w:cs="Arial"/>
                <w:color w:val="000000"/>
                <w:sz w:val="20"/>
                <w:szCs w:val="20"/>
              </w:rPr>
              <w:t>4.9 </w:t>
            </w:r>
          </w:p>
        </w:tc>
        <w:tc>
          <w:tcPr>
            <w:tcW w:w="0" w:type="auto"/>
            <w:shd w:val="clear" w:color="auto" w:fill="CCEEFF"/>
            <w:tcMar>
              <w:top w:w="30" w:type="dxa"/>
              <w:left w:w="0" w:type="dxa"/>
              <w:bottom w:w="30" w:type="dxa"/>
              <w:right w:w="20" w:type="dxa"/>
            </w:tcMar>
            <w:vAlign w:val="bottom"/>
            <w:hideMark/>
          </w:tcPr>
          <w:p w14:paraId="1B09B6F6" w14:textId="77777777" w:rsidR="00000000" w:rsidRDefault="00C01C43">
            <w:pPr>
              <w:jc w:val="right"/>
              <w:rPr>
                <w:rFonts w:eastAsia="Times New Roman"/>
              </w:rPr>
            </w:pPr>
          </w:p>
        </w:tc>
      </w:tr>
      <w:tr w:rsidR="00000000" w14:paraId="14A3B861" w14:textId="77777777">
        <w:trPr>
          <w:divId w:val="1852572546"/>
        </w:trPr>
        <w:tc>
          <w:tcPr>
            <w:tcW w:w="0" w:type="auto"/>
            <w:gridSpan w:val="3"/>
            <w:shd w:val="clear" w:color="auto" w:fill="FFFFFF"/>
            <w:tcMar>
              <w:top w:w="30" w:type="dxa"/>
              <w:left w:w="20" w:type="dxa"/>
              <w:bottom w:w="30" w:type="dxa"/>
              <w:right w:w="20" w:type="dxa"/>
            </w:tcMar>
            <w:vAlign w:val="bottom"/>
            <w:hideMark/>
          </w:tcPr>
          <w:p w14:paraId="0BFEB2EE" w14:textId="77777777" w:rsidR="00000000" w:rsidRDefault="00C01C43">
            <w:pPr>
              <w:rPr>
                <w:rFonts w:eastAsia="Times New Roman"/>
              </w:rPr>
            </w:pPr>
            <w:r>
              <w:rPr>
                <w:rFonts w:ascii="Arial" w:eastAsia="Times New Roman" w:hAnsi="Arial" w:cs="Arial"/>
                <w:color w:val="000000"/>
                <w:sz w:val="20"/>
                <w:szCs w:val="20"/>
              </w:rPr>
              <w:t>Foreign</w:t>
            </w:r>
          </w:p>
        </w:tc>
        <w:tc>
          <w:tcPr>
            <w:tcW w:w="0" w:type="auto"/>
            <w:gridSpan w:val="3"/>
            <w:shd w:val="clear" w:color="auto" w:fill="FFFFFF"/>
            <w:tcMar>
              <w:top w:w="30" w:type="dxa"/>
              <w:left w:w="20" w:type="dxa"/>
              <w:bottom w:w="30" w:type="dxa"/>
              <w:right w:w="20" w:type="dxa"/>
            </w:tcMar>
            <w:vAlign w:val="bottom"/>
            <w:hideMark/>
          </w:tcPr>
          <w:p w14:paraId="4523192C" w14:textId="77777777" w:rsidR="00000000" w:rsidRDefault="00C01C43">
            <w:pPr>
              <w:rPr>
                <w:rFonts w:eastAsia="Times New Roman"/>
              </w:rPr>
            </w:pPr>
            <w:r>
              <w:rPr>
                <w:rFonts w:ascii="Arial" w:eastAsia="Times New Roman" w:hAnsi="Arial" w:cs="Arial"/>
                <w:color w:val="000000"/>
                <w:sz w:val="20"/>
                <w:szCs w:val="20"/>
              </w:rPr>
              <w:t>Indefinite</w:t>
            </w:r>
          </w:p>
        </w:tc>
        <w:tc>
          <w:tcPr>
            <w:tcW w:w="0" w:type="auto"/>
            <w:shd w:val="clear" w:color="auto" w:fill="FFFFFF"/>
            <w:tcMar>
              <w:top w:w="30" w:type="dxa"/>
              <w:left w:w="20" w:type="dxa"/>
              <w:bottom w:w="30" w:type="dxa"/>
              <w:right w:w="0" w:type="dxa"/>
            </w:tcMar>
            <w:vAlign w:val="bottom"/>
            <w:hideMark/>
          </w:tcPr>
          <w:p w14:paraId="6E89761D"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A851B2A" w14:textId="77777777" w:rsidR="00000000" w:rsidRDefault="00C01C43">
            <w:pPr>
              <w:jc w:val="right"/>
              <w:rPr>
                <w:rFonts w:eastAsia="Times New Roman"/>
              </w:rPr>
            </w:pPr>
            <w:r>
              <w:rPr>
                <w:rFonts w:ascii="Arial" w:eastAsia="Times New Roman" w:hAnsi="Arial" w:cs="Arial"/>
                <w:color w:val="000000"/>
                <w:sz w:val="20"/>
                <w:szCs w:val="20"/>
              </w:rPr>
              <w:t>41.5 </w:t>
            </w:r>
          </w:p>
        </w:tc>
        <w:tc>
          <w:tcPr>
            <w:tcW w:w="0" w:type="auto"/>
            <w:shd w:val="clear" w:color="auto" w:fill="FFFFFF"/>
            <w:tcMar>
              <w:top w:w="30" w:type="dxa"/>
              <w:left w:w="0" w:type="dxa"/>
              <w:bottom w:w="30" w:type="dxa"/>
              <w:right w:w="20" w:type="dxa"/>
            </w:tcMar>
            <w:vAlign w:val="bottom"/>
            <w:hideMark/>
          </w:tcPr>
          <w:p w14:paraId="4F6FF200" w14:textId="77777777" w:rsidR="00000000" w:rsidRDefault="00C01C43">
            <w:pPr>
              <w:jc w:val="right"/>
              <w:rPr>
                <w:rFonts w:eastAsia="Times New Roman"/>
              </w:rPr>
            </w:pPr>
          </w:p>
        </w:tc>
      </w:tr>
      <w:tr w:rsidR="00000000" w14:paraId="423C00AF" w14:textId="77777777">
        <w:trPr>
          <w:divId w:val="1852572546"/>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67E51490" w14:textId="77777777" w:rsidR="00000000" w:rsidRDefault="00C01C43">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5A52C269" w14:textId="77777777" w:rsidR="00000000" w:rsidRDefault="00C01C43">
            <w:pPr>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F917C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11FAC4" w14:textId="77777777" w:rsidR="00000000" w:rsidRDefault="00C01C43">
            <w:pPr>
              <w:jc w:val="right"/>
              <w:rPr>
                <w:rFonts w:eastAsia="Times New Roman"/>
              </w:rPr>
            </w:pPr>
            <w:r>
              <w:rPr>
                <w:rFonts w:ascii="Arial" w:eastAsia="Times New Roman" w:hAnsi="Arial" w:cs="Arial"/>
                <w:color w:val="000000"/>
                <w:sz w:val="20"/>
                <w:szCs w:val="20"/>
              </w:rPr>
              <w:t>57.4 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CE2A5D" w14:textId="77777777" w:rsidR="00000000" w:rsidRDefault="00C01C43">
            <w:pPr>
              <w:jc w:val="right"/>
              <w:rPr>
                <w:rFonts w:eastAsia="Times New Roman"/>
              </w:rPr>
            </w:pPr>
          </w:p>
        </w:tc>
      </w:tr>
    </w:tbl>
    <w:p w14:paraId="12F31DAE" w14:textId="77777777" w:rsidR="00000000" w:rsidRDefault="00C01C43">
      <w:pPr>
        <w:jc w:val="both"/>
        <w:rPr>
          <w:rFonts w:eastAsia="Times New Roman"/>
        </w:rPr>
      </w:pPr>
    </w:p>
    <w:p w14:paraId="13C66977" w14:textId="77777777" w:rsidR="00000000" w:rsidRDefault="00C01C43">
      <w:pPr>
        <w:jc w:val="both"/>
        <w:divId w:val="409623763"/>
        <w:rPr>
          <w:rFonts w:eastAsia="Times New Roman"/>
        </w:rPr>
      </w:pPr>
      <w:r>
        <w:rPr>
          <w:rFonts w:ascii="Arial" w:eastAsia="Times New Roman" w:hAnsi="Arial" w:cs="Arial"/>
          <w:color w:val="000000"/>
          <w:sz w:val="20"/>
          <w:szCs w:val="20"/>
        </w:rPr>
        <w:t>We assessed the available positive and negative evidence to estimate if sufficient future taxable income will be generated to use the existing deferred tax assets. On the basis of this evaluation, as of December 31, 2020, a valuation allowance of $48.0 mil</w:t>
      </w:r>
      <w:r>
        <w:rPr>
          <w:rFonts w:ascii="Arial" w:eastAsia="Times New Roman" w:hAnsi="Arial" w:cs="Arial"/>
          <w:color w:val="000000"/>
          <w:sz w:val="20"/>
          <w:szCs w:val="20"/>
        </w:rPr>
        <w:t>lion has been recorded to recognize only the portion of the deferred tax assets that are more likely than not to be realized, $42.2 million of which relates to the deferred tax asset for NOLs.  The amount of the deferred tax asset considered realizable cou</w:t>
      </w:r>
      <w:r>
        <w:rPr>
          <w:rFonts w:ascii="Arial" w:eastAsia="Times New Roman" w:hAnsi="Arial" w:cs="Arial"/>
          <w:color w:val="000000"/>
          <w:sz w:val="20"/>
          <w:szCs w:val="20"/>
        </w:rPr>
        <w:t>ld be adjusted if estimates of future taxable income during the carryforward period change or if objective negative evidence in the form of cumulative losses is no longer present and additional weight may be given to subjective evidence such as growth proj</w:t>
      </w:r>
      <w:r>
        <w:rPr>
          <w:rFonts w:ascii="Arial" w:eastAsia="Times New Roman" w:hAnsi="Arial" w:cs="Arial"/>
          <w:color w:val="000000"/>
          <w:sz w:val="20"/>
          <w:szCs w:val="20"/>
        </w:rPr>
        <w:t>ections.</w:t>
      </w:r>
    </w:p>
    <w:p w14:paraId="3DC8B81F" w14:textId="77777777" w:rsidR="00000000" w:rsidRDefault="00C01C43">
      <w:pPr>
        <w:jc w:val="both"/>
        <w:rPr>
          <w:rFonts w:eastAsia="Times New Roman"/>
        </w:rPr>
      </w:pPr>
      <w:r>
        <w:rPr>
          <w:rFonts w:ascii="Arial" w:eastAsia="Times New Roman" w:hAnsi="Arial" w:cs="Arial"/>
          <w:color w:val="000000"/>
          <w:sz w:val="20"/>
          <w:szCs w:val="20"/>
        </w:rPr>
        <w:t>We operate under a special income tax concession in Singapore which began January 1, 2008 and is subject to renewal. Our current five-year income tax concession period began on January 1, 2018 and is conditional upon our meeting certain employment</w:t>
      </w:r>
      <w:r>
        <w:rPr>
          <w:rFonts w:ascii="Arial" w:eastAsia="Times New Roman" w:hAnsi="Arial" w:cs="Arial"/>
          <w:color w:val="000000"/>
          <w:sz w:val="20"/>
          <w:szCs w:val="20"/>
        </w:rPr>
        <w:t xml:space="preserve"> and investment thresholds which, if not met in accordance with our agreement, may eliminate the benefit beginning with the first year in which the conditions are not satisfied. The income tax concession reduces the income tax rate on qualified sales and d</w:t>
      </w:r>
      <w:r>
        <w:rPr>
          <w:rFonts w:ascii="Arial" w:eastAsia="Times New Roman" w:hAnsi="Arial" w:cs="Arial"/>
          <w:color w:val="000000"/>
          <w:sz w:val="20"/>
          <w:szCs w:val="20"/>
        </w:rPr>
        <w:t>erivative gains and losses. The impact of this tax concession decreased foreign income taxes by $2.4 million, $4.3 million, and zero for 2020, 2019, and 2018 respectively. The impact of the income tax concession on basic earnings per common share was $0.04</w:t>
      </w:r>
      <w:r>
        <w:rPr>
          <w:rFonts w:ascii="Arial" w:eastAsia="Times New Roman" w:hAnsi="Arial" w:cs="Arial"/>
          <w:color w:val="000000"/>
          <w:sz w:val="20"/>
          <w:szCs w:val="20"/>
        </w:rPr>
        <w:t>, $0.07, and zero for 2020, 2019, and 2018 respectively. On a diluted earnings per common share basis, the impact was $0.04, $0.06, and zero for 2020, 2019, and 2018 respectively.</w:t>
      </w:r>
    </w:p>
    <w:p w14:paraId="584C5873" w14:textId="77777777" w:rsidR="00000000" w:rsidRDefault="00C01C43">
      <w:pPr>
        <w:jc w:val="both"/>
        <w:rPr>
          <w:rFonts w:eastAsia="Times New Roman"/>
        </w:rPr>
      </w:pPr>
    </w:p>
    <w:p w14:paraId="03EA0FCB" w14:textId="77777777" w:rsidR="00000000" w:rsidRDefault="00C01C43">
      <w:pPr>
        <w:jc w:val="both"/>
        <w:divId w:val="881747918"/>
        <w:rPr>
          <w:rFonts w:eastAsia="Times New Roman"/>
        </w:rPr>
      </w:pPr>
      <w:r>
        <w:rPr>
          <w:rFonts w:ascii="Arial" w:eastAsia="Times New Roman" w:hAnsi="Arial" w:cs="Arial"/>
          <w:b/>
          <w:bCs/>
          <w:color w:val="000000"/>
          <w:sz w:val="20"/>
          <w:szCs w:val="20"/>
        </w:rPr>
        <w:t>Income Tax Contingencies</w:t>
      </w:r>
    </w:p>
    <w:p w14:paraId="456C9452" w14:textId="77777777" w:rsidR="00000000" w:rsidRDefault="00C01C43">
      <w:pPr>
        <w:jc w:val="both"/>
        <w:divId w:val="2102098287"/>
        <w:rPr>
          <w:rFonts w:eastAsia="Times New Roman"/>
        </w:rPr>
      </w:pPr>
      <w:r>
        <w:rPr>
          <w:rFonts w:ascii="Arial" w:eastAsia="Times New Roman" w:hAnsi="Arial" w:cs="Arial"/>
          <w:color w:val="000000"/>
          <w:sz w:val="20"/>
          <w:szCs w:val="20"/>
        </w:rPr>
        <w:t>We recorded a net increase of $12.2 million of li</w:t>
      </w:r>
      <w:r>
        <w:rPr>
          <w:rFonts w:ascii="Arial" w:eastAsia="Times New Roman" w:hAnsi="Arial" w:cs="Arial"/>
          <w:color w:val="000000"/>
          <w:sz w:val="20"/>
          <w:szCs w:val="20"/>
        </w:rPr>
        <w:t>abilities related to Unrecognized Tax Liabilities and no change in assets related to Unrecognized Tax Assets during 2020. In addition, during 2020, we recorded an increase of $4.0 million to our Unrecognized Tax Liabilities related to a foreign currency tr</w:t>
      </w:r>
      <w:r>
        <w:rPr>
          <w:rFonts w:ascii="Arial" w:eastAsia="Times New Roman" w:hAnsi="Arial" w:cs="Arial"/>
          <w:color w:val="000000"/>
          <w:sz w:val="20"/>
          <w:szCs w:val="20"/>
        </w:rPr>
        <w:t>anslation loss, which is included in Other income (expense), net, in the accompanying Consolidated Statements of Income and Comprehensive Income. As of December 31, 2020, our Unrecognized Tax Liabilities, including penalties and interest, were $99.0 millio</w:t>
      </w:r>
      <w:r>
        <w:rPr>
          <w:rFonts w:ascii="Arial" w:eastAsia="Times New Roman" w:hAnsi="Arial" w:cs="Arial"/>
          <w:color w:val="000000"/>
          <w:sz w:val="20"/>
          <w:szCs w:val="20"/>
        </w:rPr>
        <w:t>n and our Unrecognized Tax Assets were $25.4 million.</w:t>
      </w:r>
    </w:p>
    <w:p w14:paraId="7182E2C1" w14:textId="77777777" w:rsidR="00000000" w:rsidRDefault="00C01C43">
      <w:pPr>
        <w:jc w:val="both"/>
        <w:divId w:val="1210923552"/>
        <w:rPr>
          <w:rFonts w:eastAsia="Times New Roman"/>
        </w:rPr>
      </w:pPr>
      <w:r>
        <w:rPr>
          <w:rFonts w:ascii="Arial" w:eastAsia="Times New Roman" w:hAnsi="Arial" w:cs="Arial"/>
          <w:color w:val="000000"/>
          <w:sz w:val="20"/>
          <w:szCs w:val="20"/>
        </w:rPr>
        <w:t>During 2019, we recorded a net increase of $9.5 million of liabilities related to Unrecognized Tax Liabilities and a net decrease of $4.1 million of assets related to Unrecognized Tax Assets. In additio</w:t>
      </w:r>
      <w:r>
        <w:rPr>
          <w:rFonts w:ascii="Arial" w:eastAsia="Times New Roman" w:hAnsi="Arial" w:cs="Arial"/>
          <w:color w:val="000000"/>
          <w:sz w:val="20"/>
          <w:szCs w:val="20"/>
        </w:rPr>
        <w:t>n, during 2019, we recorded an increase of $0.2 million to our Unrecognized Tax Liabilities related to a foreign currency translation loss, which is included in Other income (expense), net, in the accompanying Consolidated Statements of Income and Comprehe</w:t>
      </w:r>
      <w:r>
        <w:rPr>
          <w:rFonts w:ascii="Arial" w:eastAsia="Times New Roman" w:hAnsi="Arial" w:cs="Arial"/>
          <w:color w:val="000000"/>
          <w:sz w:val="20"/>
          <w:szCs w:val="20"/>
        </w:rPr>
        <w:t>nsive Income. As of December 31, 2019, our Unrecognized Tax Liabilities, including penalties and interest, were $84.0 million and our Unrecognized Tax Assets were $25.5 million.</w:t>
      </w:r>
    </w:p>
    <w:p w14:paraId="45420591" w14:textId="77777777" w:rsidR="00000000" w:rsidRDefault="00C01C43">
      <w:pPr>
        <w:jc w:val="center"/>
        <w:divId w:val="58021458"/>
        <w:rPr>
          <w:rFonts w:eastAsia="Times New Roman"/>
        </w:rPr>
      </w:pPr>
      <w:r>
        <w:rPr>
          <w:rFonts w:ascii="Arial" w:eastAsia="Times New Roman" w:hAnsi="Arial" w:cs="Arial"/>
          <w:color w:val="000000"/>
          <w:sz w:val="16"/>
          <w:szCs w:val="16"/>
        </w:rPr>
        <w:t>81</w:t>
      </w:r>
    </w:p>
    <w:p w14:paraId="10DC6478" w14:textId="77777777" w:rsidR="00000000" w:rsidRDefault="00C01C43">
      <w:pPr>
        <w:rPr>
          <w:rFonts w:eastAsia="Times New Roman"/>
        </w:rPr>
      </w:pPr>
      <w:r>
        <w:rPr>
          <w:rFonts w:eastAsia="Times New Roman"/>
        </w:rPr>
        <w:pict w14:anchorId="713DE804">
          <v:rect id="_x0000_i1110" style="width:0;height:1.5pt" o:hralign="center" o:hrstd="t" o:hr="t" fillcolor="#a0a0a0" stroked="f"/>
        </w:pict>
      </w:r>
    </w:p>
    <w:p w14:paraId="72070C6F" w14:textId="77777777" w:rsidR="00000000" w:rsidRDefault="00C01C43">
      <w:pPr>
        <w:divId w:val="462499685"/>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374EB0C" w14:textId="77777777" w:rsidR="00000000" w:rsidRDefault="00C01C43">
      <w:pPr>
        <w:jc w:val="both"/>
        <w:rPr>
          <w:rFonts w:eastAsia="Times New Roman"/>
        </w:rPr>
      </w:pPr>
      <w:r>
        <w:rPr>
          <w:rFonts w:ascii="Arial" w:eastAsia="Times New Roman" w:hAnsi="Arial" w:cs="Arial"/>
          <w:color w:val="000000"/>
          <w:sz w:val="20"/>
          <w:szCs w:val="20"/>
        </w:rPr>
        <w:t>The following is a tabular reconciliation of the total amounts of gross Unrecognized Tax Liabilities for the year (in millions):</w:t>
      </w:r>
    </w:p>
    <w:tbl>
      <w:tblPr>
        <w:tblW w:w="4978" w:type="pct"/>
        <w:tblCellMar>
          <w:top w:w="15" w:type="dxa"/>
          <w:left w:w="15" w:type="dxa"/>
          <w:bottom w:w="15" w:type="dxa"/>
          <w:right w:w="15" w:type="dxa"/>
        </w:tblCellMar>
        <w:tblLook w:val="04A0" w:firstRow="1" w:lastRow="0" w:firstColumn="1" w:lastColumn="0" w:noHBand="0" w:noVBand="1"/>
      </w:tblPr>
      <w:tblGrid>
        <w:gridCol w:w="37"/>
        <w:gridCol w:w="4610"/>
        <w:gridCol w:w="36"/>
        <w:gridCol w:w="132"/>
        <w:gridCol w:w="986"/>
        <w:gridCol w:w="36"/>
        <w:gridCol w:w="36"/>
        <w:gridCol w:w="36"/>
        <w:gridCol w:w="36"/>
        <w:gridCol w:w="132"/>
        <w:gridCol w:w="940"/>
        <w:gridCol w:w="36"/>
        <w:gridCol w:w="36"/>
        <w:gridCol w:w="36"/>
        <w:gridCol w:w="36"/>
        <w:gridCol w:w="132"/>
        <w:gridCol w:w="940"/>
        <w:gridCol w:w="36"/>
      </w:tblGrid>
      <w:tr w:rsidR="00000000" w14:paraId="5BC24594" w14:textId="77777777">
        <w:trPr>
          <w:divId w:val="1666130942"/>
        </w:trPr>
        <w:tc>
          <w:tcPr>
            <w:tcW w:w="50" w:type="pct"/>
            <w:vAlign w:val="center"/>
            <w:hideMark/>
          </w:tcPr>
          <w:p w14:paraId="0769F46B" w14:textId="77777777" w:rsidR="00000000" w:rsidRDefault="00C01C43">
            <w:pPr>
              <w:jc w:val="both"/>
              <w:rPr>
                <w:rFonts w:eastAsia="Times New Roman"/>
              </w:rPr>
            </w:pPr>
          </w:p>
        </w:tc>
        <w:tc>
          <w:tcPr>
            <w:tcW w:w="2823" w:type="pct"/>
            <w:vAlign w:val="center"/>
            <w:hideMark/>
          </w:tcPr>
          <w:p w14:paraId="06D2642C" w14:textId="77777777" w:rsidR="00000000" w:rsidRDefault="00C01C43">
            <w:pPr>
              <w:rPr>
                <w:rFonts w:eastAsia="Times New Roman"/>
                <w:sz w:val="20"/>
                <w:szCs w:val="20"/>
              </w:rPr>
            </w:pPr>
          </w:p>
        </w:tc>
        <w:tc>
          <w:tcPr>
            <w:tcW w:w="5" w:type="pct"/>
            <w:vAlign w:val="center"/>
            <w:hideMark/>
          </w:tcPr>
          <w:p w14:paraId="5059A168" w14:textId="77777777" w:rsidR="00000000" w:rsidRDefault="00C01C43">
            <w:pPr>
              <w:rPr>
                <w:rFonts w:eastAsia="Times New Roman"/>
                <w:sz w:val="20"/>
                <w:szCs w:val="20"/>
              </w:rPr>
            </w:pPr>
          </w:p>
        </w:tc>
        <w:tc>
          <w:tcPr>
            <w:tcW w:w="50" w:type="pct"/>
            <w:vAlign w:val="center"/>
            <w:hideMark/>
          </w:tcPr>
          <w:p w14:paraId="1992002E" w14:textId="77777777" w:rsidR="00000000" w:rsidRDefault="00C01C43">
            <w:pPr>
              <w:rPr>
                <w:rFonts w:eastAsia="Times New Roman"/>
                <w:sz w:val="20"/>
                <w:szCs w:val="20"/>
              </w:rPr>
            </w:pPr>
          </w:p>
        </w:tc>
        <w:tc>
          <w:tcPr>
            <w:tcW w:w="627" w:type="pct"/>
            <w:vAlign w:val="center"/>
            <w:hideMark/>
          </w:tcPr>
          <w:p w14:paraId="111D9FAF" w14:textId="77777777" w:rsidR="00000000" w:rsidRDefault="00C01C43">
            <w:pPr>
              <w:rPr>
                <w:rFonts w:eastAsia="Times New Roman"/>
                <w:sz w:val="20"/>
                <w:szCs w:val="20"/>
              </w:rPr>
            </w:pPr>
          </w:p>
        </w:tc>
        <w:tc>
          <w:tcPr>
            <w:tcW w:w="5" w:type="pct"/>
            <w:vAlign w:val="center"/>
            <w:hideMark/>
          </w:tcPr>
          <w:p w14:paraId="3883AE2D" w14:textId="77777777" w:rsidR="00000000" w:rsidRDefault="00C01C43">
            <w:pPr>
              <w:rPr>
                <w:rFonts w:eastAsia="Times New Roman"/>
                <w:sz w:val="20"/>
                <w:szCs w:val="20"/>
              </w:rPr>
            </w:pPr>
          </w:p>
        </w:tc>
        <w:tc>
          <w:tcPr>
            <w:tcW w:w="5" w:type="pct"/>
            <w:vAlign w:val="center"/>
            <w:hideMark/>
          </w:tcPr>
          <w:p w14:paraId="2EBDD7A1" w14:textId="77777777" w:rsidR="00000000" w:rsidRDefault="00C01C43">
            <w:pPr>
              <w:rPr>
                <w:rFonts w:eastAsia="Times New Roman"/>
                <w:sz w:val="20"/>
                <w:szCs w:val="20"/>
              </w:rPr>
            </w:pPr>
          </w:p>
        </w:tc>
        <w:tc>
          <w:tcPr>
            <w:tcW w:w="26" w:type="pct"/>
            <w:vAlign w:val="center"/>
            <w:hideMark/>
          </w:tcPr>
          <w:p w14:paraId="440608D0" w14:textId="77777777" w:rsidR="00000000" w:rsidRDefault="00C01C43">
            <w:pPr>
              <w:rPr>
                <w:rFonts w:eastAsia="Times New Roman"/>
                <w:sz w:val="20"/>
                <w:szCs w:val="20"/>
              </w:rPr>
            </w:pPr>
          </w:p>
        </w:tc>
        <w:tc>
          <w:tcPr>
            <w:tcW w:w="5" w:type="pct"/>
            <w:vAlign w:val="center"/>
            <w:hideMark/>
          </w:tcPr>
          <w:p w14:paraId="368CFEC9" w14:textId="77777777" w:rsidR="00000000" w:rsidRDefault="00C01C43">
            <w:pPr>
              <w:rPr>
                <w:rFonts w:eastAsia="Times New Roman"/>
                <w:sz w:val="20"/>
                <w:szCs w:val="20"/>
              </w:rPr>
            </w:pPr>
          </w:p>
        </w:tc>
        <w:tc>
          <w:tcPr>
            <w:tcW w:w="50" w:type="pct"/>
            <w:vAlign w:val="center"/>
            <w:hideMark/>
          </w:tcPr>
          <w:p w14:paraId="5A173C16" w14:textId="77777777" w:rsidR="00000000" w:rsidRDefault="00C01C43">
            <w:pPr>
              <w:rPr>
                <w:rFonts w:eastAsia="Times New Roman"/>
                <w:sz w:val="20"/>
                <w:szCs w:val="20"/>
              </w:rPr>
            </w:pPr>
          </w:p>
        </w:tc>
        <w:tc>
          <w:tcPr>
            <w:tcW w:w="627" w:type="pct"/>
            <w:vAlign w:val="center"/>
            <w:hideMark/>
          </w:tcPr>
          <w:p w14:paraId="4868F461" w14:textId="77777777" w:rsidR="00000000" w:rsidRDefault="00C01C43">
            <w:pPr>
              <w:rPr>
                <w:rFonts w:eastAsia="Times New Roman"/>
                <w:sz w:val="20"/>
                <w:szCs w:val="20"/>
              </w:rPr>
            </w:pPr>
          </w:p>
        </w:tc>
        <w:tc>
          <w:tcPr>
            <w:tcW w:w="5" w:type="pct"/>
            <w:vAlign w:val="center"/>
            <w:hideMark/>
          </w:tcPr>
          <w:p w14:paraId="7D7405A6" w14:textId="77777777" w:rsidR="00000000" w:rsidRDefault="00C01C43">
            <w:pPr>
              <w:rPr>
                <w:rFonts w:eastAsia="Times New Roman"/>
                <w:sz w:val="20"/>
                <w:szCs w:val="20"/>
              </w:rPr>
            </w:pPr>
          </w:p>
        </w:tc>
        <w:tc>
          <w:tcPr>
            <w:tcW w:w="5" w:type="pct"/>
            <w:vAlign w:val="center"/>
            <w:hideMark/>
          </w:tcPr>
          <w:p w14:paraId="6709BE65" w14:textId="77777777" w:rsidR="00000000" w:rsidRDefault="00C01C43">
            <w:pPr>
              <w:rPr>
                <w:rFonts w:eastAsia="Times New Roman"/>
                <w:sz w:val="20"/>
                <w:szCs w:val="20"/>
              </w:rPr>
            </w:pPr>
          </w:p>
        </w:tc>
        <w:tc>
          <w:tcPr>
            <w:tcW w:w="26" w:type="pct"/>
            <w:vAlign w:val="center"/>
            <w:hideMark/>
          </w:tcPr>
          <w:p w14:paraId="7BDA03BA" w14:textId="77777777" w:rsidR="00000000" w:rsidRDefault="00C01C43">
            <w:pPr>
              <w:rPr>
                <w:rFonts w:eastAsia="Times New Roman"/>
                <w:sz w:val="20"/>
                <w:szCs w:val="20"/>
              </w:rPr>
            </w:pPr>
          </w:p>
        </w:tc>
        <w:tc>
          <w:tcPr>
            <w:tcW w:w="5" w:type="pct"/>
            <w:vAlign w:val="center"/>
            <w:hideMark/>
          </w:tcPr>
          <w:p w14:paraId="75CDEB02" w14:textId="77777777" w:rsidR="00000000" w:rsidRDefault="00C01C43">
            <w:pPr>
              <w:rPr>
                <w:rFonts w:eastAsia="Times New Roman"/>
                <w:sz w:val="20"/>
                <w:szCs w:val="20"/>
              </w:rPr>
            </w:pPr>
          </w:p>
        </w:tc>
        <w:tc>
          <w:tcPr>
            <w:tcW w:w="50" w:type="pct"/>
            <w:vAlign w:val="center"/>
            <w:hideMark/>
          </w:tcPr>
          <w:p w14:paraId="77BD900D" w14:textId="77777777" w:rsidR="00000000" w:rsidRDefault="00C01C43">
            <w:pPr>
              <w:rPr>
                <w:rFonts w:eastAsia="Times New Roman"/>
                <w:sz w:val="20"/>
                <w:szCs w:val="20"/>
              </w:rPr>
            </w:pPr>
          </w:p>
        </w:tc>
        <w:tc>
          <w:tcPr>
            <w:tcW w:w="627" w:type="pct"/>
            <w:vAlign w:val="center"/>
            <w:hideMark/>
          </w:tcPr>
          <w:p w14:paraId="3E4C4B51" w14:textId="77777777" w:rsidR="00000000" w:rsidRDefault="00C01C43">
            <w:pPr>
              <w:rPr>
                <w:rFonts w:eastAsia="Times New Roman"/>
                <w:sz w:val="20"/>
                <w:szCs w:val="20"/>
              </w:rPr>
            </w:pPr>
          </w:p>
        </w:tc>
        <w:tc>
          <w:tcPr>
            <w:tcW w:w="5" w:type="pct"/>
            <w:vAlign w:val="center"/>
            <w:hideMark/>
          </w:tcPr>
          <w:p w14:paraId="0FF2415D" w14:textId="77777777" w:rsidR="00000000" w:rsidRDefault="00C01C43">
            <w:pPr>
              <w:rPr>
                <w:rFonts w:eastAsia="Times New Roman"/>
                <w:sz w:val="20"/>
                <w:szCs w:val="20"/>
              </w:rPr>
            </w:pPr>
          </w:p>
        </w:tc>
      </w:tr>
      <w:tr w:rsidR="00000000" w14:paraId="008FF551" w14:textId="77777777">
        <w:trPr>
          <w:divId w:val="1666130942"/>
        </w:trPr>
        <w:tc>
          <w:tcPr>
            <w:tcW w:w="0" w:type="auto"/>
            <w:gridSpan w:val="3"/>
            <w:tcMar>
              <w:top w:w="30" w:type="dxa"/>
              <w:left w:w="20" w:type="dxa"/>
              <w:bottom w:w="30" w:type="dxa"/>
              <w:right w:w="20" w:type="dxa"/>
            </w:tcMar>
            <w:vAlign w:val="bottom"/>
            <w:hideMark/>
          </w:tcPr>
          <w:p w14:paraId="46F432D4" w14:textId="77777777" w:rsidR="00000000" w:rsidRDefault="00C01C43">
            <w:pPr>
              <w:jc w:val="center"/>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bottom"/>
            <w:hideMark/>
          </w:tcPr>
          <w:p w14:paraId="214ED6B8"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6890134E"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7A417598"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3C493564"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5F9209D4"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07ED4D58" w14:textId="77777777">
        <w:trPr>
          <w:divId w:val="166613094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C2DC19" w14:textId="77777777" w:rsidR="00000000" w:rsidRDefault="00C01C43">
            <w:pPr>
              <w:rPr>
                <w:rFonts w:eastAsia="Times New Roman"/>
              </w:rPr>
            </w:pPr>
            <w:r>
              <w:rPr>
                <w:rFonts w:ascii="Arial" w:eastAsia="Times New Roman" w:hAnsi="Arial" w:cs="Arial"/>
                <w:color w:val="000000"/>
                <w:sz w:val="20"/>
                <w:szCs w:val="20"/>
              </w:rPr>
              <w:t>Gross Unrecognized Tax Liabilities – opening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82835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F5D19F" w14:textId="77777777" w:rsidR="00000000" w:rsidRDefault="00C01C43">
            <w:pPr>
              <w:jc w:val="right"/>
              <w:rPr>
                <w:rFonts w:eastAsia="Times New Roman"/>
              </w:rPr>
            </w:pPr>
            <w:r>
              <w:rPr>
                <w:rFonts w:ascii="Arial" w:eastAsia="Times New Roman" w:hAnsi="Arial" w:cs="Arial"/>
                <w:color w:val="000000"/>
                <w:sz w:val="20"/>
                <w:szCs w:val="20"/>
              </w:rPr>
              <w:t>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77B29D"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0C1E22"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ECC3C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20C4A6" w14:textId="77777777" w:rsidR="00000000" w:rsidRDefault="00C01C43">
            <w:pPr>
              <w:jc w:val="right"/>
              <w:rPr>
                <w:rFonts w:eastAsia="Times New Roman"/>
              </w:rPr>
            </w:pPr>
            <w:r>
              <w:rPr>
                <w:rFonts w:ascii="Arial" w:eastAsia="Times New Roman" w:hAnsi="Arial" w:cs="Arial"/>
                <w:color w:val="000000"/>
                <w:sz w:val="20"/>
                <w:szCs w:val="20"/>
              </w:rPr>
              <w:t>57.0 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24F61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018568"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67B15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0AFFD1" w14:textId="77777777" w:rsidR="00000000" w:rsidRDefault="00C01C43">
            <w:pPr>
              <w:jc w:val="right"/>
              <w:rPr>
                <w:rFonts w:eastAsia="Times New Roman"/>
              </w:rPr>
            </w:pPr>
            <w:r>
              <w:rPr>
                <w:rFonts w:ascii="Arial" w:eastAsia="Times New Roman" w:hAnsi="Arial" w:cs="Arial"/>
                <w:color w:val="000000"/>
                <w:sz w:val="20"/>
                <w:szCs w:val="20"/>
              </w:rPr>
              <w:t>58.8 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04CB05" w14:textId="77777777" w:rsidR="00000000" w:rsidRDefault="00C01C43">
            <w:pPr>
              <w:jc w:val="right"/>
              <w:rPr>
                <w:rFonts w:eastAsia="Times New Roman"/>
              </w:rPr>
            </w:pPr>
          </w:p>
        </w:tc>
      </w:tr>
      <w:tr w:rsidR="00000000" w14:paraId="049A9FE5" w14:textId="77777777">
        <w:trPr>
          <w:divId w:val="1666130942"/>
        </w:trPr>
        <w:tc>
          <w:tcPr>
            <w:tcW w:w="0" w:type="auto"/>
            <w:gridSpan w:val="3"/>
            <w:tcMar>
              <w:top w:w="30" w:type="dxa"/>
              <w:left w:w="20" w:type="dxa"/>
              <w:bottom w:w="30" w:type="dxa"/>
              <w:right w:w="20" w:type="dxa"/>
            </w:tcMar>
            <w:vAlign w:val="bottom"/>
            <w:hideMark/>
          </w:tcPr>
          <w:p w14:paraId="35BCEA3B" w14:textId="77777777" w:rsidR="00000000" w:rsidRDefault="00C01C43">
            <w:pPr>
              <w:rPr>
                <w:rFonts w:eastAsia="Times New Roman"/>
              </w:rPr>
            </w:pPr>
            <w:r>
              <w:rPr>
                <w:rFonts w:ascii="Arial" w:eastAsia="Times New Roman" w:hAnsi="Arial" w:cs="Arial"/>
                <w:color w:val="000000"/>
                <w:sz w:val="20"/>
                <w:szCs w:val="20"/>
              </w:rPr>
              <w:t>Gross increases – tax positions in prior period</w:t>
            </w:r>
          </w:p>
        </w:tc>
        <w:tc>
          <w:tcPr>
            <w:tcW w:w="0" w:type="auto"/>
            <w:gridSpan w:val="2"/>
            <w:tcMar>
              <w:top w:w="30" w:type="dxa"/>
              <w:left w:w="20" w:type="dxa"/>
              <w:bottom w:w="30" w:type="dxa"/>
              <w:right w:w="0" w:type="dxa"/>
            </w:tcMar>
            <w:vAlign w:val="bottom"/>
            <w:hideMark/>
          </w:tcPr>
          <w:p w14:paraId="2B72BB4B" w14:textId="77777777" w:rsidR="00000000" w:rsidRDefault="00C01C43">
            <w:pPr>
              <w:jc w:val="right"/>
              <w:rPr>
                <w:rFonts w:eastAsia="Times New Roman"/>
              </w:rPr>
            </w:pPr>
            <w:r>
              <w:rPr>
                <w:rFonts w:ascii="Arial" w:eastAsia="Times New Roman" w:hAnsi="Arial" w:cs="Arial"/>
                <w:color w:val="000000"/>
                <w:sz w:val="20"/>
                <w:szCs w:val="20"/>
              </w:rPr>
              <w:t>4.8 </w:t>
            </w:r>
          </w:p>
        </w:tc>
        <w:tc>
          <w:tcPr>
            <w:tcW w:w="0" w:type="auto"/>
            <w:tcMar>
              <w:top w:w="30" w:type="dxa"/>
              <w:left w:w="0" w:type="dxa"/>
              <w:bottom w:w="30" w:type="dxa"/>
              <w:right w:w="20" w:type="dxa"/>
            </w:tcMar>
            <w:vAlign w:val="bottom"/>
            <w:hideMark/>
          </w:tcPr>
          <w:p w14:paraId="6B87E843"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57E63F22"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710F1AA" w14:textId="77777777" w:rsidR="00000000" w:rsidRDefault="00C01C43">
            <w:pPr>
              <w:jc w:val="right"/>
              <w:rPr>
                <w:rFonts w:eastAsia="Times New Roman"/>
              </w:rPr>
            </w:pPr>
            <w:r>
              <w:rPr>
                <w:rFonts w:ascii="Arial" w:eastAsia="Times New Roman" w:hAnsi="Arial" w:cs="Arial"/>
                <w:color w:val="000000"/>
                <w:sz w:val="20"/>
                <w:szCs w:val="20"/>
              </w:rPr>
              <w:t>12.2 </w:t>
            </w:r>
          </w:p>
        </w:tc>
        <w:tc>
          <w:tcPr>
            <w:tcW w:w="0" w:type="auto"/>
            <w:tcMar>
              <w:top w:w="30" w:type="dxa"/>
              <w:left w:w="0" w:type="dxa"/>
              <w:bottom w:w="30" w:type="dxa"/>
              <w:right w:w="20" w:type="dxa"/>
            </w:tcMar>
            <w:vAlign w:val="bottom"/>
            <w:hideMark/>
          </w:tcPr>
          <w:p w14:paraId="2013D955"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34854BCD"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8B9BA9B" w14:textId="77777777" w:rsidR="00000000" w:rsidRDefault="00C01C43">
            <w:pPr>
              <w:jc w:val="right"/>
              <w:rPr>
                <w:rFonts w:eastAsia="Times New Roman"/>
              </w:rPr>
            </w:pPr>
            <w:r>
              <w:rPr>
                <w:rFonts w:ascii="Arial" w:eastAsia="Times New Roman" w:hAnsi="Arial" w:cs="Arial"/>
                <w:color w:val="000000"/>
                <w:sz w:val="20"/>
                <w:szCs w:val="20"/>
              </w:rPr>
              <w:t>3.6 </w:t>
            </w:r>
          </w:p>
        </w:tc>
        <w:tc>
          <w:tcPr>
            <w:tcW w:w="0" w:type="auto"/>
            <w:tcMar>
              <w:top w:w="30" w:type="dxa"/>
              <w:left w:w="0" w:type="dxa"/>
              <w:bottom w:w="30" w:type="dxa"/>
              <w:right w:w="20" w:type="dxa"/>
            </w:tcMar>
            <w:vAlign w:val="bottom"/>
            <w:hideMark/>
          </w:tcPr>
          <w:p w14:paraId="0838C2EC" w14:textId="77777777" w:rsidR="00000000" w:rsidRDefault="00C01C43">
            <w:pPr>
              <w:jc w:val="right"/>
              <w:rPr>
                <w:rFonts w:eastAsia="Times New Roman"/>
              </w:rPr>
            </w:pPr>
          </w:p>
        </w:tc>
      </w:tr>
      <w:tr w:rsidR="00000000" w14:paraId="281227DC" w14:textId="77777777">
        <w:trPr>
          <w:divId w:val="1666130942"/>
        </w:trPr>
        <w:tc>
          <w:tcPr>
            <w:tcW w:w="0" w:type="auto"/>
            <w:gridSpan w:val="3"/>
            <w:shd w:val="clear" w:color="auto" w:fill="CCEEFF"/>
            <w:tcMar>
              <w:top w:w="30" w:type="dxa"/>
              <w:left w:w="20" w:type="dxa"/>
              <w:bottom w:w="30" w:type="dxa"/>
              <w:right w:w="20" w:type="dxa"/>
            </w:tcMar>
            <w:vAlign w:val="bottom"/>
            <w:hideMark/>
          </w:tcPr>
          <w:p w14:paraId="3AF4C499" w14:textId="77777777" w:rsidR="00000000" w:rsidRDefault="00C01C43">
            <w:pPr>
              <w:rPr>
                <w:rFonts w:eastAsia="Times New Roman"/>
              </w:rPr>
            </w:pPr>
            <w:r>
              <w:rPr>
                <w:rFonts w:ascii="Arial" w:eastAsia="Times New Roman" w:hAnsi="Arial" w:cs="Arial"/>
                <w:color w:val="000000"/>
                <w:sz w:val="20"/>
                <w:szCs w:val="20"/>
              </w:rPr>
              <w:t>Gross decreases – tax positions in prior period</w:t>
            </w:r>
          </w:p>
        </w:tc>
        <w:tc>
          <w:tcPr>
            <w:tcW w:w="0" w:type="auto"/>
            <w:gridSpan w:val="2"/>
            <w:shd w:val="clear" w:color="auto" w:fill="CCEEFF"/>
            <w:tcMar>
              <w:top w:w="30" w:type="dxa"/>
              <w:left w:w="20" w:type="dxa"/>
              <w:bottom w:w="30" w:type="dxa"/>
              <w:right w:w="0" w:type="dxa"/>
            </w:tcMar>
            <w:vAlign w:val="bottom"/>
            <w:hideMark/>
          </w:tcPr>
          <w:p w14:paraId="5B26E218" w14:textId="77777777" w:rsidR="00000000" w:rsidRDefault="00C01C43">
            <w:pPr>
              <w:jc w:val="right"/>
              <w:rPr>
                <w:rFonts w:eastAsia="Times New Roman"/>
              </w:rPr>
            </w:pPr>
            <w:r>
              <w:rPr>
                <w:rFonts w:ascii="Arial" w:eastAsia="Times New Roman" w:hAnsi="Arial" w:cs="Arial"/>
                <w:color w:val="000000"/>
                <w:sz w:val="20"/>
                <w:szCs w:val="20"/>
              </w:rPr>
              <w:t>(0.5)</w:t>
            </w:r>
          </w:p>
        </w:tc>
        <w:tc>
          <w:tcPr>
            <w:tcW w:w="0" w:type="auto"/>
            <w:shd w:val="clear" w:color="auto" w:fill="CCEEFF"/>
            <w:tcMar>
              <w:top w:w="30" w:type="dxa"/>
              <w:left w:w="0" w:type="dxa"/>
              <w:bottom w:w="30" w:type="dxa"/>
              <w:right w:w="20" w:type="dxa"/>
            </w:tcMar>
            <w:vAlign w:val="bottom"/>
            <w:hideMark/>
          </w:tcPr>
          <w:p w14:paraId="7DBC9B9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AAE1A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9EA041" w14:textId="77777777" w:rsidR="00000000" w:rsidRDefault="00C01C43">
            <w:pPr>
              <w:jc w:val="right"/>
              <w:rPr>
                <w:rFonts w:eastAsia="Times New Roman"/>
              </w:rPr>
            </w:pPr>
            <w:r>
              <w:rPr>
                <w:rFonts w:ascii="Arial" w:eastAsia="Times New Roman" w:hAnsi="Arial" w:cs="Arial"/>
                <w:color w:val="000000"/>
                <w:sz w:val="20"/>
                <w:szCs w:val="20"/>
              </w:rPr>
              <w:t>(13.5)</w:t>
            </w:r>
          </w:p>
        </w:tc>
        <w:tc>
          <w:tcPr>
            <w:tcW w:w="0" w:type="auto"/>
            <w:shd w:val="clear" w:color="auto" w:fill="CCEEFF"/>
            <w:tcMar>
              <w:top w:w="30" w:type="dxa"/>
              <w:left w:w="0" w:type="dxa"/>
              <w:bottom w:w="30" w:type="dxa"/>
              <w:right w:w="20" w:type="dxa"/>
            </w:tcMar>
            <w:vAlign w:val="bottom"/>
            <w:hideMark/>
          </w:tcPr>
          <w:p w14:paraId="3D768B0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C01B8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EBFD40" w14:textId="77777777" w:rsidR="00000000" w:rsidRDefault="00C01C43">
            <w:pPr>
              <w:jc w:val="right"/>
              <w:rPr>
                <w:rFonts w:eastAsia="Times New Roman"/>
              </w:rPr>
            </w:pPr>
            <w:r>
              <w:rPr>
                <w:rFonts w:ascii="Arial" w:eastAsia="Times New Roman" w:hAnsi="Arial" w:cs="Arial"/>
                <w:color w:val="000000"/>
                <w:sz w:val="20"/>
                <w:szCs w:val="20"/>
              </w:rPr>
              <w:t>(10.6)</w:t>
            </w:r>
          </w:p>
        </w:tc>
        <w:tc>
          <w:tcPr>
            <w:tcW w:w="0" w:type="auto"/>
            <w:shd w:val="clear" w:color="auto" w:fill="CCEEFF"/>
            <w:tcMar>
              <w:top w:w="30" w:type="dxa"/>
              <w:left w:w="0" w:type="dxa"/>
              <w:bottom w:w="30" w:type="dxa"/>
              <w:right w:w="20" w:type="dxa"/>
            </w:tcMar>
            <w:vAlign w:val="bottom"/>
            <w:hideMark/>
          </w:tcPr>
          <w:p w14:paraId="4B5F74D7" w14:textId="77777777" w:rsidR="00000000" w:rsidRDefault="00C01C43">
            <w:pPr>
              <w:jc w:val="right"/>
              <w:rPr>
                <w:rFonts w:eastAsia="Times New Roman"/>
              </w:rPr>
            </w:pPr>
          </w:p>
        </w:tc>
      </w:tr>
      <w:tr w:rsidR="00000000" w14:paraId="514AC3F0" w14:textId="77777777">
        <w:trPr>
          <w:divId w:val="1666130942"/>
        </w:trPr>
        <w:tc>
          <w:tcPr>
            <w:tcW w:w="0" w:type="auto"/>
            <w:gridSpan w:val="3"/>
            <w:tcMar>
              <w:top w:w="30" w:type="dxa"/>
              <w:left w:w="20" w:type="dxa"/>
              <w:bottom w:w="30" w:type="dxa"/>
              <w:right w:w="20" w:type="dxa"/>
            </w:tcMar>
            <w:vAlign w:val="bottom"/>
            <w:hideMark/>
          </w:tcPr>
          <w:p w14:paraId="5B8FEEE6" w14:textId="77777777" w:rsidR="00000000" w:rsidRDefault="00C01C43">
            <w:pPr>
              <w:rPr>
                <w:rFonts w:eastAsia="Times New Roman"/>
              </w:rPr>
            </w:pPr>
            <w:r>
              <w:rPr>
                <w:rFonts w:ascii="Arial" w:eastAsia="Times New Roman" w:hAnsi="Arial" w:cs="Arial"/>
                <w:color w:val="000000"/>
                <w:sz w:val="20"/>
                <w:szCs w:val="20"/>
              </w:rPr>
              <w:t xml:space="preserve">Gross increases – </w:t>
            </w:r>
            <w:r>
              <w:rPr>
                <w:rFonts w:ascii="Arial" w:eastAsia="Times New Roman" w:hAnsi="Arial" w:cs="Arial"/>
                <w:color w:val="000000"/>
                <w:sz w:val="20"/>
                <w:szCs w:val="20"/>
              </w:rPr>
              <w:t>tax positions in current period</w:t>
            </w:r>
          </w:p>
        </w:tc>
        <w:tc>
          <w:tcPr>
            <w:tcW w:w="0" w:type="auto"/>
            <w:gridSpan w:val="2"/>
            <w:tcMar>
              <w:top w:w="30" w:type="dxa"/>
              <w:left w:w="20" w:type="dxa"/>
              <w:bottom w:w="30" w:type="dxa"/>
              <w:right w:w="0" w:type="dxa"/>
            </w:tcMar>
            <w:vAlign w:val="bottom"/>
            <w:hideMark/>
          </w:tcPr>
          <w:p w14:paraId="3BCCCE70" w14:textId="77777777" w:rsidR="00000000" w:rsidRDefault="00C01C43">
            <w:pPr>
              <w:jc w:val="right"/>
              <w:rPr>
                <w:rFonts w:eastAsia="Times New Roman"/>
              </w:rPr>
            </w:pPr>
            <w:r>
              <w:rPr>
                <w:rFonts w:ascii="Arial" w:eastAsia="Times New Roman" w:hAnsi="Arial" w:cs="Arial"/>
                <w:color w:val="000000"/>
                <w:sz w:val="20"/>
                <w:szCs w:val="20"/>
              </w:rPr>
              <w:t>12.3 </w:t>
            </w:r>
          </w:p>
        </w:tc>
        <w:tc>
          <w:tcPr>
            <w:tcW w:w="0" w:type="auto"/>
            <w:tcMar>
              <w:top w:w="30" w:type="dxa"/>
              <w:left w:w="0" w:type="dxa"/>
              <w:bottom w:w="30" w:type="dxa"/>
              <w:right w:w="20" w:type="dxa"/>
            </w:tcMar>
            <w:vAlign w:val="bottom"/>
            <w:hideMark/>
          </w:tcPr>
          <w:p w14:paraId="3B187335"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34088DE6"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7387BA2" w14:textId="77777777" w:rsidR="00000000" w:rsidRDefault="00C01C43">
            <w:pPr>
              <w:jc w:val="right"/>
              <w:rPr>
                <w:rFonts w:eastAsia="Times New Roman"/>
              </w:rPr>
            </w:pPr>
            <w:r>
              <w:rPr>
                <w:rFonts w:ascii="Arial" w:eastAsia="Times New Roman" w:hAnsi="Arial" w:cs="Arial"/>
                <w:color w:val="000000"/>
                <w:sz w:val="20"/>
                <w:szCs w:val="20"/>
              </w:rPr>
              <w:t>14.9 </w:t>
            </w:r>
          </w:p>
        </w:tc>
        <w:tc>
          <w:tcPr>
            <w:tcW w:w="0" w:type="auto"/>
            <w:tcMar>
              <w:top w:w="30" w:type="dxa"/>
              <w:left w:w="0" w:type="dxa"/>
              <w:bottom w:w="30" w:type="dxa"/>
              <w:right w:w="20" w:type="dxa"/>
            </w:tcMar>
            <w:vAlign w:val="bottom"/>
            <w:hideMark/>
          </w:tcPr>
          <w:p w14:paraId="5CEBCFD7"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5D914AB6"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9EC1FA1" w14:textId="77777777" w:rsidR="00000000" w:rsidRDefault="00C01C43">
            <w:pPr>
              <w:jc w:val="right"/>
              <w:rPr>
                <w:rFonts w:eastAsia="Times New Roman"/>
              </w:rPr>
            </w:pPr>
            <w:r>
              <w:rPr>
                <w:rFonts w:ascii="Arial" w:eastAsia="Times New Roman" w:hAnsi="Arial" w:cs="Arial"/>
                <w:color w:val="000000"/>
                <w:sz w:val="20"/>
                <w:szCs w:val="20"/>
              </w:rPr>
              <w:t>11.5 </w:t>
            </w:r>
          </w:p>
        </w:tc>
        <w:tc>
          <w:tcPr>
            <w:tcW w:w="0" w:type="auto"/>
            <w:tcMar>
              <w:top w:w="30" w:type="dxa"/>
              <w:left w:w="0" w:type="dxa"/>
              <w:bottom w:w="30" w:type="dxa"/>
              <w:right w:w="20" w:type="dxa"/>
            </w:tcMar>
            <w:vAlign w:val="bottom"/>
            <w:hideMark/>
          </w:tcPr>
          <w:p w14:paraId="62863276" w14:textId="77777777" w:rsidR="00000000" w:rsidRDefault="00C01C43">
            <w:pPr>
              <w:jc w:val="right"/>
              <w:rPr>
                <w:rFonts w:eastAsia="Times New Roman"/>
              </w:rPr>
            </w:pPr>
          </w:p>
        </w:tc>
      </w:tr>
      <w:tr w:rsidR="00000000" w14:paraId="44151795" w14:textId="77777777">
        <w:trPr>
          <w:divId w:val="1666130942"/>
        </w:trPr>
        <w:tc>
          <w:tcPr>
            <w:tcW w:w="0" w:type="auto"/>
            <w:gridSpan w:val="3"/>
            <w:shd w:val="clear" w:color="auto" w:fill="CCEEFF"/>
            <w:tcMar>
              <w:top w:w="30" w:type="dxa"/>
              <w:left w:w="20" w:type="dxa"/>
              <w:bottom w:w="30" w:type="dxa"/>
              <w:right w:w="20" w:type="dxa"/>
            </w:tcMar>
            <w:vAlign w:val="bottom"/>
            <w:hideMark/>
          </w:tcPr>
          <w:p w14:paraId="3C4BBDAE" w14:textId="77777777" w:rsidR="00000000" w:rsidRDefault="00C01C43">
            <w:pPr>
              <w:rPr>
                <w:rFonts w:eastAsia="Times New Roman"/>
              </w:rPr>
            </w:pPr>
            <w:r>
              <w:rPr>
                <w:rFonts w:ascii="Arial" w:eastAsia="Times New Roman" w:hAnsi="Arial" w:cs="Arial"/>
                <w:color w:val="000000"/>
                <w:sz w:val="20"/>
                <w:szCs w:val="20"/>
              </w:rPr>
              <w:t>Gross decreases – tax positions in current period</w:t>
            </w:r>
          </w:p>
        </w:tc>
        <w:tc>
          <w:tcPr>
            <w:tcW w:w="0" w:type="auto"/>
            <w:gridSpan w:val="2"/>
            <w:shd w:val="clear" w:color="auto" w:fill="CCEEFF"/>
            <w:tcMar>
              <w:top w:w="30" w:type="dxa"/>
              <w:left w:w="20" w:type="dxa"/>
              <w:bottom w:w="30" w:type="dxa"/>
              <w:right w:w="0" w:type="dxa"/>
            </w:tcMar>
            <w:vAlign w:val="bottom"/>
            <w:hideMark/>
          </w:tcPr>
          <w:p w14:paraId="40B8A0D7"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5FF2FC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8865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A66F0D"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5FF2F7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CC0DA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3435B5"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61FD0E29" w14:textId="77777777" w:rsidR="00000000" w:rsidRDefault="00C01C43">
            <w:pPr>
              <w:jc w:val="right"/>
              <w:rPr>
                <w:rFonts w:eastAsia="Times New Roman"/>
              </w:rPr>
            </w:pPr>
          </w:p>
        </w:tc>
      </w:tr>
      <w:tr w:rsidR="00000000" w14:paraId="1C46231B" w14:textId="77777777">
        <w:trPr>
          <w:divId w:val="1666130942"/>
        </w:trPr>
        <w:tc>
          <w:tcPr>
            <w:tcW w:w="0" w:type="auto"/>
            <w:gridSpan w:val="3"/>
            <w:tcMar>
              <w:top w:w="30" w:type="dxa"/>
              <w:left w:w="20" w:type="dxa"/>
              <w:bottom w:w="30" w:type="dxa"/>
              <w:right w:w="20" w:type="dxa"/>
            </w:tcMar>
            <w:vAlign w:val="bottom"/>
            <w:hideMark/>
          </w:tcPr>
          <w:p w14:paraId="78367D0D" w14:textId="77777777" w:rsidR="00000000" w:rsidRDefault="00C01C43">
            <w:pPr>
              <w:rPr>
                <w:rFonts w:eastAsia="Times New Roman"/>
              </w:rPr>
            </w:pPr>
            <w:r>
              <w:rPr>
                <w:rFonts w:ascii="Arial" w:eastAsia="Times New Roman" w:hAnsi="Arial" w:cs="Arial"/>
                <w:color w:val="000000"/>
                <w:sz w:val="20"/>
                <w:szCs w:val="20"/>
              </w:rPr>
              <w:t>Settlements</w:t>
            </w:r>
          </w:p>
        </w:tc>
        <w:tc>
          <w:tcPr>
            <w:tcW w:w="0" w:type="auto"/>
            <w:gridSpan w:val="2"/>
            <w:tcMar>
              <w:top w:w="30" w:type="dxa"/>
              <w:left w:w="20" w:type="dxa"/>
              <w:bottom w:w="30" w:type="dxa"/>
              <w:right w:w="0" w:type="dxa"/>
            </w:tcMar>
            <w:vAlign w:val="bottom"/>
            <w:hideMark/>
          </w:tcPr>
          <w:p w14:paraId="5D685854" w14:textId="77777777" w:rsidR="00000000" w:rsidRDefault="00C01C43">
            <w:pPr>
              <w:jc w:val="right"/>
              <w:rPr>
                <w:rFonts w:eastAsia="Times New Roman"/>
              </w:rPr>
            </w:pPr>
            <w:r>
              <w:rPr>
                <w:rFonts w:ascii="Arial" w:eastAsia="Times New Roman" w:hAnsi="Arial" w:cs="Arial"/>
                <w:color w:val="000000"/>
                <w:sz w:val="20"/>
                <w:szCs w:val="20"/>
              </w:rPr>
              <w:t>(0.1)</w:t>
            </w:r>
          </w:p>
        </w:tc>
        <w:tc>
          <w:tcPr>
            <w:tcW w:w="0" w:type="auto"/>
            <w:tcMar>
              <w:top w:w="30" w:type="dxa"/>
              <w:left w:w="0" w:type="dxa"/>
              <w:bottom w:w="30" w:type="dxa"/>
              <w:right w:w="20" w:type="dxa"/>
            </w:tcMar>
            <w:vAlign w:val="bottom"/>
            <w:hideMark/>
          </w:tcPr>
          <w:p w14:paraId="07116B0E"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4244B813"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1568F63" w14:textId="77777777" w:rsidR="00000000" w:rsidRDefault="00C01C43">
            <w:pPr>
              <w:jc w:val="right"/>
              <w:rPr>
                <w:rFonts w:eastAsia="Times New Roman"/>
              </w:rPr>
            </w:pPr>
            <w:r>
              <w:rPr>
                <w:rFonts w:ascii="Arial" w:eastAsia="Times New Roman" w:hAnsi="Arial" w:cs="Arial"/>
                <w:color w:val="000000"/>
                <w:sz w:val="20"/>
                <w:szCs w:val="20"/>
              </w:rPr>
              <w:t>(1.4)</w:t>
            </w:r>
          </w:p>
        </w:tc>
        <w:tc>
          <w:tcPr>
            <w:tcW w:w="0" w:type="auto"/>
            <w:tcMar>
              <w:top w:w="30" w:type="dxa"/>
              <w:left w:w="0" w:type="dxa"/>
              <w:bottom w:w="30" w:type="dxa"/>
              <w:right w:w="20" w:type="dxa"/>
            </w:tcMar>
            <w:vAlign w:val="bottom"/>
            <w:hideMark/>
          </w:tcPr>
          <w:p w14:paraId="50C7A4AD"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16056747"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857CDE1" w14:textId="77777777" w:rsidR="00000000" w:rsidRDefault="00C01C43">
            <w:pPr>
              <w:jc w:val="right"/>
              <w:rPr>
                <w:rFonts w:eastAsia="Times New Roman"/>
              </w:rPr>
            </w:pPr>
            <w:r>
              <w:rPr>
                <w:rFonts w:ascii="Arial" w:eastAsia="Times New Roman" w:hAnsi="Arial" w:cs="Arial"/>
                <w:color w:val="000000"/>
                <w:sz w:val="20"/>
                <w:szCs w:val="20"/>
              </w:rPr>
              <w:t>(1.5)</w:t>
            </w:r>
          </w:p>
        </w:tc>
        <w:tc>
          <w:tcPr>
            <w:tcW w:w="0" w:type="auto"/>
            <w:tcMar>
              <w:top w:w="30" w:type="dxa"/>
              <w:left w:w="0" w:type="dxa"/>
              <w:bottom w:w="30" w:type="dxa"/>
              <w:right w:w="20" w:type="dxa"/>
            </w:tcMar>
            <w:vAlign w:val="bottom"/>
            <w:hideMark/>
          </w:tcPr>
          <w:p w14:paraId="0B822EB2" w14:textId="77777777" w:rsidR="00000000" w:rsidRDefault="00C01C43">
            <w:pPr>
              <w:jc w:val="right"/>
              <w:rPr>
                <w:rFonts w:eastAsia="Times New Roman"/>
              </w:rPr>
            </w:pPr>
          </w:p>
        </w:tc>
      </w:tr>
      <w:tr w:rsidR="00000000" w14:paraId="5B79B1AA" w14:textId="77777777">
        <w:trPr>
          <w:divId w:val="1666130942"/>
        </w:trPr>
        <w:tc>
          <w:tcPr>
            <w:tcW w:w="0" w:type="auto"/>
            <w:gridSpan w:val="3"/>
            <w:shd w:val="clear" w:color="auto" w:fill="CCEEFF"/>
            <w:tcMar>
              <w:top w:w="30" w:type="dxa"/>
              <w:left w:w="20" w:type="dxa"/>
              <w:bottom w:w="30" w:type="dxa"/>
              <w:right w:w="20" w:type="dxa"/>
            </w:tcMar>
            <w:vAlign w:val="bottom"/>
            <w:hideMark/>
          </w:tcPr>
          <w:p w14:paraId="49BD7E60" w14:textId="77777777" w:rsidR="00000000" w:rsidRDefault="00C01C43">
            <w:pPr>
              <w:rPr>
                <w:rFonts w:eastAsia="Times New Roman"/>
              </w:rPr>
            </w:pPr>
            <w:r>
              <w:rPr>
                <w:rFonts w:ascii="Arial" w:eastAsia="Times New Roman" w:hAnsi="Arial" w:cs="Arial"/>
                <w:color w:val="000000"/>
                <w:sz w:val="20"/>
                <w:szCs w:val="20"/>
              </w:rPr>
              <w:t>Lapse of statute of limitations</w:t>
            </w:r>
          </w:p>
        </w:tc>
        <w:tc>
          <w:tcPr>
            <w:tcW w:w="0" w:type="auto"/>
            <w:gridSpan w:val="2"/>
            <w:shd w:val="clear" w:color="auto" w:fill="CCEEFF"/>
            <w:tcMar>
              <w:top w:w="30" w:type="dxa"/>
              <w:left w:w="20" w:type="dxa"/>
              <w:bottom w:w="30" w:type="dxa"/>
              <w:right w:w="0" w:type="dxa"/>
            </w:tcMar>
            <w:vAlign w:val="bottom"/>
            <w:hideMark/>
          </w:tcPr>
          <w:p w14:paraId="05A6123A" w14:textId="77777777" w:rsidR="00000000" w:rsidRDefault="00C01C43">
            <w:pPr>
              <w:jc w:val="right"/>
              <w:rPr>
                <w:rFonts w:eastAsia="Times New Roman"/>
              </w:rPr>
            </w:pPr>
            <w:r>
              <w:rPr>
                <w:rFonts w:ascii="Arial" w:eastAsia="Times New Roman" w:hAnsi="Arial" w:cs="Arial"/>
                <w:color w:val="000000"/>
                <w:sz w:val="20"/>
                <w:szCs w:val="20"/>
              </w:rPr>
              <w:t>(4.8)</w:t>
            </w:r>
          </w:p>
        </w:tc>
        <w:tc>
          <w:tcPr>
            <w:tcW w:w="0" w:type="auto"/>
            <w:shd w:val="clear" w:color="auto" w:fill="CCEEFF"/>
            <w:tcMar>
              <w:top w:w="30" w:type="dxa"/>
              <w:left w:w="0" w:type="dxa"/>
              <w:bottom w:w="30" w:type="dxa"/>
              <w:right w:w="20" w:type="dxa"/>
            </w:tcMar>
            <w:vAlign w:val="bottom"/>
            <w:hideMark/>
          </w:tcPr>
          <w:p w14:paraId="4F15FD6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A668E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141B26" w14:textId="77777777" w:rsidR="00000000" w:rsidRDefault="00C01C43">
            <w:pPr>
              <w:jc w:val="right"/>
              <w:rPr>
                <w:rFonts w:eastAsia="Times New Roman"/>
              </w:rPr>
            </w:pPr>
            <w:r>
              <w:rPr>
                <w:rFonts w:ascii="Arial" w:eastAsia="Times New Roman" w:hAnsi="Arial" w:cs="Arial"/>
                <w:color w:val="000000"/>
                <w:sz w:val="20"/>
                <w:szCs w:val="20"/>
              </w:rPr>
              <w:t>(2.7)</w:t>
            </w:r>
          </w:p>
        </w:tc>
        <w:tc>
          <w:tcPr>
            <w:tcW w:w="0" w:type="auto"/>
            <w:shd w:val="clear" w:color="auto" w:fill="CCEEFF"/>
            <w:tcMar>
              <w:top w:w="30" w:type="dxa"/>
              <w:left w:w="0" w:type="dxa"/>
              <w:bottom w:w="30" w:type="dxa"/>
              <w:right w:w="20" w:type="dxa"/>
            </w:tcMar>
            <w:vAlign w:val="bottom"/>
            <w:hideMark/>
          </w:tcPr>
          <w:p w14:paraId="3E624C7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1CF60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185C16" w14:textId="77777777" w:rsidR="00000000" w:rsidRDefault="00C01C43">
            <w:pPr>
              <w:jc w:val="right"/>
              <w:rPr>
                <w:rFonts w:eastAsia="Times New Roman"/>
              </w:rPr>
            </w:pPr>
            <w:r>
              <w:rPr>
                <w:rFonts w:ascii="Arial" w:eastAsia="Times New Roman" w:hAnsi="Arial" w:cs="Arial"/>
                <w:color w:val="000000"/>
                <w:sz w:val="20"/>
                <w:szCs w:val="20"/>
              </w:rPr>
              <w:t>(4.8)</w:t>
            </w:r>
          </w:p>
        </w:tc>
        <w:tc>
          <w:tcPr>
            <w:tcW w:w="0" w:type="auto"/>
            <w:shd w:val="clear" w:color="auto" w:fill="CCEEFF"/>
            <w:tcMar>
              <w:top w:w="30" w:type="dxa"/>
              <w:left w:w="0" w:type="dxa"/>
              <w:bottom w:w="30" w:type="dxa"/>
              <w:right w:w="20" w:type="dxa"/>
            </w:tcMar>
            <w:vAlign w:val="bottom"/>
            <w:hideMark/>
          </w:tcPr>
          <w:p w14:paraId="6791B27F" w14:textId="77777777" w:rsidR="00000000" w:rsidRDefault="00C01C43">
            <w:pPr>
              <w:jc w:val="right"/>
              <w:rPr>
                <w:rFonts w:eastAsia="Times New Roman"/>
              </w:rPr>
            </w:pPr>
          </w:p>
        </w:tc>
      </w:tr>
      <w:tr w:rsidR="00000000" w14:paraId="1729C002" w14:textId="77777777">
        <w:trPr>
          <w:divId w:val="1666130942"/>
        </w:trPr>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14:paraId="66A1A670" w14:textId="77777777" w:rsidR="00000000" w:rsidRDefault="00C01C43">
            <w:pPr>
              <w:rPr>
                <w:rFonts w:eastAsia="Times New Roman"/>
              </w:rPr>
            </w:pPr>
            <w:r>
              <w:rPr>
                <w:rFonts w:ascii="Arial" w:eastAsia="Times New Roman" w:hAnsi="Arial" w:cs="Arial"/>
                <w:color w:val="000000"/>
                <w:sz w:val="20"/>
                <w:szCs w:val="20"/>
              </w:rPr>
              <w:t>Gross Unrecognized Tax Liabilities – ending balance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27B152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6E7DD7A" w14:textId="77777777" w:rsidR="00000000" w:rsidRDefault="00C01C43">
            <w:pPr>
              <w:jc w:val="right"/>
              <w:rPr>
                <w:rFonts w:eastAsia="Times New Roman"/>
              </w:rPr>
            </w:pPr>
            <w:r>
              <w:rPr>
                <w:rFonts w:ascii="Arial" w:eastAsia="Times New Roman" w:hAnsi="Arial" w:cs="Arial"/>
                <w:color w:val="000000"/>
                <w:sz w:val="20"/>
                <w:szCs w:val="20"/>
              </w:rPr>
              <w:t>78.2 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8285668"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2E879964"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314615B"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FE7933C" w14:textId="77777777" w:rsidR="00000000" w:rsidRDefault="00C01C43">
            <w:pPr>
              <w:jc w:val="right"/>
              <w:rPr>
                <w:rFonts w:eastAsia="Times New Roman"/>
              </w:rPr>
            </w:pPr>
            <w:r>
              <w:rPr>
                <w:rFonts w:ascii="Arial" w:eastAsia="Times New Roman" w:hAnsi="Arial" w:cs="Arial"/>
                <w:color w:val="000000"/>
                <w:sz w:val="20"/>
                <w:szCs w:val="20"/>
              </w:rPr>
              <w:t>66.5 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20840F5"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21B0E0E1"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9AFE47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BDC8313" w14:textId="77777777" w:rsidR="00000000" w:rsidRDefault="00C01C43">
            <w:pPr>
              <w:jc w:val="right"/>
              <w:rPr>
                <w:rFonts w:eastAsia="Times New Roman"/>
              </w:rPr>
            </w:pPr>
            <w:r>
              <w:rPr>
                <w:rFonts w:ascii="Arial" w:eastAsia="Times New Roman" w:hAnsi="Arial" w:cs="Arial"/>
                <w:color w:val="000000"/>
                <w:sz w:val="20"/>
                <w:szCs w:val="20"/>
              </w:rPr>
              <w:t>57.0 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59D1B36" w14:textId="77777777" w:rsidR="00000000" w:rsidRDefault="00C01C43">
            <w:pPr>
              <w:jc w:val="right"/>
              <w:rPr>
                <w:rFonts w:eastAsia="Times New Roman"/>
              </w:rPr>
            </w:pPr>
          </w:p>
        </w:tc>
      </w:tr>
    </w:tbl>
    <w:p w14:paraId="37B7DAF4" w14:textId="77777777" w:rsidR="00000000" w:rsidRDefault="00C01C43">
      <w:pPr>
        <w:jc w:val="both"/>
        <w:divId w:val="1442841381"/>
        <w:rPr>
          <w:rFonts w:eastAsia="Times New Roman"/>
        </w:rPr>
      </w:pPr>
      <w:r>
        <w:rPr>
          <w:rFonts w:ascii="Arial" w:eastAsia="Times New Roman" w:hAnsi="Arial" w:cs="Arial"/>
          <w:color w:val="000000"/>
          <w:sz w:val="20"/>
          <w:szCs w:val="20"/>
        </w:rPr>
        <w:t>If our gross Unrecognized Tax Liabilities, net of our Unrecognized Tax Assets of $25.4 million, as of December </w:t>
      </w:r>
      <w:r>
        <w:rPr>
          <w:rFonts w:ascii="Arial" w:eastAsia="Times New Roman" w:hAnsi="Arial" w:cs="Arial"/>
          <w:color w:val="000000"/>
          <w:sz w:val="20"/>
          <w:szCs w:val="20"/>
        </w:rPr>
        <w:t>31, 2020, are settled by the taxing authorities in our favor or otherwise resolved, our income tax expense would be reduced by $52.7 million (exclusive of interest and penalties) in the period the matter is considered settled or resolved in accordance with</w:t>
      </w:r>
      <w:r>
        <w:rPr>
          <w:rFonts w:ascii="Arial" w:eastAsia="Times New Roman" w:hAnsi="Arial" w:cs="Arial"/>
          <w:color w:val="000000"/>
          <w:sz w:val="20"/>
          <w:szCs w:val="20"/>
        </w:rPr>
        <w:t xml:space="preserve"> Accounting Standards Codification 740. This would have the impact of reducing our 2020 effective income tax rate by 32.8%. As of December 31, 2020, it is possible that approximately $5.4 million of our unrecognized income tax liabilities may decrease with</w:t>
      </w:r>
      <w:r>
        <w:rPr>
          <w:rFonts w:ascii="Arial" w:eastAsia="Times New Roman" w:hAnsi="Arial" w:cs="Arial"/>
          <w:color w:val="000000"/>
          <w:sz w:val="20"/>
          <w:szCs w:val="20"/>
        </w:rPr>
        <w:t>in the next twelve months.</w:t>
      </w:r>
    </w:p>
    <w:p w14:paraId="23578E65" w14:textId="77777777" w:rsidR="00000000" w:rsidRDefault="00C01C43">
      <w:pPr>
        <w:jc w:val="both"/>
        <w:divId w:val="860628754"/>
        <w:rPr>
          <w:rFonts w:eastAsia="Times New Roman"/>
        </w:rPr>
      </w:pPr>
      <w:r>
        <w:rPr>
          <w:rFonts w:ascii="Arial" w:eastAsia="Times New Roman" w:hAnsi="Arial" w:cs="Arial"/>
          <w:color w:val="000000"/>
          <w:sz w:val="20"/>
          <w:szCs w:val="20"/>
        </w:rPr>
        <w:t>We record accrued interest and penalties related to unrecognized income tax benefits as income tax expense. Related to the uncertain income tax benefits noted above, for interest we recorded expense of $3.1 million, $4.6 million and $1.2 million during 202</w:t>
      </w:r>
      <w:r>
        <w:rPr>
          <w:rFonts w:ascii="Arial" w:eastAsia="Times New Roman" w:hAnsi="Arial" w:cs="Arial"/>
          <w:color w:val="000000"/>
          <w:sz w:val="20"/>
          <w:szCs w:val="20"/>
        </w:rPr>
        <w:t>0, 2019, and 2018, respectively. For penalties, we recorded expense of $0.2 million and income of $0.2 million and $1.9 million during 2020, 2019 and 2018, respectively. As of December 31, 2020 and 2019, we had recognized liabilities of $16.2 million and $</w:t>
      </w:r>
      <w:r>
        <w:rPr>
          <w:rFonts w:ascii="Arial" w:eastAsia="Times New Roman" w:hAnsi="Arial" w:cs="Arial"/>
          <w:color w:val="000000"/>
          <w:sz w:val="20"/>
          <w:szCs w:val="20"/>
        </w:rPr>
        <w:t>13.1 million for interest and $4.6 million and $4.4 million for penalties, respectively.</w:t>
      </w:r>
    </w:p>
    <w:p w14:paraId="70FE84AB" w14:textId="77777777" w:rsidR="00000000" w:rsidRDefault="00C01C43">
      <w:pPr>
        <w:jc w:val="both"/>
        <w:divId w:val="9188326"/>
        <w:rPr>
          <w:rFonts w:eastAsia="Times New Roman"/>
        </w:rPr>
      </w:pPr>
      <w:r>
        <w:rPr>
          <w:rFonts w:ascii="Arial" w:eastAsia="Times New Roman" w:hAnsi="Arial" w:cs="Arial"/>
          <w:color w:val="000000"/>
          <w:sz w:val="20"/>
          <w:szCs w:val="20"/>
        </w:rPr>
        <w:t>We have various tax returns under examination both in the U.S. and foreign jurisdictions. The most significant of these are in Denmark for the 2013 - 2015 tax years, S</w:t>
      </w:r>
      <w:r>
        <w:rPr>
          <w:rFonts w:ascii="Arial" w:eastAsia="Times New Roman" w:hAnsi="Arial" w:cs="Arial"/>
          <w:color w:val="000000"/>
          <w:sz w:val="20"/>
          <w:szCs w:val="20"/>
        </w:rPr>
        <w:t>outh Korea for the 2011 - 2014 tax years, and the U.S. for 2017 - 2018 tax years. One of our subsidiaries in Denmark has been under audit for its 2013 - 2015 tax years since 2018. In January 2021, we received final tax assessments for the 2013 and 2014 yea</w:t>
      </w:r>
      <w:r>
        <w:rPr>
          <w:rFonts w:ascii="Arial" w:eastAsia="Times New Roman" w:hAnsi="Arial" w:cs="Arial"/>
          <w:color w:val="000000"/>
          <w:sz w:val="20"/>
          <w:szCs w:val="20"/>
        </w:rPr>
        <w:t xml:space="preserve">rs of approximately $0.6 million (DKK 3.7 million) and $0.8 million (DKK 4.9 million), respectively. We believe these assessments are without merit and are currently appealing the actions. We have not yet received any proposed or final assessments related </w:t>
      </w:r>
      <w:r>
        <w:rPr>
          <w:rFonts w:ascii="Arial" w:eastAsia="Times New Roman" w:hAnsi="Arial" w:cs="Arial"/>
          <w:color w:val="000000"/>
          <w:sz w:val="20"/>
          <w:szCs w:val="20"/>
        </w:rPr>
        <w:t>to the 2015 tax year, which could be materially larger than the previous assessments if a similar methodology is applied. In 2017, the Korean Branch of one of our subsidiaries received income tax assessment notices for $10.4 million (KRW 11.3 billion) from</w:t>
      </w:r>
      <w:r>
        <w:rPr>
          <w:rFonts w:ascii="Arial" w:eastAsia="Times New Roman" w:hAnsi="Arial" w:cs="Arial"/>
          <w:color w:val="000000"/>
          <w:sz w:val="20"/>
          <w:szCs w:val="20"/>
        </w:rPr>
        <w:t xml:space="preserve"> the South Korea tax authorities. We believe that these assessments are without merit and are currently appealing the actions. In addition, in January of 2020, we received a notice of examination from the IRS for the 2017 - 2018 tax years, we continue to r</w:t>
      </w:r>
      <w:r>
        <w:rPr>
          <w:rFonts w:ascii="Arial" w:eastAsia="Times New Roman" w:hAnsi="Arial" w:cs="Arial"/>
          <w:color w:val="000000"/>
          <w:sz w:val="20"/>
          <w:szCs w:val="20"/>
        </w:rPr>
        <w:t>espond to information requests. An unfavorable resolution of one or more of the above matters could have a material adverse effect on our operating results or cash flows in the quarter or year in which the adjustments are recorded, or the tax is due or pai</w:t>
      </w:r>
      <w:r>
        <w:rPr>
          <w:rFonts w:ascii="Arial" w:eastAsia="Times New Roman" w:hAnsi="Arial" w:cs="Arial"/>
          <w:color w:val="000000"/>
          <w:sz w:val="20"/>
          <w:szCs w:val="20"/>
        </w:rPr>
        <w:t>d. As examinations are still in process, or have not yet reached the final stages of the appeals process, the timing of the ultimate resolution or payments that may be required cannot be determined at this time.</w:t>
      </w:r>
    </w:p>
    <w:p w14:paraId="6F347500" w14:textId="77777777" w:rsidR="00000000" w:rsidRDefault="00C01C43">
      <w:pPr>
        <w:jc w:val="both"/>
        <w:rPr>
          <w:rFonts w:eastAsia="Times New Roman"/>
        </w:rPr>
      </w:pPr>
      <w:r>
        <w:rPr>
          <w:rFonts w:ascii="Arial" w:eastAsia="Times New Roman" w:hAnsi="Arial" w:cs="Arial"/>
          <w:color w:val="000000"/>
          <w:sz w:val="20"/>
          <w:szCs w:val="20"/>
        </w:rPr>
        <w:t>In many cases, our uncertain tax positions a</w:t>
      </w:r>
      <w:r>
        <w:rPr>
          <w:rFonts w:ascii="Arial" w:eastAsia="Times New Roman" w:hAnsi="Arial" w:cs="Arial"/>
          <w:color w:val="000000"/>
          <w:sz w:val="20"/>
          <w:szCs w:val="20"/>
        </w:rPr>
        <w:t>re related to tax years that remain subject to examination by the relevant taxing authorities. The following table summarizes these open tax years by jurisdiction with material uncertain tax positions:</w:t>
      </w:r>
    </w:p>
    <w:tbl>
      <w:tblPr>
        <w:tblW w:w="5000" w:type="pct"/>
        <w:tblCellMar>
          <w:top w:w="15" w:type="dxa"/>
          <w:left w:w="15" w:type="dxa"/>
          <w:bottom w:w="15" w:type="dxa"/>
          <w:right w:w="15" w:type="dxa"/>
        </w:tblCellMar>
        <w:tblLook w:val="04A0" w:firstRow="1" w:lastRow="0" w:firstColumn="1" w:lastColumn="0" w:noHBand="0" w:noVBand="1"/>
      </w:tblPr>
      <w:tblGrid>
        <w:gridCol w:w="63"/>
        <w:gridCol w:w="5523"/>
        <w:gridCol w:w="36"/>
        <w:gridCol w:w="64"/>
        <w:gridCol w:w="1187"/>
        <w:gridCol w:w="37"/>
        <w:gridCol w:w="37"/>
        <w:gridCol w:w="36"/>
        <w:gridCol w:w="36"/>
        <w:gridCol w:w="63"/>
        <w:gridCol w:w="1188"/>
        <w:gridCol w:w="36"/>
      </w:tblGrid>
      <w:tr w:rsidR="00000000" w14:paraId="26E03E9F" w14:textId="77777777">
        <w:trPr>
          <w:divId w:val="188573333"/>
        </w:trPr>
        <w:tc>
          <w:tcPr>
            <w:tcW w:w="50" w:type="pct"/>
            <w:vAlign w:val="center"/>
            <w:hideMark/>
          </w:tcPr>
          <w:p w14:paraId="4A797BF5" w14:textId="77777777" w:rsidR="00000000" w:rsidRDefault="00C01C43">
            <w:pPr>
              <w:jc w:val="both"/>
              <w:rPr>
                <w:rFonts w:eastAsia="Times New Roman"/>
              </w:rPr>
            </w:pPr>
          </w:p>
        </w:tc>
        <w:tc>
          <w:tcPr>
            <w:tcW w:w="3336" w:type="pct"/>
            <w:vAlign w:val="center"/>
            <w:hideMark/>
          </w:tcPr>
          <w:p w14:paraId="319542B1" w14:textId="77777777" w:rsidR="00000000" w:rsidRDefault="00C01C43">
            <w:pPr>
              <w:rPr>
                <w:rFonts w:eastAsia="Times New Roman"/>
                <w:sz w:val="20"/>
                <w:szCs w:val="20"/>
              </w:rPr>
            </w:pPr>
          </w:p>
        </w:tc>
        <w:tc>
          <w:tcPr>
            <w:tcW w:w="5" w:type="pct"/>
            <w:vAlign w:val="center"/>
            <w:hideMark/>
          </w:tcPr>
          <w:p w14:paraId="462C4E3A" w14:textId="77777777" w:rsidR="00000000" w:rsidRDefault="00C01C43">
            <w:pPr>
              <w:rPr>
                <w:rFonts w:eastAsia="Times New Roman"/>
                <w:sz w:val="20"/>
                <w:szCs w:val="20"/>
              </w:rPr>
            </w:pPr>
          </w:p>
        </w:tc>
        <w:tc>
          <w:tcPr>
            <w:tcW w:w="50" w:type="pct"/>
            <w:vAlign w:val="center"/>
            <w:hideMark/>
          </w:tcPr>
          <w:p w14:paraId="2CC1DD50" w14:textId="77777777" w:rsidR="00000000" w:rsidRDefault="00C01C43">
            <w:pPr>
              <w:rPr>
                <w:rFonts w:eastAsia="Times New Roman"/>
                <w:sz w:val="20"/>
                <w:szCs w:val="20"/>
              </w:rPr>
            </w:pPr>
          </w:p>
        </w:tc>
        <w:tc>
          <w:tcPr>
            <w:tcW w:w="727" w:type="pct"/>
            <w:vAlign w:val="center"/>
            <w:hideMark/>
          </w:tcPr>
          <w:p w14:paraId="24542287" w14:textId="77777777" w:rsidR="00000000" w:rsidRDefault="00C01C43">
            <w:pPr>
              <w:rPr>
                <w:rFonts w:eastAsia="Times New Roman"/>
                <w:sz w:val="20"/>
                <w:szCs w:val="20"/>
              </w:rPr>
            </w:pPr>
          </w:p>
        </w:tc>
        <w:tc>
          <w:tcPr>
            <w:tcW w:w="5" w:type="pct"/>
            <w:vAlign w:val="center"/>
            <w:hideMark/>
          </w:tcPr>
          <w:p w14:paraId="4ABD4E10" w14:textId="77777777" w:rsidR="00000000" w:rsidRDefault="00C01C43">
            <w:pPr>
              <w:rPr>
                <w:rFonts w:eastAsia="Times New Roman"/>
                <w:sz w:val="20"/>
                <w:szCs w:val="20"/>
              </w:rPr>
            </w:pPr>
          </w:p>
        </w:tc>
        <w:tc>
          <w:tcPr>
            <w:tcW w:w="5" w:type="pct"/>
            <w:vAlign w:val="center"/>
            <w:hideMark/>
          </w:tcPr>
          <w:p w14:paraId="5B689E6B" w14:textId="77777777" w:rsidR="00000000" w:rsidRDefault="00C01C43">
            <w:pPr>
              <w:rPr>
                <w:rFonts w:eastAsia="Times New Roman"/>
                <w:sz w:val="20"/>
                <w:szCs w:val="20"/>
              </w:rPr>
            </w:pPr>
          </w:p>
        </w:tc>
        <w:tc>
          <w:tcPr>
            <w:tcW w:w="26" w:type="pct"/>
            <w:vAlign w:val="center"/>
            <w:hideMark/>
          </w:tcPr>
          <w:p w14:paraId="57924A35" w14:textId="77777777" w:rsidR="00000000" w:rsidRDefault="00C01C43">
            <w:pPr>
              <w:rPr>
                <w:rFonts w:eastAsia="Times New Roman"/>
                <w:sz w:val="20"/>
                <w:szCs w:val="20"/>
              </w:rPr>
            </w:pPr>
          </w:p>
        </w:tc>
        <w:tc>
          <w:tcPr>
            <w:tcW w:w="5" w:type="pct"/>
            <w:vAlign w:val="center"/>
            <w:hideMark/>
          </w:tcPr>
          <w:p w14:paraId="2235BD34" w14:textId="77777777" w:rsidR="00000000" w:rsidRDefault="00C01C43">
            <w:pPr>
              <w:rPr>
                <w:rFonts w:eastAsia="Times New Roman"/>
                <w:sz w:val="20"/>
                <w:szCs w:val="20"/>
              </w:rPr>
            </w:pPr>
          </w:p>
        </w:tc>
        <w:tc>
          <w:tcPr>
            <w:tcW w:w="50" w:type="pct"/>
            <w:vAlign w:val="center"/>
            <w:hideMark/>
          </w:tcPr>
          <w:p w14:paraId="02A84797" w14:textId="77777777" w:rsidR="00000000" w:rsidRDefault="00C01C43">
            <w:pPr>
              <w:rPr>
                <w:rFonts w:eastAsia="Times New Roman"/>
                <w:sz w:val="20"/>
                <w:szCs w:val="20"/>
              </w:rPr>
            </w:pPr>
          </w:p>
        </w:tc>
        <w:tc>
          <w:tcPr>
            <w:tcW w:w="734" w:type="pct"/>
            <w:vAlign w:val="center"/>
            <w:hideMark/>
          </w:tcPr>
          <w:p w14:paraId="0CCF1B37" w14:textId="77777777" w:rsidR="00000000" w:rsidRDefault="00C01C43">
            <w:pPr>
              <w:rPr>
                <w:rFonts w:eastAsia="Times New Roman"/>
                <w:sz w:val="20"/>
                <w:szCs w:val="20"/>
              </w:rPr>
            </w:pPr>
          </w:p>
        </w:tc>
        <w:tc>
          <w:tcPr>
            <w:tcW w:w="5" w:type="pct"/>
            <w:vAlign w:val="center"/>
            <w:hideMark/>
          </w:tcPr>
          <w:p w14:paraId="0053B8AC" w14:textId="77777777" w:rsidR="00000000" w:rsidRDefault="00C01C43">
            <w:pPr>
              <w:rPr>
                <w:rFonts w:eastAsia="Times New Roman"/>
                <w:sz w:val="20"/>
                <w:szCs w:val="20"/>
              </w:rPr>
            </w:pPr>
          </w:p>
        </w:tc>
      </w:tr>
      <w:tr w:rsidR="00000000" w14:paraId="4D2D7A48" w14:textId="77777777">
        <w:trPr>
          <w:divId w:val="188573333"/>
        </w:trPr>
        <w:tc>
          <w:tcPr>
            <w:tcW w:w="0" w:type="auto"/>
            <w:gridSpan w:val="3"/>
            <w:tcMar>
              <w:top w:w="30" w:type="dxa"/>
              <w:left w:w="20" w:type="dxa"/>
              <w:bottom w:w="30" w:type="dxa"/>
              <w:right w:w="20" w:type="dxa"/>
            </w:tcMar>
            <w:vAlign w:val="bottom"/>
            <w:hideMark/>
          </w:tcPr>
          <w:p w14:paraId="03CF216D" w14:textId="77777777" w:rsidR="00000000" w:rsidRDefault="00C01C43">
            <w:pPr>
              <w:jc w:val="cente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3C420E5B" w14:textId="77777777" w:rsidR="00000000" w:rsidRDefault="00C01C43">
            <w:pPr>
              <w:jc w:val="center"/>
              <w:rPr>
                <w:rFonts w:eastAsia="Times New Roman"/>
              </w:rPr>
            </w:pPr>
            <w:r>
              <w:rPr>
                <w:rFonts w:ascii="Arial" w:eastAsia="Times New Roman" w:hAnsi="Arial" w:cs="Arial"/>
                <w:b/>
                <w:bCs/>
                <w:color w:val="000000"/>
                <w:sz w:val="16"/>
                <w:szCs w:val="16"/>
              </w:rPr>
              <w:t>Open Tax Year</w:t>
            </w:r>
          </w:p>
        </w:tc>
      </w:tr>
      <w:tr w:rsidR="00000000" w14:paraId="22D96CDB" w14:textId="77777777">
        <w:trPr>
          <w:divId w:val="188573333"/>
        </w:trPr>
        <w:tc>
          <w:tcPr>
            <w:tcW w:w="0" w:type="auto"/>
            <w:gridSpan w:val="3"/>
            <w:tcMar>
              <w:top w:w="30" w:type="dxa"/>
              <w:left w:w="20" w:type="dxa"/>
              <w:bottom w:w="30" w:type="dxa"/>
              <w:right w:w="20" w:type="dxa"/>
            </w:tcMar>
            <w:vAlign w:val="bottom"/>
            <w:hideMark/>
          </w:tcPr>
          <w:p w14:paraId="64B90DBF" w14:textId="77777777" w:rsidR="00000000" w:rsidRDefault="00C01C43">
            <w:pPr>
              <w:jc w:val="center"/>
              <w:rPr>
                <w:rFonts w:eastAsia="Times New Roman"/>
              </w:rPr>
            </w:pPr>
            <w:r>
              <w:rPr>
                <w:rFonts w:ascii="Arial" w:eastAsia="Times New Roman" w:hAnsi="Arial" w:cs="Arial"/>
                <w:b/>
                <w:bCs/>
                <w:color w:val="000000"/>
                <w:sz w:val="16"/>
                <w:szCs w:val="16"/>
              </w:rPr>
              <w:t>Jurisdiction</w:t>
            </w:r>
          </w:p>
        </w:tc>
        <w:tc>
          <w:tcPr>
            <w:tcW w:w="0" w:type="auto"/>
            <w:gridSpan w:val="3"/>
            <w:tcBorders>
              <w:top w:val="single" w:sz="8" w:space="0" w:color="000000"/>
            </w:tcBorders>
            <w:tcMar>
              <w:top w:w="30" w:type="dxa"/>
              <w:left w:w="20" w:type="dxa"/>
              <w:bottom w:w="30" w:type="dxa"/>
              <w:right w:w="20" w:type="dxa"/>
            </w:tcMar>
            <w:vAlign w:val="bottom"/>
            <w:hideMark/>
          </w:tcPr>
          <w:p w14:paraId="2A514050" w14:textId="77777777" w:rsidR="00000000" w:rsidRDefault="00C01C43">
            <w:pPr>
              <w:jc w:val="center"/>
              <w:rPr>
                <w:rFonts w:eastAsia="Times New Roman"/>
              </w:rPr>
            </w:pPr>
            <w:r>
              <w:rPr>
                <w:rFonts w:ascii="Arial" w:eastAsia="Times New Roman" w:hAnsi="Arial" w:cs="Arial"/>
                <w:b/>
                <w:bCs/>
                <w:color w:val="000000"/>
                <w:sz w:val="16"/>
                <w:szCs w:val="16"/>
              </w:rPr>
              <w:t>Examination</w:t>
            </w:r>
            <w:r>
              <w:rPr>
                <w:rFonts w:ascii="Arial" w:eastAsia="Times New Roman" w:hAnsi="Arial" w:cs="Arial"/>
                <w:b/>
                <w:bCs/>
                <w:color w:val="000000"/>
                <w:sz w:val="16"/>
                <w:szCs w:val="16"/>
              </w:rPr>
              <w:br/>
              <w:t>in progress</w:t>
            </w:r>
          </w:p>
        </w:tc>
        <w:tc>
          <w:tcPr>
            <w:tcW w:w="0" w:type="auto"/>
            <w:gridSpan w:val="3"/>
            <w:tcBorders>
              <w:top w:val="single" w:sz="8" w:space="0" w:color="000000"/>
            </w:tcBorders>
            <w:tcMar>
              <w:top w:w="0" w:type="dxa"/>
              <w:left w:w="20" w:type="dxa"/>
              <w:bottom w:w="0" w:type="dxa"/>
              <w:right w:w="20" w:type="dxa"/>
            </w:tcMar>
            <w:vAlign w:val="center"/>
            <w:hideMark/>
          </w:tcPr>
          <w:p w14:paraId="0A1D146F"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A591DC" w14:textId="77777777" w:rsidR="00000000" w:rsidRDefault="00C01C43">
            <w:pPr>
              <w:jc w:val="center"/>
              <w:rPr>
                <w:rFonts w:eastAsia="Times New Roman"/>
              </w:rPr>
            </w:pPr>
            <w:r>
              <w:rPr>
                <w:rFonts w:ascii="Arial" w:eastAsia="Times New Roman" w:hAnsi="Arial" w:cs="Arial"/>
                <w:b/>
                <w:bCs/>
                <w:color w:val="000000"/>
                <w:sz w:val="16"/>
                <w:szCs w:val="16"/>
              </w:rPr>
              <w:t>Examination not</w:t>
            </w:r>
            <w:r>
              <w:rPr>
                <w:rFonts w:ascii="Arial" w:eastAsia="Times New Roman" w:hAnsi="Arial" w:cs="Arial"/>
                <w:b/>
                <w:bCs/>
                <w:color w:val="000000"/>
                <w:sz w:val="16"/>
                <w:szCs w:val="16"/>
              </w:rPr>
              <w:br/>
              <w:t>yet initiated</w:t>
            </w:r>
          </w:p>
        </w:tc>
      </w:tr>
      <w:tr w:rsidR="00000000" w14:paraId="6DDF0CE4" w14:textId="77777777">
        <w:trPr>
          <w:divId w:val="18857333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31CF6D" w14:textId="77777777" w:rsidR="00000000" w:rsidRDefault="00C01C43">
            <w:pPr>
              <w:rPr>
                <w:rFonts w:eastAsia="Times New Roman"/>
              </w:rPr>
            </w:pPr>
            <w:r>
              <w:rPr>
                <w:rFonts w:ascii="Arial" w:eastAsia="Times New Roman" w:hAnsi="Arial" w:cs="Arial"/>
                <w:color w:val="000000"/>
                <w:sz w:val="20"/>
                <w:szCs w:val="20"/>
              </w:rPr>
              <w:t>Denmark</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3EF2F1D" w14:textId="77777777" w:rsidR="00000000" w:rsidRDefault="00C01C43">
            <w:pPr>
              <w:jc w:val="right"/>
              <w:rPr>
                <w:rFonts w:eastAsia="Times New Roman"/>
              </w:rPr>
            </w:pPr>
            <w:r>
              <w:rPr>
                <w:rFonts w:ascii="Arial" w:eastAsia="Times New Roman" w:hAnsi="Arial" w:cs="Arial"/>
                <w:color w:val="000000"/>
                <w:sz w:val="20"/>
                <w:szCs w:val="20"/>
              </w:rPr>
              <w:t>2013 - 2015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EF2CF2"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79C2FB4" w14:textId="77777777" w:rsidR="00000000" w:rsidRDefault="00C01C43">
            <w:pPr>
              <w:jc w:val="right"/>
              <w:rPr>
                <w:rFonts w:eastAsia="Times New Roman"/>
              </w:rPr>
            </w:pPr>
            <w:r>
              <w:rPr>
                <w:rFonts w:ascii="Arial" w:eastAsia="Times New Roman" w:hAnsi="Arial" w:cs="Arial"/>
                <w:color w:val="000000"/>
                <w:sz w:val="20"/>
                <w:szCs w:val="20"/>
              </w:rPr>
              <w:t>2016 - 2020</w:t>
            </w:r>
          </w:p>
        </w:tc>
      </w:tr>
      <w:tr w:rsidR="00000000" w14:paraId="319BE9C2" w14:textId="77777777">
        <w:trPr>
          <w:divId w:val="188573333"/>
        </w:trPr>
        <w:tc>
          <w:tcPr>
            <w:tcW w:w="0" w:type="auto"/>
            <w:gridSpan w:val="3"/>
            <w:shd w:val="clear" w:color="auto" w:fill="FFFFFF"/>
            <w:tcMar>
              <w:top w:w="30" w:type="dxa"/>
              <w:left w:w="20" w:type="dxa"/>
              <w:bottom w:w="30" w:type="dxa"/>
              <w:right w:w="20" w:type="dxa"/>
            </w:tcMar>
            <w:vAlign w:val="bottom"/>
            <w:hideMark/>
          </w:tcPr>
          <w:p w14:paraId="20FE7460" w14:textId="77777777" w:rsidR="00000000" w:rsidRDefault="00C01C43">
            <w:pPr>
              <w:rPr>
                <w:rFonts w:eastAsia="Times New Roman"/>
              </w:rPr>
            </w:pPr>
            <w:r>
              <w:rPr>
                <w:rFonts w:ascii="Arial" w:eastAsia="Times New Roman" w:hAnsi="Arial" w:cs="Arial"/>
                <w:color w:val="000000"/>
                <w:sz w:val="20"/>
                <w:szCs w:val="20"/>
              </w:rPr>
              <w:t>South Korea</w:t>
            </w:r>
          </w:p>
        </w:tc>
        <w:tc>
          <w:tcPr>
            <w:tcW w:w="0" w:type="auto"/>
            <w:gridSpan w:val="3"/>
            <w:shd w:val="clear" w:color="auto" w:fill="FFFFFF"/>
            <w:tcMar>
              <w:top w:w="30" w:type="dxa"/>
              <w:left w:w="20" w:type="dxa"/>
              <w:bottom w:w="30" w:type="dxa"/>
              <w:right w:w="20" w:type="dxa"/>
            </w:tcMar>
            <w:vAlign w:val="bottom"/>
            <w:hideMark/>
          </w:tcPr>
          <w:p w14:paraId="5CC34FEE" w14:textId="77777777" w:rsidR="00000000" w:rsidRDefault="00C01C43">
            <w:pPr>
              <w:jc w:val="right"/>
              <w:rPr>
                <w:rFonts w:eastAsia="Times New Roman"/>
              </w:rPr>
            </w:pPr>
            <w:r>
              <w:rPr>
                <w:rFonts w:ascii="Arial" w:eastAsia="Times New Roman" w:hAnsi="Arial" w:cs="Arial"/>
                <w:color w:val="000000"/>
                <w:sz w:val="20"/>
                <w:szCs w:val="20"/>
              </w:rPr>
              <w:t>2011 - 2014</w:t>
            </w:r>
          </w:p>
        </w:tc>
        <w:tc>
          <w:tcPr>
            <w:tcW w:w="0" w:type="auto"/>
            <w:gridSpan w:val="3"/>
            <w:shd w:val="clear" w:color="auto" w:fill="FFFFFF"/>
            <w:tcMar>
              <w:top w:w="0" w:type="dxa"/>
              <w:left w:w="20" w:type="dxa"/>
              <w:bottom w:w="0" w:type="dxa"/>
              <w:right w:w="20" w:type="dxa"/>
            </w:tcMar>
            <w:vAlign w:val="center"/>
            <w:hideMark/>
          </w:tcPr>
          <w:p w14:paraId="4BDE3B1F" w14:textId="77777777" w:rsidR="00000000" w:rsidRDefault="00C01C4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78EF00D" w14:textId="77777777" w:rsidR="00000000" w:rsidRDefault="00C01C43">
            <w:pPr>
              <w:jc w:val="right"/>
              <w:rPr>
                <w:rFonts w:eastAsia="Times New Roman"/>
              </w:rPr>
            </w:pPr>
            <w:r>
              <w:rPr>
                <w:rFonts w:ascii="Arial" w:eastAsia="Times New Roman" w:hAnsi="Arial" w:cs="Arial"/>
                <w:color w:val="000000"/>
                <w:sz w:val="20"/>
                <w:szCs w:val="20"/>
              </w:rPr>
              <w:t>2015 - 2020</w:t>
            </w:r>
          </w:p>
        </w:tc>
      </w:tr>
      <w:tr w:rsidR="00000000" w14:paraId="15DAECCE" w14:textId="77777777">
        <w:trPr>
          <w:divId w:val="188573333"/>
        </w:trPr>
        <w:tc>
          <w:tcPr>
            <w:tcW w:w="0" w:type="auto"/>
            <w:gridSpan w:val="3"/>
            <w:shd w:val="clear" w:color="auto" w:fill="CCEEFF"/>
            <w:tcMar>
              <w:top w:w="30" w:type="dxa"/>
              <w:left w:w="20" w:type="dxa"/>
              <w:bottom w:w="30" w:type="dxa"/>
              <w:right w:w="20" w:type="dxa"/>
            </w:tcMar>
            <w:vAlign w:val="bottom"/>
            <w:hideMark/>
          </w:tcPr>
          <w:p w14:paraId="45637272" w14:textId="77777777" w:rsidR="00000000" w:rsidRDefault="00C01C43">
            <w:pPr>
              <w:rPr>
                <w:rFonts w:eastAsia="Times New Roman"/>
              </w:rPr>
            </w:pPr>
            <w:r>
              <w:rPr>
                <w:rFonts w:ascii="Arial" w:eastAsia="Times New Roman" w:hAnsi="Arial" w:cs="Arial"/>
                <w:color w:val="000000"/>
                <w:sz w:val="20"/>
                <w:szCs w:val="20"/>
              </w:rPr>
              <w:t>Greece</w:t>
            </w:r>
          </w:p>
        </w:tc>
        <w:tc>
          <w:tcPr>
            <w:tcW w:w="0" w:type="auto"/>
            <w:gridSpan w:val="3"/>
            <w:shd w:val="clear" w:color="auto" w:fill="CCEEFF"/>
            <w:tcMar>
              <w:top w:w="30" w:type="dxa"/>
              <w:left w:w="20" w:type="dxa"/>
              <w:bottom w:w="30" w:type="dxa"/>
              <w:right w:w="20" w:type="dxa"/>
            </w:tcMar>
            <w:vAlign w:val="bottom"/>
            <w:hideMark/>
          </w:tcPr>
          <w:p w14:paraId="132A5762" w14:textId="77777777" w:rsidR="00000000" w:rsidRDefault="00C01C43">
            <w:pPr>
              <w:jc w:val="right"/>
              <w:rPr>
                <w:rFonts w:eastAsia="Times New Roman"/>
              </w:rPr>
            </w:pPr>
            <w:r>
              <w:rPr>
                <w:rFonts w:ascii="Arial" w:eastAsia="Times New Roman" w:hAnsi="Arial" w:cs="Arial"/>
                <w:color w:val="000000"/>
                <w:sz w:val="20"/>
                <w:szCs w:val="20"/>
              </w:rPr>
              <w:t>None</w:t>
            </w:r>
          </w:p>
        </w:tc>
        <w:tc>
          <w:tcPr>
            <w:tcW w:w="0" w:type="auto"/>
            <w:gridSpan w:val="3"/>
            <w:shd w:val="clear" w:color="auto" w:fill="CCEEFF"/>
            <w:tcMar>
              <w:top w:w="0" w:type="dxa"/>
              <w:left w:w="20" w:type="dxa"/>
              <w:bottom w:w="0" w:type="dxa"/>
              <w:right w:w="20" w:type="dxa"/>
            </w:tcMar>
            <w:vAlign w:val="center"/>
            <w:hideMark/>
          </w:tcPr>
          <w:p w14:paraId="5A670784" w14:textId="77777777" w:rsidR="00000000" w:rsidRDefault="00C01C4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D9846A5" w14:textId="77777777" w:rsidR="00000000" w:rsidRDefault="00C01C43">
            <w:pPr>
              <w:jc w:val="right"/>
              <w:rPr>
                <w:rFonts w:eastAsia="Times New Roman"/>
              </w:rPr>
            </w:pPr>
            <w:r>
              <w:rPr>
                <w:rFonts w:ascii="Arial" w:eastAsia="Times New Roman" w:hAnsi="Arial" w:cs="Arial"/>
                <w:color w:val="000000"/>
                <w:sz w:val="20"/>
                <w:szCs w:val="20"/>
              </w:rPr>
              <w:t>2016 - 2020</w:t>
            </w:r>
          </w:p>
        </w:tc>
      </w:tr>
      <w:tr w:rsidR="00000000" w14:paraId="3C824D5C" w14:textId="77777777">
        <w:trPr>
          <w:divId w:val="188573333"/>
        </w:trPr>
        <w:tc>
          <w:tcPr>
            <w:tcW w:w="0" w:type="auto"/>
            <w:gridSpan w:val="3"/>
            <w:tcBorders>
              <w:bottom w:val="double" w:sz="6" w:space="0" w:color="000000"/>
            </w:tcBorders>
            <w:shd w:val="clear" w:color="auto" w:fill="FFFFFF"/>
            <w:tcMar>
              <w:top w:w="30" w:type="dxa"/>
              <w:left w:w="20" w:type="dxa"/>
              <w:bottom w:w="30" w:type="dxa"/>
              <w:right w:w="20" w:type="dxa"/>
            </w:tcMar>
            <w:vAlign w:val="bottom"/>
            <w:hideMark/>
          </w:tcPr>
          <w:p w14:paraId="0ABB4B8B" w14:textId="77777777" w:rsidR="00000000" w:rsidRDefault="00C01C43">
            <w:pPr>
              <w:rPr>
                <w:rFonts w:eastAsia="Times New Roman"/>
              </w:rPr>
            </w:pPr>
            <w:r>
              <w:rPr>
                <w:rFonts w:ascii="Arial" w:eastAsia="Times New Roman" w:hAnsi="Arial" w:cs="Arial"/>
                <w:color w:val="000000"/>
                <w:sz w:val="20"/>
                <w:szCs w:val="20"/>
              </w:rPr>
              <w:t>Other non-U.S.</w:t>
            </w:r>
          </w:p>
        </w:tc>
        <w:tc>
          <w:tcPr>
            <w:tcW w:w="0" w:type="auto"/>
            <w:gridSpan w:val="3"/>
            <w:tcBorders>
              <w:bottom w:val="double" w:sz="6" w:space="0" w:color="000000"/>
            </w:tcBorders>
            <w:shd w:val="clear" w:color="auto" w:fill="FFFFFF"/>
            <w:tcMar>
              <w:top w:w="30" w:type="dxa"/>
              <w:left w:w="20" w:type="dxa"/>
              <w:bottom w:w="30" w:type="dxa"/>
              <w:right w:w="20" w:type="dxa"/>
            </w:tcMar>
            <w:vAlign w:val="bottom"/>
            <w:hideMark/>
          </w:tcPr>
          <w:p w14:paraId="4E4DC985" w14:textId="77777777" w:rsidR="00000000" w:rsidRDefault="00C01C43">
            <w:pPr>
              <w:jc w:val="right"/>
              <w:rPr>
                <w:rFonts w:eastAsia="Times New Roman"/>
              </w:rPr>
            </w:pPr>
            <w:r>
              <w:rPr>
                <w:rFonts w:ascii="Arial" w:eastAsia="Times New Roman" w:hAnsi="Arial" w:cs="Arial"/>
                <w:color w:val="000000"/>
                <w:sz w:val="20"/>
                <w:szCs w:val="20"/>
              </w:rPr>
              <w:t>None</w:t>
            </w: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1938CBBC" w14:textId="77777777" w:rsidR="00000000" w:rsidRDefault="00C01C43">
            <w:pPr>
              <w:jc w:val="right"/>
              <w:rPr>
                <w:rFonts w:eastAsia="Times New Roman"/>
              </w:rPr>
            </w:pPr>
          </w:p>
        </w:tc>
        <w:tc>
          <w:tcPr>
            <w:tcW w:w="0" w:type="auto"/>
            <w:gridSpan w:val="3"/>
            <w:tcBorders>
              <w:bottom w:val="double" w:sz="6" w:space="0" w:color="000000"/>
            </w:tcBorders>
            <w:shd w:val="clear" w:color="auto" w:fill="FFFFFF"/>
            <w:tcMar>
              <w:top w:w="30" w:type="dxa"/>
              <w:left w:w="20" w:type="dxa"/>
              <w:bottom w:w="30" w:type="dxa"/>
              <w:right w:w="20" w:type="dxa"/>
            </w:tcMar>
            <w:vAlign w:val="bottom"/>
            <w:hideMark/>
          </w:tcPr>
          <w:p w14:paraId="32ECABA9" w14:textId="77777777" w:rsidR="00000000" w:rsidRDefault="00C01C43">
            <w:pPr>
              <w:jc w:val="right"/>
              <w:rPr>
                <w:rFonts w:eastAsia="Times New Roman"/>
              </w:rPr>
            </w:pPr>
            <w:r>
              <w:rPr>
                <w:rFonts w:ascii="Arial" w:eastAsia="Times New Roman" w:hAnsi="Arial" w:cs="Arial"/>
                <w:color w:val="000000"/>
                <w:sz w:val="20"/>
                <w:szCs w:val="20"/>
              </w:rPr>
              <w:t>2014 - 2020</w:t>
            </w:r>
          </w:p>
        </w:tc>
      </w:tr>
    </w:tbl>
    <w:p w14:paraId="6DDE8987" w14:textId="77777777" w:rsidR="00000000" w:rsidRDefault="00C01C43">
      <w:pPr>
        <w:divId w:val="450364205"/>
        <w:rPr>
          <w:rFonts w:eastAsia="Times New Roman"/>
        </w:rPr>
      </w:pPr>
    </w:p>
    <w:p w14:paraId="0D4EE859" w14:textId="77777777" w:rsidR="00000000" w:rsidRDefault="00C01C43">
      <w:pPr>
        <w:divId w:val="1541475898"/>
        <w:rPr>
          <w:rFonts w:eastAsia="Times New Roman"/>
        </w:rPr>
      </w:pPr>
    </w:p>
    <w:p w14:paraId="27344BD1" w14:textId="77777777" w:rsidR="00000000" w:rsidRDefault="00C01C43">
      <w:pPr>
        <w:jc w:val="center"/>
        <w:divId w:val="1094015403"/>
        <w:rPr>
          <w:rFonts w:eastAsia="Times New Roman"/>
        </w:rPr>
      </w:pPr>
      <w:r>
        <w:rPr>
          <w:rFonts w:ascii="Arial" w:eastAsia="Times New Roman" w:hAnsi="Arial" w:cs="Arial"/>
          <w:color w:val="000000"/>
          <w:sz w:val="16"/>
          <w:szCs w:val="16"/>
        </w:rPr>
        <w:t>82</w:t>
      </w:r>
    </w:p>
    <w:p w14:paraId="1C4D4E38" w14:textId="77777777" w:rsidR="00000000" w:rsidRDefault="00C01C43">
      <w:pPr>
        <w:rPr>
          <w:rFonts w:eastAsia="Times New Roman"/>
        </w:rPr>
      </w:pPr>
      <w:r>
        <w:rPr>
          <w:rFonts w:eastAsia="Times New Roman"/>
        </w:rPr>
        <w:pict w14:anchorId="6EFAE061">
          <v:rect id="_x0000_i1111" style="width:0;height:1.5pt" o:hralign="center" o:hrstd="t" o:hr="t" fillcolor="#a0a0a0" stroked="f"/>
        </w:pict>
      </w:r>
    </w:p>
    <w:p w14:paraId="5CBE8426" w14:textId="77777777" w:rsidR="00000000" w:rsidRDefault="00C01C43">
      <w:pPr>
        <w:divId w:val="202518688"/>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3E07C6D" w14:textId="77777777" w:rsidR="00000000" w:rsidRDefault="00C01C43">
      <w:pPr>
        <w:jc w:val="both"/>
        <w:divId w:val="213082895"/>
        <w:rPr>
          <w:rFonts w:eastAsia="Times New Roman"/>
        </w:rPr>
      </w:pPr>
      <w:r>
        <w:rPr>
          <w:rFonts w:ascii="Arial" w:eastAsia="Times New Roman" w:hAnsi="Arial" w:cs="Arial"/>
          <w:b/>
          <w:bCs/>
          <w:color w:val="000000"/>
          <w:sz w:val="20"/>
          <w:szCs w:val="20"/>
        </w:rPr>
        <w:t>12. Fair Value Measurements</w:t>
      </w:r>
    </w:p>
    <w:p w14:paraId="2612142D" w14:textId="77777777" w:rsidR="00000000" w:rsidRDefault="00C01C43">
      <w:pPr>
        <w:jc w:val="both"/>
        <w:divId w:val="1460225028"/>
        <w:rPr>
          <w:rFonts w:eastAsia="Times New Roman"/>
        </w:rPr>
      </w:pPr>
      <w:r>
        <w:rPr>
          <w:rFonts w:ascii="Arial" w:eastAsia="Times New Roman" w:hAnsi="Arial" w:cs="Arial"/>
          <w:color w:val="000000"/>
          <w:sz w:val="20"/>
          <w:szCs w:val="20"/>
        </w:rPr>
        <w:t xml:space="preserve">The carrying amounts of cash and cash equivalents, net accounts receivable, accounts payable and accrued expenses and other current liabilities approximate fair value based on the short-term maturities of these instruments. The carrying values of our debt </w:t>
      </w:r>
      <w:r>
        <w:rPr>
          <w:rFonts w:ascii="Arial" w:eastAsia="Times New Roman" w:hAnsi="Arial" w:cs="Arial"/>
          <w:color w:val="000000"/>
          <w:sz w:val="20"/>
          <w:szCs w:val="20"/>
        </w:rPr>
        <w:t>and notes receivable approximate fair value since these instruments bear interest either at variable rates or fixed rates which are not significantly different from market rates. Based on the fair value hierarchy, our total debt of $524.7 million and $628.</w:t>
      </w:r>
      <w:r>
        <w:rPr>
          <w:rFonts w:ascii="Arial" w:eastAsia="Times New Roman" w:hAnsi="Arial" w:cs="Arial"/>
          <w:color w:val="000000"/>
          <w:sz w:val="20"/>
          <w:szCs w:val="20"/>
        </w:rPr>
        <w:t>8 million as of December 31, 2020 and 2019, respectively, and our notes receivable of $45.7 million and $21.0 million as of December 31, 2020 and 2019, respectively are categorized in Level 2.</w:t>
      </w:r>
    </w:p>
    <w:p w14:paraId="1E9CCD21" w14:textId="77777777" w:rsidR="00000000" w:rsidRDefault="00C01C43">
      <w:pPr>
        <w:jc w:val="both"/>
        <w:divId w:val="1677078103"/>
        <w:rPr>
          <w:rFonts w:eastAsia="Times New Roman"/>
        </w:rPr>
      </w:pPr>
      <w:r>
        <w:rPr>
          <w:rFonts w:ascii="Arial" w:eastAsia="Times New Roman" w:hAnsi="Arial" w:cs="Arial"/>
          <w:b/>
          <w:bCs/>
          <w:color w:val="000000"/>
          <w:sz w:val="20"/>
          <w:szCs w:val="20"/>
        </w:rPr>
        <w:t>Recurring Fair Value Measurements</w:t>
      </w:r>
    </w:p>
    <w:p w14:paraId="0076291C" w14:textId="77777777" w:rsidR="00000000" w:rsidRDefault="00C01C43">
      <w:pPr>
        <w:jc w:val="both"/>
        <w:divId w:val="1675064577"/>
        <w:rPr>
          <w:rFonts w:eastAsia="Times New Roman"/>
        </w:rPr>
      </w:pPr>
      <w:r>
        <w:rPr>
          <w:rFonts w:ascii="Arial" w:eastAsia="Times New Roman" w:hAnsi="Arial" w:cs="Arial"/>
          <w:color w:val="000000"/>
          <w:sz w:val="20"/>
          <w:szCs w:val="20"/>
        </w:rPr>
        <w:t xml:space="preserve">The following table presents </w:t>
      </w:r>
      <w:r>
        <w:rPr>
          <w:rFonts w:ascii="Arial" w:eastAsia="Times New Roman" w:hAnsi="Arial" w:cs="Arial"/>
          <w:color w:val="000000"/>
          <w:sz w:val="20"/>
          <w:szCs w:val="20"/>
        </w:rPr>
        <w:t>information about our gross assets and liabilities that are measured at fair value on a recurring basis as of December 31, 2020 and 2019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459"/>
        <w:gridCol w:w="36"/>
        <w:gridCol w:w="36"/>
        <w:gridCol w:w="36"/>
        <w:gridCol w:w="36"/>
        <w:gridCol w:w="132"/>
        <w:gridCol w:w="617"/>
        <w:gridCol w:w="36"/>
        <w:gridCol w:w="36"/>
        <w:gridCol w:w="36"/>
        <w:gridCol w:w="36"/>
        <w:gridCol w:w="132"/>
        <w:gridCol w:w="617"/>
        <w:gridCol w:w="36"/>
        <w:gridCol w:w="36"/>
        <w:gridCol w:w="36"/>
        <w:gridCol w:w="36"/>
        <w:gridCol w:w="133"/>
        <w:gridCol w:w="618"/>
        <w:gridCol w:w="37"/>
        <w:gridCol w:w="36"/>
        <w:gridCol w:w="36"/>
        <w:gridCol w:w="36"/>
        <w:gridCol w:w="132"/>
        <w:gridCol w:w="790"/>
        <w:gridCol w:w="36"/>
      </w:tblGrid>
      <w:tr w:rsidR="00000000" w14:paraId="14BB64D5" w14:textId="77777777">
        <w:trPr>
          <w:divId w:val="1010369677"/>
        </w:trPr>
        <w:tc>
          <w:tcPr>
            <w:tcW w:w="50" w:type="pct"/>
            <w:vAlign w:val="center"/>
            <w:hideMark/>
          </w:tcPr>
          <w:p w14:paraId="5013BA8A" w14:textId="77777777" w:rsidR="00000000" w:rsidRDefault="00C01C43">
            <w:pPr>
              <w:jc w:val="both"/>
              <w:rPr>
                <w:rFonts w:eastAsia="Times New Roman"/>
              </w:rPr>
            </w:pPr>
          </w:p>
        </w:tc>
        <w:tc>
          <w:tcPr>
            <w:tcW w:w="2730" w:type="pct"/>
            <w:vAlign w:val="center"/>
            <w:hideMark/>
          </w:tcPr>
          <w:p w14:paraId="1FE80FC9" w14:textId="77777777" w:rsidR="00000000" w:rsidRDefault="00C01C43">
            <w:pPr>
              <w:rPr>
                <w:rFonts w:eastAsia="Times New Roman"/>
                <w:sz w:val="20"/>
                <w:szCs w:val="20"/>
              </w:rPr>
            </w:pPr>
          </w:p>
        </w:tc>
        <w:tc>
          <w:tcPr>
            <w:tcW w:w="5" w:type="pct"/>
            <w:vAlign w:val="center"/>
            <w:hideMark/>
          </w:tcPr>
          <w:p w14:paraId="24B2542F" w14:textId="77777777" w:rsidR="00000000" w:rsidRDefault="00C01C43">
            <w:pPr>
              <w:rPr>
                <w:rFonts w:eastAsia="Times New Roman"/>
                <w:sz w:val="20"/>
                <w:szCs w:val="20"/>
              </w:rPr>
            </w:pPr>
          </w:p>
        </w:tc>
        <w:tc>
          <w:tcPr>
            <w:tcW w:w="5" w:type="pct"/>
            <w:vAlign w:val="center"/>
            <w:hideMark/>
          </w:tcPr>
          <w:p w14:paraId="68545175" w14:textId="77777777" w:rsidR="00000000" w:rsidRDefault="00C01C43">
            <w:pPr>
              <w:rPr>
                <w:rFonts w:eastAsia="Times New Roman"/>
                <w:sz w:val="20"/>
                <w:szCs w:val="20"/>
              </w:rPr>
            </w:pPr>
          </w:p>
        </w:tc>
        <w:tc>
          <w:tcPr>
            <w:tcW w:w="26" w:type="pct"/>
            <w:vAlign w:val="center"/>
            <w:hideMark/>
          </w:tcPr>
          <w:p w14:paraId="05C5F32A" w14:textId="77777777" w:rsidR="00000000" w:rsidRDefault="00C01C43">
            <w:pPr>
              <w:rPr>
                <w:rFonts w:eastAsia="Times New Roman"/>
                <w:sz w:val="20"/>
                <w:szCs w:val="20"/>
              </w:rPr>
            </w:pPr>
          </w:p>
        </w:tc>
        <w:tc>
          <w:tcPr>
            <w:tcW w:w="5" w:type="pct"/>
            <w:vAlign w:val="center"/>
            <w:hideMark/>
          </w:tcPr>
          <w:p w14:paraId="160E36D3" w14:textId="77777777" w:rsidR="00000000" w:rsidRDefault="00C01C43">
            <w:pPr>
              <w:rPr>
                <w:rFonts w:eastAsia="Times New Roman"/>
                <w:sz w:val="20"/>
                <w:szCs w:val="20"/>
              </w:rPr>
            </w:pPr>
          </w:p>
        </w:tc>
        <w:tc>
          <w:tcPr>
            <w:tcW w:w="50" w:type="pct"/>
            <w:vAlign w:val="center"/>
            <w:hideMark/>
          </w:tcPr>
          <w:p w14:paraId="3A5A08B5" w14:textId="77777777" w:rsidR="00000000" w:rsidRDefault="00C01C43">
            <w:pPr>
              <w:rPr>
                <w:rFonts w:eastAsia="Times New Roman"/>
                <w:sz w:val="20"/>
                <w:szCs w:val="20"/>
              </w:rPr>
            </w:pPr>
          </w:p>
        </w:tc>
        <w:tc>
          <w:tcPr>
            <w:tcW w:w="436" w:type="pct"/>
            <w:vAlign w:val="center"/>
            <w:hideMark/>
          </w:tcPr>
          <w:p w14:paraId="2B0CC93E" w14:textId="77777777" w:rsidR="00000000" w:rsidRDefault="00C01C43">
            <w:pPr>
              <w:rPr>
                <w:rFonts w:eastAsia="Times New Roman"/>
                <w:sz w:val="20"/>
                <w:szCs w:val="20"/>
              </w:rPr>
            </w:pPr>
          </w:p>
        </w:tc>
        <w:tc>
          <w:tcPr>
            <w:tcW w:w="5" w:type="pct"/>
            <w:vAlign w:val="center"/>
            <w:hideMark/>
          </w:tcPr>
          <w:p w14:paraId="24911FEC" w14:textId="77777777" w:rsidR="00000000" w:rsidRDefault="00C01C43">
            <w:pPr>
              <w:rPr>
                <w:rFonts w:eastAsia="Times New Roman"/>
                <w:sz w:val="20"/>
                <w:szCs w:val="20"/>
              </w:rPr>
            </w:pPr>
          </w:p>
        </w:tc>
        <w:tc>
          <w:tcPr>
            <w:tcW w:w="5" w:type="pct"/>
            <w:vAlign w:val="center"/>
            <w:hideMark/>
          </w:tcPr>
          <w:p w14:paraId="6E8276C0" w14:textId="77777777" w:rsidR="00000000" w:rsidRDefault="00C01C43">
            <w:pPr>
              <w:rPr>
                <w:rFonts w:eastAsia="Times New Roman"/>
                <w:sz w:val="20"/>
                <w:szCs w:val="20"/>
              </w:rPr>
            </w:pPr>
          </w:p>
        </w:tc>
        <w:tc>
          <w:tcPr>
            <w:tcW w:w="26" w:type="pct"/>
            <w:vAlign w:val="center"/>
            <w:hideMark/>
          </w:tcPr>
          <w:p w14:paraId="1E1291AC" w14:textId="77777777" w:rsidR="00000000" w:rsidRDefault="00C01C43">
            <w:pPr>
              <w:rPr>
                <w:rFonts w:eastAsia="Times New Roman"/>
                <w:sz w:val="20"/>
                <w:szCs w:val="20"/>
              </w:rPr>
            </w:pPr>
          </w:p>
        </w:tc>
        <w:tc>
          <w:tcPr>
            <w:tcW w:w="5" w:type="pct"/>
            <w:vAlign w:val="center"/>
            <w:hideMark/>
          </w:tcPr>
          <w:p w14:paraId="496B38F1" w14:textId="77777777" w:rsidR="00000000" w:rsidRDefault="00C01C43">
            <w:pPr>
              <w:rPr>
                <w:rFonts w:eastAsia="Times New Roman"/>
                <w:sz w:val="20"/>
                <w:szCs w:val="20"/>
              </w:rPr>
            </w:pPr>
          </w:p>
        </w:tc>
        <w:tc>
          <w:tcPr>
            <w:tcW w:w="50" w:type="pct"/>
            <w:vAlign w:val="center"/>
            <w:hideMark/>
          </w:tcPr>
          <w:p w14:paraId="31745E01" w14:textId="77777777" w:rsidR="00000000" w:rsidRDefault="00C01C43">
            <w:pPr>
              <w:rPr>
                <w:rFonts w:eastAsia="Times New Roman"/>
                <w:sz w:val="20"/>
                <w:szCs w:val="20"/>
              </w:rPr>
            </w:pPr>
          </w:p>
        </w:tc>
        <w:tc>
          <w:tcPr>
            <w:tcW w:w="436" w:type="pct"/>
            <w:vAlign w:val="center"/>
            <w:hideMark/>
          </w:tcPr>
          <w:p w14:paraId="584707C8" w14:textId="77777777" w:rsidR="00000000" w:rsidRDefault="00C01C43">
            <w:pPr>
              <w:rPr>
                <w:rFonts w:eastAsia="Times New Roman"/>
                <w:sz w:val="20"/>
                <w:szCs w:val="20"/>
              </w:rPr>
            </w:pPr>
          </w:p>
        </w:tc>
        <w:tc>
          <w:tcPr>
            <w:tcW w:w="5" w:type="pct"/>
            <w:vAlign w:val="center"/>
            <w:hideMark/>
          </w:tcPr>
          <w:p w14:paraId="38025F12" w14:textId="77777777" w:rsidR="00000000" w:rsidRDefault="00C01C43">
            <w:pPr>
              <w:rPr>
                <w:rFonts w:eastAsia="Times New Roman"/>
                <w:sz w:val="20"/>
                <w:szCs w:val="20"/>
              </w:rPr>
            </w:pPr>
          </w:p>
        </w:tc>
        <w:tc>
          <w:tcPr>
            <w:tcW w:w="5" w:type="pct"/>
            <w:vAlign w:val="center"/>
            <w:hideMark/>
          </w:tcPr>
          <w:p w14:paraId="4E060018" w14:textId="77777777" w:rsidR="00000000" w:rsidRDefault="00C01C43">
            <w:pPr>
              <w:rPr>
                <w:rFonts w:eastAsia="Times New Roman"/>
                <w:sz w:val="20"/>
                <w:szCs w:val="20"/>
              </w:rPr>
            </w:pPr>
          </w:p>
        </w:tc>
        <w:tc>
          <w:tcPr>
            <w:tcW w:w="26" w:type="pct"/>
            <w:vAlign w:val="center"/>
            <w:hideMark/>
          </w:tcPr>
          <w:p w14:paraId="573E684B" w14:textId="77777777" w:rsidR="00000000" w:rsidRDefault="00C01C43">
            <w:pPr>
              <w:rPr>
                <w:rFonts w:eastAsia="Times New Roman"/>
                <w:sz w:val="20"/>
                <w:szCs w:val="20"/>
              </w:rPr>
            </w:pPr>
          </w:p>
        </w:tc>
        <w:tc>
          <w:tcPr>
            <w:tcW w:w="5" w:type="pct"/>
            <w:vAlign w:val="center"/>
            <w:hideMark/>
          </w:tcPr>
          <w:p w14:paraId="1033DB58" w14:textId="77777777" w:rsidR="00000000" w:rsidRDefault="00C01C43">
            <w:pPr>
              <w:rPr>
                <w:rFonts w:eastAsia="Times New Roman"/>
                <w:sz w:val="20"/>
                <w:szCs w:val="20"/>
              </w:rPr>
            </w:pPr>
          </w:p>
        </w:tc>
        <w:tc>
          <w:tcPr>
            <w:tcW w:w="50" w:type="pct"/>
            <w:vAlign w:val="center"/>
            <w:hideMark/>
          </w:tcPr>
          <w:p w14:paraId="30726722" w14:textId="77777777" w:rsidR="00000000" w:rsidRDefault="00C01C43">
            <w:pPr>
              <w:rPr>
                <w:rFonts w:eastAsia="Times New Roman"/>
                <w:sz w:val="20"/>
                <w:szCs w:val="20"/>
              </w:rPr>
            </w:pPr>
          </w:p>
        </w:tc>
        <w:tc>
          <w:tcPr>
            <w:tcW w:w="436" w:type="pct"/>
            <w:vAlign w:val="center"/>
            <w:hideMark/>
          </w:tcPr>
          <w:p w14:paraId="2FEB449E" w14:textId="77777777" w:rsidR="00000000" w:rsidRDefault="00C01C43">
            <w:pPr>
              <w:rPr>
                <w:rFonts w:eastAsia="Times New Roman"/>
                <w:sz w:val="20"/>
                <w:szCs w:val="20"/>
              </w:rPr>
            </w:pPr>
          </w:p>
        </w:tc>
        <w:tc>
          <w:tcPr>
            <w:tcW w:w="5" w:type="pct"/>
            <w:vAlign w:val="center"/>
            <w:hideMark/>
          </w:tcPr>
          <w:p w14:paraId="6FB41CE4" w14:textId="77777777" w:rsidR="00000000" w:rsidRDefault="00C01C43">
            <w:pPr>
              <w:rPr>
                <w:rFonts w:eastAsia="Times New Roman"/>
                <w:sz w:val="20"/>
                <w:szCs w:val="20"/>
              </w:rPr>
            </w:pPr>
          </w:p>
        </w:tc>
        <w:tc>
          <w:tcPr>
            <w:tcW w:w="5" w:type="pct"/>
            <w:vAlign w:val="center"/>
            <w:hideMark/>
          </w:tcPr>
          <w:p w14:paraId="6BC53935" w14:textId="77777777" w:rsidR="00000000" w:rsidRDefault="00C01C43">
            <w:pPr>
              <w:rPr>
                <w:rFonts w:eastAsia="Times New Roman"/>
                <w:sz w:val="20"/>
                <w:szCs w:val="20"/>
              </w:rPr>
            </w:pPr>
          </w:p>
        </w:tc>
        <w:tc>
          <w:tcPr>
            <w:tcW w:w="26" w:type="pct"/>
            <w:vAlign w:val="center"/>
            <w:hideMark/>
          </w:tcPr>
          <w:p w14:paraId="08309321" w14:textId="77777777" w:rsidR="00000000" w:rsidRDefault="00C01C43">
            <w:pPr>
              <w:rPr>
                <w:rFonts w:eastAsia="Times New Roman"/>
                <w:sz w:val="20"/>
                <w:szCs w:val="20"/>
              </w:rPr>
            </w:pPr>
          </w:p>
        </w:tc>
        <w:tc>
          <w:tcPr>
            <w:tcW w:w="5" w:type="pct"/>
            <w:vAlign w:val="center"/>
            <w:hideMark/>
          </w:tcPr>
          <w:p w14:paraId="4A89099E" w14:textId="77777777" w:rsidR="00000000" w:rsidRDefault="00C01C43">
            <w:pPr>
              <w:rPr>
                <w:rFonts w:eastAsia="Times New Roman"/>
                <w:sz w:val="20"/>
                <w:szCs w:val="20"/>
              </w:rPr>
            </w:pPr>
          </w:p>
        </w:tc>
        <w:tc>
          <w:tcPr>
            <w:tcW w:w="50" w:type="pct"/>
            <w:vAlign w:val="center"/>
            <w:hideMark/>
          </w:tcPr>
          <w:p w14:paraId="0642C7D2" w14:textId="77777777" w:rsidR="00000000" w:rsidRDefault="00C01C43">
            <w:pPr>
              <w:rPr>
                <w:rFonts w:eastAsia="Times New Roman"/>
                <w:sz w:val="20"/>
                <w:szCs w:val="20"/>
              </w:rPr>
            </w:pPr>
          </w:p>
        </w:tc>
        <w:tc>
          <w:tcPr>
            <w:tcW w:w="538" w:type="pct"/>
            <w:vAlign w:val="center"/>
            <w:hideMark/>
          </w:tcPr>
          <w:p w14:paraId="4AF87976" w14:textId="77777777" w:rsidR="00000000" w:rsidRDefault="00C01C43">
            <w:pPr>
              <w:rPr>
                <w:rFonts w:eastAsia="Times New Roman"/>
                <w:sz w:val="20"/>
                <w:szCs w:val="20"/>
              </w:rPr>
            </w:pPr>
          </w:p>
        </w:tc>
        <w:tc>
          <w:tcPr>
            <w:tcW w:w="5" w:type="pct"/>
            <w:vAlign w:val="center"/>
            <w:hideMark/>
          </w:tcPr>
          <w:p w14:paraId="39588A38" w14:textId="77777777" w:rsidR="00000000" w:rsidRDefault="00C01C43">
            <w:pPr>
              <w:rPr>
                <w:rFonts w:eastAsia="Times New Roman"/>
                <w:sz w:val="20"/>
                <w:szCs w:val="20"/>
              </w:rPr>
            </w:pPr>
          </w:p>
        </w:tc>
      </w:tr>
      <w:tr w:rsidR="00000000" w14:paraId="6833412A" w14:textId="77777777">
        <w:trPr>
          <w:divId w:val="1010369677"/>
        </w:trPr>
        <w:tc>
          <w:tcPr>
            <w:tcW w:w="0" w:type="auto"/>
            <w:gridSpan w:val="3"/>
            <w:tcMar>
              <w:top w:w="0" w:type="dxa"/>
              <w:left w:w="20" w:type="dxa"/>
              <w:bottom w:w="0" w:type="dxa"/>
              <w:right w:w="20" w:type="dxa"/>
            </w:tcMar>
            <w:vAlign w:val="center"/>
            <w:hideMark/>
          </w:tcPr>
          <w:p w14:paraId="7417F4BA" w14:textId="77777777" w:rsidR="00000000" w:rsidRDefault="00C01C43">
            <w:pPr>
              <w:rPr>
                <w:rFonts w:eastAsia="Times New Roman"/>
                <w:sz w:val="20"/>
                <w:szCs w:val="20"/>
              </w:rPr>
            </w:pPr>
          </w:p>
        </w:tc>
        <w:tc>
          <w:tcPr>
            <w:tcW w:w="0" w:type="auto"/>
            <w:gridSpan w:val="24"/>
            <w:tcMar>
              <w:top w:w="30" w:type="dxa"/>
              <w:left w:w="20" w:type="dxa"/>
              <w:bottom w:w="30" w:type="dxa"/>
              <w:right w:w="20" w:type="dxa"/>
            </w:tcMar>
            <w:vAlign w:val="bottom"/>
            <w:hideMark/>
          </w:tcPr>
          <w:p w14:paraId="561469FF" w14:textId="77777777" w:rsidR="00000000" w:rsidRDefault="00C01C43">
            <w:pPr>
              <w:jc w:val="center"/>
              <w:rPr>
                <w:rFonts w:eastAsia="Times New Roman"/>
              </w:rPr>
            </w:pPr>
            <w:r>
              <w:rPr>
                <w:rFonts w:ascii="Arial" w:eastAsia="Times New Roman" w:hAnsi="Arial" w:cs="Arial"/>
                <w:b/>
                <w:bCs/>
                <w:color w:val="000000"/>
                <w:sz w:val="16"/>
                <w:szCs w:val="16"/>
              </w:rPr>
              <w:t>Fair Value Measurements as of December 31, 2020</w:t>
            </w:r>
          </w:p>
        </w:tc>
      </w:tr>
      <w:tr w:rsidR="00000000" w14:paraId="0F2144D6" w14:textId="77777777">
        <w:trPr>
          <w:divId w:val="1010369677"/>
        </w:trPr>
        <w:tc>
          <w:tcPr>
            <w:tcW w:w="0" w:type="auto"/>
            <w:gridSpan w:val="3"/>
            <w:tcBorders>
              <w:top w:val="single" w:sz="8" w:space="0" w:color="000000"/>
            </w:tcBorders>
            <w:tcMar>
              <w:top w:w="0" w:type="dxa"/>
              <w:left w:w="20" w:type="dxa"/>
              <w:bottom w:w="0" w:type="dxa"/>
              <w:right w:w="20" w:type="dxa"/>
            </w:tcMar>
            <w:vAlign w:val="center"/>
            <w:hideMark/>
          </w:tcPr>
          <w:p w14:paraId="1157C6D2" w14:textId="77777777" w:rsidR="00000000" w:rsidRDefault="00C01C43">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F73229B" w14:textId="77777777" w:rsidR="00000000" w:rsidRDefault="00C01C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F03769E" w14:textId="77777777" w:rsidR="00000000" w:rsidRDefault="00C01C43">
            <w:pPr>
              <w:jc w:val="center"/>
              <w:rPr>
                <w:rFonts w:eastAsia="Times New Roman"/>
              </w:rPr>
            </w:pPr>
            <w:r>
              <w:rPr>
                <w:rFonts w:ascii="Arial" w:eastAsia="Times New Roman" w:hAnsi="Arial" w:cs="Arial"/>
                <w:b/>
                <w:bCs/>
                <w:color w:val="000000"/>
                <w:sz w:val="16"/>
                <w:szCs w:val="16"/>
              </w:rPr>
              <w:t>Level 1 Inputs</w:t>
            </w:r>
          </w:p>
        </w:tc>
        <w:tc>
          <w:tcPr>
            <w:tcW w:w="0" w:type="auto"/>
            <w:gridSpan w:val="3"/>
            <w:tcBorders>
              <w:top w:val="single" w:sz="8" w:space="0" w:color="000000"/>
            </w:tcBorders>
            <w:tcMar>
              <w:top w:w="0" w:type="dxa"/>
              <w:left w:w="20" w:type="dxa"/>
              <w:bottom w:w="0" w:type="dxa"/>
              <w:right w:w="20" w:type="dxa"/>
            </w:tcMar>
            <w:vAlign w:val="center"/>
            <w:hideMark/>
          </w:tcPr>
          <w:p w14:paraId="32EA4ADD"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46D45A" w14:textId="77777777" w:rsidR="00000000" w:rsidRDefault="00C01C43">
            <w:pPr>
              <w:jc w:val="center"/>
              <w:rPr>
                <w:rFonts w:eastAsia="Times New Roman"/>
              </w:rPr>
            </w:pPr>
            <w:r>
              <w:rPr>
                <w:rFonts w:ascii="Arial" w:eastAsia="Times New Roman" w:hAnsi="Arial" w:cs="Arial"/>
                <w:b/>
                <w:bCs/>
                <w:color w:val="000000"/>
                <w:sz w:val="16"/>
                <w:szCs w:val="16"/>
              </w:rPr>
              <w:t>Level 2 Inputs</w:t>
            </w:r>
          </w:p>
        </w:tc>
        <w:tc>
          <w:tcPr>
            <w:tcW w:w="0" w:type="auto"/>
            <w:gridSpan w:val="3"/>
            <w:tcBorders>
              <w:top w:val="single" w:sz="8" w:space="0" w:color="000000"/>
            </w:tcBorders>
            <w:tcMar>
              <w:top w:w="0" w:type="dxa"/>
              <w:left w:w="20" w:type="dxa"/>
              <w:bottom w:w="0" w:type="dxa"/>
              <w:right w:w="20" w:type="dxa"/>
            </w:tcMar>
            <w:vAlign w:val="center"/>
            <w:hideMark/>
          </w:tcPr>
          <w:p w14:paraId="754D7941"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31966B" w14:textId="77777777" w:rsidR="00000000" w:rsidRDefault="00C01C43">
            <w:pPr>
              <w:jc w:val="center"/>
              <w:rPr>
                <w:rFonts w:eastAsia="Times New Roman"/>
              </w:rPr>
            </w:pPr>
            <w:r>
              <w:rPr>
                <w:rFonts w:ascii="Arial" w:eastAsia="Times New Roman" w:hAnsi="Arial" w:cs="Arial"/>
                <w:b/>
                <w:bCs/>
                <w:color w:val="000000"/>
                <w:sz w:val="16"/>
                <w:szCs w:val="16"/>
              </w:rPr>
              <w:t>Level 3 Inputs</w:t>
            </w:r>
          </w:p>
        </w:tc>
        <w:tc>
          <w:tcPr>
            <w:tcW w:w="0" w:type="auto"/>
            <w:gridSpan w:val="3"/>
            <w:tcBorders>
              <w:top w:val="single" w:sz="8" w:space="0" w:color="000000"/>
            </w:tcBorders>
            <w:tcMar>
              <w:top w:w="0" w:type="dxa"/>
              <w:left w:w="20" w:type="dxa"/>
              <w:bottom w:w="0" w:type="dxa"/>
              <w:right w:w="20" w:type="dxa"/>
            </w:tcMar>
            <w:vAlign w:val="center"/>
            <w:hideMark/>
          </w:tcPr>
          <w:p w14:paraId="61645E9C"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8E7B69" w14:textId="77777777" w:rsidR="00000000" w:rsidRDefault="00C01C43">
            <w:pPr>
              <w:jc w:val="center"/>
              <w:rPr>
                <w:rFonts w:eastAsia="Times New Roman"/>
              </w:rPr>
            </w:pPr>
            <w:r>
              <w:rPr>
                <w:rFonts w:ascii="Arial" w:eastAsia="Times New Roman" w:hAnsi="Arial" w:cs="Arial"/>
                <w:b/>
                <w:bCs/>
                <w:color w:val="000000"/>
                <w:sz w:val="16"/>
                <w:szCs w:val="16"/>
              </w:rPr>
              <w:t>Total Fair Value</w:t>
            </w:r>
          </w:p>
        </w:tc>
      </w:tr>
      <w:tr w:rsidR="00000000" w14:paraId="70FD182E" w14:textId="77777777">
        <w:trPr>
          <w:divId w:val="101036967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5A897B" w14:textId="77777777" w:rsidR="00000000" w:rsidRDefault="00C01C43">
            <w:pPr>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58EEF4"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D3D41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7D55B3"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4D5C7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E2048B"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D5403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0DFB50"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6F0AC5" w14:textId="77777777" w:rsidR="00000000" w:rsidRDefault="00C01C43">
            <w:pPr>
              <w:rPr>
                <w:rFonts w:eastAsia="Times New Roman"/>
                <w:sz w:val="20"/>
                <w:szCs w:val="20"/>
              </w:rPr>
            </w:pPr>
          </w:p>
        </w:tc>
      </w:tr>
      <w:tr w:rsidR="00000000" w14:paraId="51CD5413" w14:textId="77777777">
        <w:trPr>
          <w:divId w:val="1010369677"/>
        </w:trPr>
        <w:tc>
          <w:tcPr>
            <w:tcW w:w="0" w:type="auto"/>
            <w:gridSpan w:val="3"/>
            <w:shd w:val="clear" w:color="auto" w:fill="FFFFFF"/>
            <w:tcMar>
              <w:top w:w="30" w:type="dxa"/>
              <w:left w:w="20" w:type="dxa"/>
              <w:bottom w:w="30" w:type="dxa"/>
              <w:right w:w="20" w:type="dxa"/>
            </w:tcMar>
            <w:vAlign w:val="bottom"/>
            <w:hideMark/>
          </w:tcPr>
          <w:p w14:paraId="38959D24" w14:textId="77777777" w:rsidR="00000000" w:rsidRDefault="00C01C43">
            <w:pPr>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5EBA2E71" w14:textId="77777777" w:rsidR="00000000" w:rsidRDefault="00C01C43">
            <w:pPr>
              <w:rPr>
                <w:rFonts w:eastAsia="Times New Roman"/>
              </w:rPr>
            </w:pPr>
          </w:p>
        </w:tc>
        <w:tc>
          <w:tcPr>
            <w:tcW w:w="0" w:type="auto"/>
            <w:shd w:val="clear" w:color="auto" w:fill="FFFFFF"/>
            <w:tcMar>
              <w:top w:w="30" w:type="dxa"/>
              <w:left w:w="20" w:type="dxa"/>
              <w:bottom w:w="30" w:type="dxa"/>
              <w:right w:w="0" w:type="dxa"/>
            </w:tcMar>
            <w:vAlign w:val="bottom"/>
            <w:hideMark/>
          </w:tcPr>
          <w:p w14:paraId="27948004"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6FFE090" w14:textId="77777777" w:rsidR="00000000" w:rsidRDefault="00C01C43">
            <w:pPr>
              <w:jc w:val="right"/>
              <w:rPr>
                <w:rFonts w:eastAsia="Times New Roman"/>
              </w:rPr>
            </w:pPr>
            <w:r>
              <w:rPr>
                <w:rFonts w:ascii="Arial" w:eastAsia="Times New Roman" w:hAnsi="Arial" w:cs="Arial"/>
                <w:color w:val="000000"/>
                <w:sz w:val="20"/>
                <w:szCs w:val="20"/>
              </w:rPr>
              <w:t>233.5 </w:t>
            </w:r>
          </w:p>
        </w:tc>
        <w:tc>
          <w:tcPr>
            <w:tcW w:w="0" w:type="auto"/>
            <w:shd w:val="clear" w:color="auto" w:fill="FFFFFF"/>
            <w:tcMar>
              <w:top w:w="30" w:type="dxa"/>
              <w:left w:w="0" w:type="dxa"/>
              <w:bottom w:w="30" w:type="dxa"/>
              <w:right w:w="20" w:type="dxa"/>
            </w:tcMar>
            <w:vAlign w:val="bottom"/>
            <w:hideMark/>
          </w:tcPr>
          <w:p w14:paraId="2156B64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A8919"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18A4160"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FFAC9AD" w14:textId="77777777" w:rsidR="00000000" w:rsidRDefault="00C01C43">
            <w:pPr>
              <w:jc w:val="right"/>
              <w:rPr>
                <w:rFonts w:eastAsia="Times New Roman"/>
              </w:rPr>
            </w:pPr>
            <w:r>
              <w:rPr>
                <w:rFonts w:ascii="Arial" w:eastAsia="Times New Roman" w:hAnsi="Arial" w:cs="Arial"/>
                <w:color w:val="000000"/>
                <w:sz w:val="20"/>
                <w:szCs w:val="20"/>
              </w:rPr>
              <w:t>127.9 </w:t>
            </w:r>
          </w:p>
        </w:tc>
        <w:tc>
          <w:tcPr>
            <w:tcW w:w="0" w:type="auto"/>
            <w:shd w:val="clear" w:color="auto" w:fill="FFFFFF"/>
            <w:tcMar>
              <w:top w:w="30" w:type="dxa"/>
              <w:left w:w="0" w:type="dxa"/>
              <w:bottom w:w="30" w:type="dxa"/>
              <w:right w:w="20" w:type="dxa"/>
            </w:tcMar>
            <w:vAlign w:val="bottom"/>
            <w:hideMark/>
          </w:tcPr>
          <w:p w14:paraId="0317EED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213F5"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3468C9"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9A4BC24" w14:textId="77777777" w:rsidR="00000000" w:rsidRDefault="00C01C43">
            <w:pPr>
              <w:jc w:val="right"/>
              <w:rPr>
                <w:rFonts w:eastAsia="Times New Roman"/>
              </w:rPr>
            </w:pPr>
            <w:r>
              <w:rPr>
                <w:rFonts w:ascii="Arial" w:eastAsia="Times New Roman" w:hAnsi="Arial" w:cs="Arial"/>
                <w:color w:val="000000"/>
                <w:sz w:val="20"/>
                <w:szCs w:val="20"/>
              </w:rPr>
              <w:t>9.5 </w:t>
            </w:r>
          </w:p>
        </w:tc>
        <w:tc>
          <w:tcPr>
            <w:tcW w:w="0" w:type="auto"/>
            <w:shd w:val="clear" w:color="auto" w:fill="FFFFFF"/>
            <w:tcMar>
              <w:top w:w="30" w:type="dxa"/>
              <w:left w:w="0" w:type="dxa"/>
              <w:bottom w:w="30" w:type="dxa"/>
              <w:right w:w="20" w:type="dxa"/>
            </w:tcMar>
            <w:vAlign w:val="bottom"/>
            <w:hideMark/>
          </w:tcPr>
          <w:p w14:paraId="2FD271B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2567F"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9D231F"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159460F" w14:textId="77777777" w:rsidR="00000000" w:rsidRDefault="00C01C43">
            <w:pPr>
              <w:jc w:val="right"/>
              <w:rPr>
                <w:rFonts w:eastAsia="Times New Roman"/>
              </w:rPr>
            </w:pPr>
            <w:r>
              <w:rPr>
                <w:rFonts w:ascii="Arial" w:eastAsia="Times New Roman" w:hAnsi="Arial" w:cs="Arial"/>
                <w:color w:val="000000"/>
                <w:sz w:val="20"/>
                <w:szCs w:val="20"/>
              </w:rPr>
              <w:t>371.0 </w:t>
            </w:r>
          </w:p>
        </w:tc>
        <w:tc>
          <w:tcPr>
            <w:tcW w:w="0" w:type="auto"/>
            <w:shd w:val="clear" w:color="auto" w:fill="FFFFFF"/>
            <w:tcMar>
              <w:top w:w="30" w:type="dxa"/>
              <w:left w:w="0" w:type="dxa"/>
              <w:bottom w:w="30" w:type="dxa"/>
              <w:right w:w="20" w:type="dxa"/>
            </w:tcMar>
            <w:vAlign w:val="bottom"/>
            <w:hideMark/>
          </w:tcPr>
          <w:p w14:paraId="08E19993" w14:textId="77777777" w:rsidR="00000000" w:rsidRDefault="00C01C43">
            <w:pPr>
              <w:jc w:val="right"/>
              <w:rPr>
                <w:rFonts w:eastAsia="Times New Roman"/>
              </w:rPr>
            </w:pPr>
          </w:p>
        </w:tc>
      </w:tr>
      <w:tr w:rsidR="00000000" w14:paraId="6F192A6E" w14:textId="77777777">
        <w:trPr>
          <w:divId w:val="1010369677"/>
        </w:trPr>
        <w:tc>
          <w:tcPr>
            <w:tcW w:w="0" w:type="auto"/>
            <w:gridSpan w:val="3"/>
            <w:shd w:val="clear" w:color="auto" w:fill="CCEEFF"/>
            <w:tcMar>
              <w:top w:w="30" w:type="dxa"/>
              <w:left w:w="20" w:type="dxa"/>
              <w:bottom w:w="30" w:type="dxa"/>
              <w:right w:w="20" w:type="dxa"/>
            </w:tcMar>
            <w:vAlign w:val="bottom"/>
            <w:hideMark/>
          </w:tcPr>
          <w:p w14:paraId="4D1F352B" w14:textId="77777777" w:rsidR="00000000" w:rsidRDefault="00C01C43">
            <w:pPr>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41478B69"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BC1E59"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BE5290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4C72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388DD1" w14:textId="77777777" w:rsidR="00000000" w:rsidRDefault="00C01C43">
            <w:pPr>
              <w:jc w:val="right"/>
              <w:rPr>
                <w:rFonts w:eastAsia="Times New Roman"/>
              </w:rPr>
            </w:pPr>
            <w:r>
              <w:rPr>
                <w:rFonts w:ascii="Arial" w:eastAsia="Times New Roman" w:hAnsi="Arial" w:cs="Arial"/>
                <w:color w:val="000000"/>
                <w:sz w:val="20"/>
                <w:szCs w:val="20"/>
              </w:rPr>
              <w:t>7.5 </w:t>
            </w:r>
          </w:p>
        </w:tc>
        <w:tc>
          <w:tcPr>
            <w:tcW w:w="0" w:type="auto"/>
            <w:shd w:val="clear" w:color="auto" w:fill="CCEEFF"/>
            <w:tcMar>
              <w:top w:w="30" w:type="dxa"/>
              <w:left w:w="0" w:type="dxa"/>
              <w:bottom w:w="30" w:type="dxa"/>
              <w:right w:w="20" w:type="dxa"/>
            </w:tcMar>
            <w:vAlign w:val="bottom"/>
            <w:hideMark/>
          </w:tcPr>
          <w:p w14:paraId="3EA54752"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DD7B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38CFBC"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38633B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7BCEB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B57860" w14:textId="77777777" w:rsidR="00000000" w:rsidRDefault="00C01C43">
            <w:pPr>
              <w:jc w:val="right"/>
              <w:rPr>
                <w:rFonts w:eastAsia="Times New Roman"/>
              </w:rPr>
            </w:pPr>
            <w:r>
              <w:rPr>
                <w:rFonts w:ascii="Arial" w:eastAsia="Times New Roman" w:hAnsi="Arial" w:cs="Arial"/>
                <w:color w:val="000000"/>
                <w:sz w:val="20"/>
                <w:szCs w:val="20"/>
              </w:rPr>
              <w:t>7.5 </w:t>
            </w:r>
          </w:p>
        </w:tc>
        <w:tc>
          <w:tcPr>
            <w:tcW w:w="0" w:type="auto"/>
            <w:shd w:val="clear" w:color="auto" w:fill="CCEEFF"/>
            <w:tcMar>
              <w:top w:w="30" w:type="dxa"/>
              <w:left w:w="0" w:type="dxa"/>
              <w:bottom w:w="30" w:type="dxa"/>
              <w:right w:w="20" w:type="dxa"/>
            </w:tcMar>
            <w:vAlign w:val="bottom"/>
            <w:hideMark/>
          </w:tcPr>
          <w:p w14:paraId="42D7E280" w14:textId="77777777" w:rsidR="00000000" w:rsidRDefault="00C01C43">
            <w:pPr>
              <w:jc w:val="right"/>
              <w:rPr>
                <w:rFonts w:eastAsia="Times New Roman"/>
              </w:rPr>
            </w:pPr>
          </w:p>
        </w:tc>
      </w:tr>
      <w:tr w:rsidR="00000000" w14:paraId="1347B52E" w14:textId="77777777">
        <w:trPr>
          <w:divId w:val="1010369677"/>
        </w:trPr>
        <w:tc>
          <w:tcPr>
            <w:tcW w:w="0" w:type="auto"/>
            <w:gridSpan w:val="3"/>
            <w:shd w:val="clear" w:color="auto" w:fill="FFFFFF"/>
            <w:tcMar>
              <w:top w:w="30" w:type="dxa"/>
              <w:left w:w="20" w:type="dxa"/>
              <w:bottom w:w="30" w:type="dxa"/>
              <w:right w:w="20" w:type="dxa"/>
            </w:tcMar>
            <w:vAlign w:val="bottom"/>
            <w:hideMark/>
          </w:tcPr>
          <w:p w14:paraId="337DA750" w14:textId="77777777" w:rsidR="00000000" w:rsidRDefault="00C01C43">
            <w:pPr>
              <w:rPr>
                <w:rFonts w:eastAsia="Times New Roman"/>
              </w:rPr>
            </w:pPr>
            <w:r>
              <w:rPr>
                <w:rFonts w:ascii="Arial" w:eastAsia="Times New Roman" w:hAnsi="Arial" w:cs="Arial"/>
                <w:color w:val="000000"/>
                <w:sz w:val="20"/>
                <w:szCs w:val="20"/>
              </w:rPr>
              <w:t>Cash surrender value of life insurance</w:t>
            </w:r>
          </w:p>
        </w:tc>
        <w:tc>
          <w:tcPr>
            <w:tcW w:w="0" w:type="auto"/>
            <w:gridSpan w:val="3"/>
            <w:shd w:val="clear" w:color="auto" w:fill="FFFFFF"/>
            <w:tcMar>
              <w:top w:w="0" w:type="dxa"/>
              <w:left w:w="20" w:type="dxa"/>
              <w:bottom w:w="0" w:type="dxa"/>
              <w:right w:w="20" w:type="dxa"/>
            </w:tcMar>
            <w:vAlign w:val="center"/>
            <w:hideMark/>
          </w:tcPr>
          <w:p w14:paraId="76886A85"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6B74F0"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772088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D3D9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F0A5F1" w14:textId="77777777" w:rsidR="00000000" w:rsidRDefault="00C01C43">
            <w:pPr>
              <w:jc w:val="right"/>
              <w:rPr>
                <w:rFonts w:eastAsia="Times New Roman"/>
              </w:rPr>
            </w:pPr>
            <w:r>
              <w:rPr>
                <w:rFonts w:ascii="Arial" w:eastAsia="Times New Roman" w:hAnsi="Arial" w:cs="Arial"/>
                <w:color w:val="000000"/>
                <w:sz w:val="20"/>
                <w:szCs w:val="20"/>
              </w:rPr>
              <w:t>11.4 </w:t>
            </w:r>
          </w:p>
        </w:tc>
        <w:tc>
          <w:tcPr>
            <w:tcW w:w="0" w:type="auto"/>
            <w:shd w:val="clear" w:color="auto" w:fill="FFFFFF"/>
            <w:tcMar>
              <w:top w:w="30" w:type="dxa"/>
              <w:left w:w="0" w:type="dxa"/>
              <w:bottom w:w="30" w:type="dxa"/>
              <w:right w:w="20" w:type="dxa"/>
            </w:tcMar>
            <w:vAlign w:val="bottom"/>
            <w:hideMark/>
          </w:tcPr>
          <w:p w14:paraId="151AF17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DE65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AE429"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EBFCE1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520FF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3C2943" w14:textId="77777777" w:rsidR="00000000" w:rsidRDefault="00C01C43">
            <w:pPr>
              <w:jc w:val="right"/>
              <w:rPr>
                <w:rFonts w:eastAsia="Times New Roman"/>
              </w:rPr>
            </w:pPr>
            <w:r>
              <w:rPr>
                <w:rFonts w:ascii="Arial" w:eastAsia="Times New Roman" w:hAnsi="Arial" w:cs="Arial"/>
                <w:color w:val="000000"/>
                <w:sz w:val="20"/>
                <w:szCs w:val="20"/>
              </w:rPr>
              <w:t>11.4 </w:t>
            </w:r>
          </w:p>
        </w:tc>
        <w:tc>
          <w:tcPr>
            <w:tcW w:w="0" w:type="auto"/>
            <w:shd w:val="clear" w:color="auto" w:fill="FFFFFF"/>
            <w:tcMar>
              <w:top w:w="30" w:type="dxa"/>
              <w:left w:w="0" w:type="dxa"/>
              <w:bottom w:w="30" w:type="dxa"/>
              <w:right w:w="20" w:type="dxa"/>
            </w:tcMar>
            <w:vAlign w:val="bottom"/>
            <w:hideMark/>
          </w:tcPr>
          <w:p w14:paraId="3107CCC7" w14:textId="77777777" w:rsidR="00000000" w:rsidRDefault="00C01C43">
            <w:pPr>
              <w:jc w:val="right"/>
              <w:rPr>
                <w:rFonts w:eastAsia="Times New Roman"/>
              </w:rPr>
            </w:pPr>
          </w:p>
        </w:tc>
      </w:tr>
      <w:tr w:rsidR="00000000" w14:paraId="01CF818E" w14:textId="77777777">
        <w:trPr>
          <w:divId w:val="101036967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0FE52BE" w14:textId="77777777" w:rsidR="00000000" w:rsidRDefault="00C01C43">
            <w:pPr>
              <w:rPr>
                <w:rFonts w:eastAsia="Times New Roman"/>
              </w:rPr>
            </w:pPr>
            <w:r>
              <w:rPr>
                <w:rFonts w:ascii="Arial" w:eastAsia="Times New Roman" w:hAnsi="Arial" w:cs="Arial"/>
                <w:color w:val="000000"/>
                <w:sz w:val="20"/>
                <w:szCs w:val="20"/>
              </w:rPr>
              <w:t>Total assets at fair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B9233A" w14:textId="77777777" w:rsidR="00000000" w:rsidRDefault="00C01C4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8970F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BF882C" w14:textId="77777777" w:rsidR="00000000" w:rsidRDefault="00C01C43">
            <w:pPr>
              <w:jc w:val="right"/>
              <w:rPr>
                <w:rFonts w:eastAsia="Times New Roman"/>
              </w:rPr>
            </w:pPr>
            <w:r>
              <w:rPr>
                <w:rFonts w:ascii="Arial" w:eastAsia="Times New Roman" w:hAnsi="Arial" w:cs="Arial"/>
                <w:color w:val="000000"/>
                <w:sz w:val="20"/>
                <w:szCs w:val="20"/>
              </w:rPr>
              <w:t>233.5 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D7F50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DFB687"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6A409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3CE21C" w14:textId="77777777" w:rsidR="00000000" w:rsidRDefault="00C01C43">
            <w:pPr>
              <w:jc w:val="right"/>
              <w:rPr>
                <w:rFonts w:eastAsia="Times New Roman"/>
              </w:rPr>
            </w:pPr>
            <w:r>
              <w:rPr>
                <w:rFonts w:ascii="Arial" w:eastAsia="Times New Roman" w:hAnsi="Arial" w:cs="Arial"/>
                <w:color w:val="000000"/>
                <w:sz w:val="20"/>
                <w:szCs w:val="20"/>
              </w:rPr>
              <w:t>146.8 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BB0C62"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D6FEFD"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01259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0D2C50" w14:textId="77777777" w:rsidR="00000000" w:rsidRDefault="00C01C43">
            <w:pPr>
              <w:jc w:val="right"/>
              <w:rPr>
                <w:rFonts w:eastAsia="Times New Roman"/>
              </w:rPr>
            </w:pPr>
            <w:r>
              <w:rPr>
                <w:rFonts w:ascii="Arial" w:eastAsia="Times New Roman" w:hAnsi="Arial" w:cs="Arial"/>
                <w:color w:val="000000"/>
                <w:sz w:val="20"/>
                <w:szCs w:val="20"/>
              </w:rPr>
              <w:t>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69D3F4"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F4F7C8"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D279B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9434F3" w14:textId="77777777" w:rsidR="00000000" w:rsidRDefault="00C01C43">
            <w:pPr>
              <w:jc w:val="right"/>
              <w:rPr>
                <w:rFonts w:eastAsia="Times New Roman"/>
              </w:rPr>
            </w:pPr>
            <w:r>
              <w:rPr>
                <w:rFonts w:ascii="Arial" w:eastAsia="Times New Roman" w:hAnsi="Arial" w:cs="Arial"/>
                <w:color w:val="000000"/>
                <w:sz w:val="20"/>
                <w:szCs w:val="20"/>
              </w:rPr>
              <w:t>389.9 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C03573" w14:textId="77777777" w:rsidR="00000000" w:rsidRDefault="00C01C43">
            <w:pPr>
              <w:jc w:val="right"/>
              <w:rPr>
                <w:rFonts w:eastAsia="Times New Roman"/>
              </w:rPr>
            </w:pPr>
          </w:p>
        </w:tc>
      </w:tr>
      <w:tr w:rsidR="00000000" w14:paraId="0B70638F" w14:textId="77777777">
        <w:trPr>
          <w:divId w:val="1010369677"/>
          <w:trHeight w:val="30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0A9D2F8" w14:textId="77777777" w:rsidR="00000000" w:rsidRDefault="00C01C43">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E0F3848"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8EEF7E1"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2A81E6C"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6A3EB1B"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97F246E"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DA55D97"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C04243A"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5EE8BA7" w14:textId="77777777" w:rsidR="00000000" w:rsidRDefault="00C01C43">
            <w:pPr>
              <w:rPr>
                <w:rFonts w:eastAsia="Times New Roman"/>
                <w:sz w:val="20"/>
                <w:szCs w:val="20"/>
              </w:rPr>
            </w:pPr>
          </w:p>
        </w:tc>
      </w:tr>
      <w:tr w:rsidR="00000000" w14:paraId="721827C7" w14:textId="77777777">
        <w:trPr>
          <w:divId w:val="1010369677"/>
        </w:trPr>
        <w:tc>
          <w:tcPr>
            <w:tcW w:w="0" w:type="auto"/>
            <w:gridSpan w:val="3"/>
            <w:shd w:val="clear" w:color="auto" w:fill="CCEEFF"/>
            <w:tcMar>
              <w:top w:w="30" w:type="dxa"/>
              <w:left w:w="20" w:type="dxa"/>
              <w:bottom w:w="30" w:type="dxa"/>
              <w:right w:w="20" w:type="dxa"/>
            </w:tcMar>
            <w:vAlign w:val="bottom"/>
            <w:hideMark/>
          </w:tcPr>
          <w:p w14:paraId="71A808E9" w14:textId="77777777" w:rsidR="00000000" w:rsidRDefault="00C01C43">
            <w:pPr>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14:paraId="566ADA0A" w14:textId="77777777" w:rsidR="00000000" w:rsidRDefault="00C01C4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3B942A"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AFE3A0"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BC5F33"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9CD48F"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935228"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C3AB10"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86592F" w14:textId="77777777" w:rsidR="00000000" w:rsidRDefault="00C01C43">
            <w:pPr>
              <w:rPr>
                <w:rFonts w:eastAsia="Times New Roman"/>
                <w:sz w:val="20"/>
                <w:szCs w:val="20"/>
              </w:rPr>
            </w:pPr>
          </w:p>
        </w:tc>
      </w:tr>
      <w:tr w:rsidR="00000000" w14:paraId="0046A716" w14:textId="77777777">
        <w:trPr>
          <w:divId w:val="1010369677"/>
        </w:trPr>
        <w:tc>
          <w:tcPr>
            <w:tcW w:w="0" w:type="auto"/>
            <w:gridSpan w:val="3"/>
            <w:shd w:val="clear" w:color="auto" w:fill="FFFFFF"/>
            <w:tcMar>
              <w:top w:w="30" w:type="dxa"/>
              <w:left w:w="20" w:type="dxa"/>
              <w:bottom w:w="30" w:type="dxa"/>
              <w:right w:w="20" w:type="dxa"/>
            </w:tcMar>
            <w:vAlign w:val="bottom"/>
            <w:hideMark/>
          </w:tcPr>
          <w:p w14:paraId="23BAF6FB" w14:textId="77777777" w:rsidR="00000000" w:rsidRDefault="00C01C43">
            <w:pPr>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56A1AE0F" w14:textId="77777777" w:rsidR="00000000" w:rsidRDefault="00C01C43">
            <w:pPr>
              <w:rPr>
                <w:rFonts w:eastAsia="Times New Roman"/>
              </w:rPr>
            </w:pPr>
          </w:p>
        </w:tc>
        <w:tc>
          <w:tcPr>
            <w:tcW w:w="0" w:type="auto"/>
            <w:shd w:val="clear" w:color="auto" w:fill="FFFFFF"/>
            <w:tcMar>
              <w:top w:w="30" w:type="dxa"/>
              <w:left w:w="20" w:type="dxa"/>
              <w:bottom w:w="30" w:type="dxa"/>
              <w:right w:w="0" w:type="dxa"/>
            </w:tcMar>
            <w:vAlign w:val="bottom"/>
            <w:hideMark/>
          </w:tcPr>
          <w:p w14:paraId="139F5C1B"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39D2570" w14:textId="77777777" w:rsidR="00000000" w:rsidRDefault="00C01C43">
            <w:pPr>
              <w:jc w:val="right"/>
              <w:rPr>
                <w:rFonts w:eastAsia="Times New Roman"/>
              </w:rPr>
            </w:pPr>
            <w:r>
              <w:rPr>
                <w:rFonts w:ascii="Arial" w:eastAsia="Times New Roman" w:hAnsi="Arial" w:cs="Arial"/>
                <w:color w:val="000000"/>
                <w:sz w:val="20"/>
                <w:szCs w:val="20"/>
              </w:rPr>
              <w:t>223.0 </w:t>
            </w:r>
          </w:p>
        </w:tc>
        <w:tc>
          <w:tcPr>
            <w:tcW w:w="0" w:type="auto"/>
            <w:shd w:val="clear" w:color="auto" w:fill="FFFFFF"/>
            <w:tcMar>
              <w:top w:w="30" w:type="dxa"/>
              <w:left w:w="0" w:type="dxa"/>
              <w:bottom w:w="30" w:type="dxa"/>
              <w:right w:w="20" w:type="dxa"/>
            </w:tcMar>
            <w:vAlign w:val="bottom"/>
            <w:hideMark/>
          </w:tcPr>
          <w:p w14:paraId="1EB22B4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332AB8"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FAAC36"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0AD6584" w14:textId="77777777" w:rsidR="00000000" w:rsidRDefault="00C01C43">
            <w:pPr>
              <w:jc w:val="right"/>
              <w:rPr>
                <w:rFonts w:eastAsia="Times New Roman"/>
              </w:rPr>
            </w:pPr>
            <w:r>
              <w:rPr>
                <w:rFonts w:ascii="Arial" w:eastAsia="Times New Roman" w:hAnsi="Arial" w:cs="Arial"/>
                <w:color w:val="000000"/>
                <w:sz w:val="20"/>
                <w:szCs w:val="20"/>
              </w:rPr>
              <w:t>96.8 </w:t>
            </w:r>
          </w:p>
        </w:tc>
        <w:tc>
          <w:tcPr>
            <w:tcW w:w="0" w:type="auto"/>
            <w:shd w:val="clear" w:color="auto" w:fill="FFFFFF"/>
            <w:tcMar>
              <w:top w:w="30" w:type="dxa"/>
              <w:left w:w="0" w:type="dxa"/>
              <w:bottom w:w="30" w:type="dxa"/>
              <w:right w:w="20" w:type="dxa"/>
            </w:tcMar>
            <w:vAlign w:val="bottom"/>
            <w:hideMark/>
          </w:tcPr>
          <w:p w14:paraId="671C40E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F20654"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E99163"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77B911B" w14:textId="77777777" w:rsidR="00000000" w:rsidRDefault="00C01C43">
            <w:pPr>
              <w:jc w:val="right"/>
              <w:rPr>
                <w:rFonts w:eastAsia="Times New Roman"/>
              </w:rPr>
            </w:pPr>
            <w:r>
              <w:rPr>
                <w:rFonts w:ascii="Arial" w:eastAsia="Times New Roman" w:hAnsi="Arial" w:cs="Arial"/>
                <w:color w:val="000000"/>
                <w:sz w:val="20"/>
                <w:szCs w:val="20"/>
              </w:rPr>
              <w:t>6.3 </w:t>
            </w:r>
          </w:p>
        </w:tc>
        <w:tc>
          <w:tcPr>
            <w:tcW w:w="0" w:type="auto"/>
            <w:shd w:val="clear" w:color="auto" w:fill="FFFFFF"/>
            <w:tcMar>
              <w:top w:w="30" w:type="dxa"/>
              <w:left w:w="0" w:type="dxa"/>
              <w:bottom w:w="30" w:type="dxa"/>
              <w:right w:w="20" w:type="dxa"/>
            </w:tcMar>
            <w:vAlign w:val="bottom"/>
            <w:hideMark/>
          </w:tcPr>
          <w:p w14:paraId="4A7A825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E6182B"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3A130C"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4F97CA3" w14:textId="77777777" w:rsidR="00000000" w:rsidRDefault="00C01C43">
            <w:pPr>
              <w:jc w:val="right"/>
              <w:rPr>
                <w:rFonts w:eastAsia="Times New Roman"/>
              </w:rPr>
            </w:pPr>
            <w:r>
              <w:rPr>
                <w:rFonts w:ascii="Arial" w:eastAsia="Times New Roman" w:hAnsi="Arial" w:cs="Arial"/>
                <w:color w:val="000000"/>
                <w:sz w:val="20"/>
                <w:szCs w:val="20"/>
              </w:rPr>
              <w:t>326.0 </w:t>
            </w:r>
          </w:p>
        </w:tc>
        <w:tc>
          <w:tcPr>
            <w:tcW w:w="0" w:type="auto"/>
            <w:shd w:val="clear" w:color="auto" w:fill="FFFFFF"/>
            <w:tcMar>
              <w:top w:w="30" w:type="dxa"/>
              <w:left w:w="0" w:type="dxa"/>
              <w:bottom w:w="30" w:type="dxa"/>
              <w:right w:w="20" w:type="dxa"/>
            </w:tcMar>
            <w:vAlign w:val="bottom"/>
            <w:hideMark/>
          </w:tcPr>
          <w:p w14:paraId="522F6BC8" w14:textId="77777777" w:rsidR="00000000" w:rsidRDefault="00C01C43">
            <w:pPr>
              <w:jc w:val="right"/>
              <w:rPr>
                <w:rFonts w:eastAsia="Times New Roman"/>
              </w:rPr>
            </w:pPr>
          </w:p>
        </w:tc>
      </w:tr>
      <w:tr w:rsidR="00000000" w14:paraId="516CFE44" w14:textId="77777777">
        <w:trPr>
          <w:divId w:val="1010369677"/>
        </w:trPr>
        <w:tc>
          <w:tcPr>
            <w:tcW w:w="0" w:type="auto"/>
            <w:gridSpan w:val="3"/>
            <w:shd w:val="clear" w:color="auto" w:fill="CCEEFF"/>
            <w:tcMar>
              <w:top w:w="30" w:type="dxa"/>
              <w:left w:w="20" w:type="dxa"/>
              <w:bottom w:w="30" w:type="dxa"/>
              <w:right w:w="20" w:type="dxa"/>
            </w:tcMar>
            <w:vAlign w:val="bottom"/>
            <w:hideMark/>
          </w:tcPr>
          <w:p w14:paraId="318498C9" w14:textId="77777777" w:rsidR="00000000" w:rsidRDefault="00C01C43">
            <w:pPr>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14:paraId="46E62DCA"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776D49"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BA8474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2A29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E45F1C" w14:textId="77777777" w:rsidR="00000000" w:rsidRDefault="00C01C43">
            <w:pPr>
              <w:jc w:val="right"/>
              <w:rPr>
                <w:rFonts w:eastAsia="Times New Roman"/>
              </w:rPr>
            </w:pPr>
            <w:r>
              <w:rPr>
                <w:rFonts w:ascii="Arial" w:eastAsia="Times New Roman" w:hAnsi="Arial" w:cs="Arial"/>
                <w:color w:val="000000"/>
                <w:sz w:val="20"/>
                <w:szCs w:val="20"/>
              </w:rPr>
              <w:t>3.7 </w:t>
            </w:r>
          </w:p>
        </w:tc>
        <w:tc>
          <w:tcPr>
            <w:tcW w:w="0" w:type="auto"/>
            <w:shd w:val="clear" w:color="auto" w:fill="CCEEFF"/>
            <w:tcMar>
              <w:top w:w="30" w:type="dxa"/>
              <w:left w:w="0" w:type="dxa"/>
              <w:bottom w:w="30" w:type="dxa"/>
              <w:right w:w="20" w:type="dxa"/>
            </w:tcMar>
            <w:vAlign w:val="bottom"/>
            <w:hideMark/>
          </w:tcPr>
          <w:p w14:paraId="7E21905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ABF56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37F43"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4366024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369C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AE4319" w14:textId="77777777" w:rsidR="00000000" w:rsidRDefault="00C01C43">
            <w:pPr>
              <w:jc w:val="right"/>
              <w:rPr>
                <w:rFonts w:eastAsia="Times New Roman"/>
              </w:rPr>
            </w:pPr>
            <w:r>
              <w:rPr>
                <w:rFonts w:ascii="Arial" w:eastAsia="Times New Roman" w:hAnsi="Arial" w:cs="Arial"/>
                <w:color w:val="000000"/>
                <w:sz w:val="20"/>
                <w:szCs w:val="20"/>
              </w:rPr>
              <w:t>3.7 </w:t>
            </w:r>
          </w:p>
        </w:tc>
        <w:tc>
          <w:tcPr>
            <w:tcW w:w="0" w:type="auto"/>
            <w:shd w:val="clear" w:color="auto" w:fill="CCEEFF"/>
            <w:tcMar>
              <w:top w:w="30" w:type="dxa"/>
              <w:left w:w="0" w:type="dxa"/>
              <w:bottom w:w="30" w:type="dxa"/>
              <w:right w:w="20" w:type="dxa"/>
            </w:tcMar>
            <w:vAlign w:val="bottom"/>
            <w:hideMark/>
          </w:tcPr>
          <w:p w14:paraId="1950F252" w14:textId="77777777" w:rsidR="00000000" w:rsidRDefault="00C01C43">
            <w:pPr>
              <w:jc w:val="right"/>
              <w:rPr>
                <w:rFonts w:eastAsia="Times New Roman"/>
              </w:rPr>
            </w:pPr>
          </w:p>
        </w:tc>
      </w:tr>
      <w:tr w:rsidR="00000000" w14:paraId="3D3A9CF1" w14:textId="77777777">
        <w:trPr>
          <w:divId w:val="1010369677"/>
        </w:trPr>
        <w:tc>
          <w:tcPr>
            <w:tcW w:w="0" w:type="auto"/>
            <w:gridSpan w:val="3"/>
            <w:shd w:val="clear" w:color="auto" w:fill="FFFFFF"/>
            <w:tcMar>
              <w:top w:w="30" w:type="dxa"/>
              <w:left w:w="20" w:type="dxa"/>
              <w:bottom w:w="30" w:type="dxa"/>
              <w:right w:w="20" w:type="dxa"/>
            </w:tcMar>
            <w:vAlign w:val="bottom"/>
            <w:hideMark/>
          </w:tcPr>
          <w:p w14:paraId="5D6365AC" w14:textId="77777777" w:rsidR="00000000" w:rsidRDefault="00C01C43">
            <w:pPr>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14:paraId="494051B3"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8B0E2D"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48ABBF7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DE3B3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934D4F" w14:textId="77777777" w:rsidR="00000000" w:rsidRDefault="00C01C43">
            <w:pPr>
              <w:jc w:val="right"/>
              <w:rPr>
                <w:rFonts w:eastAsia="Times New Roman"/>
              </w:rPr>
            </w:pPr>
            <w:r>
              <w:rPr>
                <w:rFonts w:ascii="Arial" w:eastAsia="Times New Roman" w:hAnsi="Arial" w:cs="Arial"/>
                <w:color w:val="000000"/>
                <w:sz w:val="20"/>
                <w:szCs w:val="20"/>
              </w:rPr>
              <w:t>19.8 </w:t>
            </w:r>
          </w:p>
        </w:tc>
        <w:tc>
          <w:tcPr>
            <w:tcW w:w="0" w:type="auto"/>
            <w:shd w:val="clear" w:color="auto" w:fill="FFFFFF"/>
            <w:tcMar>
              <w:top w:w="30" w:type="dxa"/>
              <w:left w:w="0" w:type="dxa"/>
              <w:bottom w:w="30" w:type="dxa"/>
              <w:right w:w="20" w:type="dxa"/>
            </w:tcMar>
            <w:vAlign w:val="bottom"/>
            <w:hideMark/>
          </w:tcPr>
          <w:p w14:paraId="2D09816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52A1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1DD6D5"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0C76E9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EB509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7F2BE9" w14:textId="77777777" w:rsidR="00000000" w:rsidRDefault="00C01C43">
            <w:pPr>
              <w:jc w:val="right"/>
              <w:rPr>
                <w:rFonts w:eastAsia="Times New Roman"/>
              </w:rPr>
            </w:pPr>
            <w:r>
              <w:rPr>
                <w:rFonts w:ascii="Arial" w:eastAsia="Times New Roman" w:hAnsi="Arial" w:cs="Arial"/>
                <w:color w:val="000000"/>
                <w:sz w:val="20"/>
                <w:szCs w:val="20"/>
              </w:rPr>
              <w:t>19.8 </w:t>
            </w:r>
          </w:p>
        </w:tc>
        <w:tc>
          <w:tcPr>
            <w:tcW w:w="0" w:type="auto"/>
            <w:shd w:val="clear" w:color="auto" w:fill="FFFFFF"/>
            <w:tcMar>
              <w:top w:w="30" w:type="dxa"/>
              <w:left w:w="0" w:type="dxa"/>
              <w:bottom w:w="30" w:type="dxa"/>
              <w:right w:w="20" w:type="dxa"/>
            </w:tcMar>
            <w:vAlign w:val="bottom"/>
            <w:hideMark/>
          </w:tcPr>
          <w:p w14:paraId="44C463EF" w14:textId="77777777" w:rsidR="00000000" w:rsidRDefault="00C01C43">
            <w:pPr>
              <w:jc w:val="right"/>
              <w:rPr>
                <w:rFonts w:eastAsia="Times New Roman"/>
              </w:rPr>
            </w:pPr>
          </w:p>
        </w:tc>
      </w:tr>
      <w:tr w:rsidR="00000000" w14:paraId="2909AC09" w14:textId="77777777">
        <w:trPr>
          <w:divId w:val="1010369677"/>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0CA3B095" w14:textId="77777777" w:rsidR="00000000" w:rsidRDefault="00C01C43">
            <w:pPr>
              <w:rPr>
                <w:rFonts w:eastAsia="Times New Roman"/>
              </w:rPr>
            </w:pPr>
            <w:r>
              <w:rPr>
                <w:rFonts w:ascii="Arial" w:eastAsia="Times New Roman" w:hAnsi="Arial" w:cs="Arial"/>
                <w:color w:val="000000"/>
                <w:sz w:val="20"/>
                <w:szCs w:val="20"/>
              </w:rPr>
              <w:t>Total liabilities at fair value</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EB9EE3C" w14:textId="77777777" w:rsidR="00000000" w:rsidRDefault="00C01C4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DF5772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E8B052" w14:textId="77777777" w:rsidR="00000000" w:rsidRDefault="00C01C43">
            <w:pPr>
              <w:jc w:val="right"/>
              <w:rPr>
                <w:rFonts w:eastAsia="Times New Roman"/>
              </w:rPr>
            </w:pPr>
            <w:r>
              <w:rPr>
                <w:rFonts w:ascii="Arial" w:eastAsia="Times New Roman" w:hAnsi="Arial" w:cs="Arial"/>
                <w:color w:val="000000"/>
                <w:sz w:val="20"/>
                <w:szCs w:val="20"/>
              </w:rPr>
              <w:t>223.0 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C0E027"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63641201"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13A86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302A72" w14:textId="77777777" w:rsidR="00000000" w:rsidRDefault="00C01C43">
            <w:pPr>
              <w:jc w:val="right"/>
              <w:rPr>
                <w:rFonts w:eastAsia="Times New Roman"/>
              </w:rPr>
            </w:pPr>
            <w:r>
              <w:rPr>
                <w:rFonts w:ascii="Arial" w:eastAsia="Times New Roman" w:hAnsi="Arial" w:cs="Arial"/>
                <w:color w:val="000000"/>
                <w:sz w:val="20"/>
                <w:szCs w:val="20"/>
              </w:rPr>
              <w:t>120.2 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D925A3"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985D054"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9618D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446A98" w14:textId="77777777" w:rsidR="00000000" w:rsidRDefault="00C01C43">
            <w:pPr>
              <w:jc w:val="right"/>
              <w:rPr>
                <w:rFonts w:eastAsia="Times New Roman"/>
              </w:rPr>
            </w:pPr>
            <w:r>
              <w:rPr>
                <w:rFonts w:ascii="Arial" w:eastAsia="Times New Roman" w:hAnsi="Arial" w:cs="Arial"/>
                <w:color w:val="000000"/>
                <w:sz w:val="20"/>
                <w:szCs w:val="20"/>
              </w:rPr>
              <w:t>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BA0550"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C6A9B77"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DAF00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384265" w14:textId="77777777" w:rsidR="00000000" w:rsidRDefault="00C01C43">
            <w:pPr>
              <w:jc w:val="right"/>
              <w:rPr>
                <w:rFonts w:eastAsia="Times New Roman"/>
              </w:rPr>
            </w:pPr>
            <w:r>
              <w:rPr>
                <w:rFonts w:ascii="Arial" w:eastAsia="Times New Roman" w:hAnsi="Arial" w:cs="Arial"/>
                <w:color w:val="000000"/>
                <w:sz w:val="20"/>
                <w:szCs w:val="20"/>
              </w:rPr>
              <w:t>349.5 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57F973" w14:textId="77777777" w:rsidR="00000000" w:rsidRDefault="00C01C43">
            <w:pPr>
              <w:jc w:val="right"/>
              <w:rPr>
                <w:rFonts w:eastAsia="Times New Roman"/>
              </w:rPr>
            </w:pPr>
          </w:p>
        </w:tc>
      </w:tr>
    </w:tbl>
    <w:tbl>
      <w:tblPr>
        <w:tblW w:w="4985" w:type="pct"/>
        <w:jc w:val="center"/>
        <w:tblCellMar>
          <w:top w:w="15" w:type="dxa"/>
          <w:left w:w="15" w:type="dxa"/>
          <w:bottom w:w="15" w:type="dxa"/>
          <w:right w:w="15" w:type="dxa"/>
        </w:tblCellMar>
        <w:tblLook w:val="04A0" w:firstRow="1" w:lastRow="0" w:firstColumn="1" w:lastColumn="0" w:noHBand="0" w:noVBand="1"/>
      </w:tblPr>
      <w:tblGrid>
        <w:gridCol w:w="144"/>
        <w:gridCol w:w="4521"/>
        <w:gridCol w:w="144"/>
        <w:gridCol w:w="144"/>
        <w:gridCol w:w="144"/>
        <w:gridCol w:w="144"/>
        <w:gridCol w:w="144"/>
        <w:gridCol w:w="722"/>
        <w:gridCol w:w="144"/>
        <w:gridCol w:w="144"/>
        <w:gridCol w:w="144"/>
        <w:gridCol w:w="144"/>
        <w:gridCol w:w="144"/>
        <w:gridCol w:w="722"/>
        <w:gridCol w:w="144"/>
        <w:gridCol w:w="144"/>
        <w:gridCol w:w="144"/>
        <w:gridCol w:w="144"/>
        <w:gridCol w:w="144"/>
        <w:gridCol w:w="722"/>
        <w:gridCol w:w="144"/>
        <w:gridCol w:w="144"/>
        <w:gridCol w:w="144"/>
        <w:gridCol w:w="144"/>
        <w:gridCol w:w="144"/>
        <w:gridCol w:w="891"/>
        <w:gridCol w:w="144"/>
      </w:tblGrid>
      <w:tr w:rsidR="00000000" w14:paraId="13B30684" w14:textId="77777777">
        <w:trPr>
          <w:jc w:val="center"/>
        </w:trPr>
        <w:tc>
          <w:tcPr>
            <w:tcW w:w="50" w:type="pct"/>
            <w:vAlign w:val="center"/>
            <w:hideMark/>
          </w:tcPr>
          <w:p w14:paraId="7319A777" w14:textId="77777777" w:rsidR="00000000" w:rsidRDefault="00C01C43">
            <w:pPr>
              <w:jc w:val="both"/>
              <w:rPr>
                <w:rFonts w:eastAsia="Times New Roman"/>
              </w:rPr>
            </w:pPr>
          </w:p>
        </w:tc>
        <w:tc>
          <w:tcPr>
            <w:tcW w:w="2730" w:type="pct"/>
            <w:vAlign w:val="center"/>
            <w:hideMark/>
          </w:tcPr>
          <w:p w14:paraId="3A3A6409" w14:textId="77777777" w:rsidR="00000000" w:rsidRDefault="00C01C43">
            <w:pPr>
              <w:rPr>
                <w:rFonts w:eastAsia="Times New Roman"/>
                <w:sz w:val="20"/>
                <w:szCs w:val="20"/>
              </w:rPr>
            </w:pPr>
          </w:p>
        </w:tc>
        <w:tc>
          <w:tcPr>
            <w:tcW w:w="5" w:type="pct"/>
            <w:vAlign w:val="center"/>
            <w:hideMark/>
          </w:tcPr>
          <w:p w14:paraId="6D1C8502" w14:textId="77777777" w:rsidR="00000000" w:rsidRDefault="00C01C43">
            <w:pPr>
              <w:rPr>
                <w:rFonts w:eastAsia="Times New Roman"/>
                <w:sz w:val="20"/>
                <w:szCs w:val="20"/>
              </w:rPr>
            </w:pPr>
          </w:p>
        </w:tc>
        <w:tc>
          <w:tcPr>
            <w:tcW w:w="5" w:type="pct"/>
            <w:vAlign w:val="center"/>
            <w:hideMark/>
          </w:tcPr>
          <w:p w14:paraId="7A279276" w14:textId="77777777" w:rsidR="00000000" w:rsidRDefault="00C01C43">
            <w:pPr>
              <w:rPr>
                <w:rFonts w:eastAsia="Times New Roman"/>
                <w:sz w:val="20"/>
                <w:szCs w:val="20"/>
              </w:rPr>
            </w:pPr>
          </w:p>
        </w:tc>
        <w:tc>
          <w:tcPr>
            <w:tcW w:w="26" w:type="pct"/>
            <w:vAlign w:val="center"/>
            <w:hideMark/>
          </w:tcPr>
          <w:p w14:paraId="5B2AB911" w14:textId="77777777" w:rsidR="00000000" w:rsidRDefault="00C01C43">
            <w:pPr>
              <w:rPr>
                <w:rFonts w:eastAsia="Times New Roman"/>
                <w:sz w:val="20"/>
                <w:szCs w:val="20"/>
              </w:rPr>
            </w:pPr>
          </w:p>
        </w:tc>
        <w:tc>
          <w:tcPr>
            <w:tcW w:w="5" w:type="pct"/>
            <w:vAlign w:val="center"/>
            <w:hideMark/>
          </w:tcPr>
          <w:p w14:paraId="110AB94A" w14:textId="77777777" w:rsidR="00000000" w:rsidRDefault="00C01C43">
            <w:pPr>
              <w:rPr>
                <w:rFonts w:eastAsia="Times New Roman"/>
                <w:sz w:val="20"/>
                <w:szCs w:val="20"/>
              </w:rPr>
            </w:pPr>
          </w:p>
        </w:tc>
        <w:tc>
          <w:tcPr>
            <w:tcW w:w="50" w:type="pct"/>
            <w:vAlign w:val="center"/>
            <w:hideMark/>
          </w:tcPr>
          <w:p w14:paraId="637305E0" w14:textId="77777777" w:rsidR="00000000" w:rsidRDefault="00C01C43">
            <w:pPr>
              <w:rPr>
                <w:rFonts w:eastAsia="Times New Roman"/>
                <w:sz w:val="20"/>
                <w:szCs w:val="20"/>
              </w:rPr>
            </w:pPr>
          </w:p>
        </w:tc>
        <w:tc>
          <w:tcPr>
            <w:tcW w:w="436" w:type="pct"/>
            <w:vAlign w:val="center"/>
            <w:hideMark/>
          </w:tcPr>
          <w:p w14:paraId="4EB552D7" w14:textId="77777777" w:rsidR="00000000" w:rsidRDefault="00C01C43">
            <w:pPr>
              <w:rPr>
                <w:rFonts w:eastAsia="Times New Roman"/>
                <w:sz w:val="20"/>
                <w:szCs w:val="20"/>
              </w:rPr>
            </w:pPr>
          </w:p>
        </w:tc>
        <w:tc>
          <w:tcPr>
            <w:tcW w:w="5" w:type="pct"/>
            <w:vAlign w:val="center"/>
            <w:hideMark/>
          </w:tcPr>
          <w:p w14:paraId="1D37F499" w14:textId="77777777" w:rsidR="00000000" w:rsidRDefault="00C01C43">
            <w:pPr>
              <w:rPr>
                <w:rFonts w:eastAsia="Times New Roman"/>
                <w:sz w:val="20"/>
                <w:szCs w:val="20"/>
              </w:rPr>
            </w:pPr>
          </w:p>
        </w:tc>
        <w:tc>
          <w:tcPr>
            <w:tcW w:w="5" w:type="pct"/>
            <w:vAlign w:val="center"/>
            <w:hideMark/>
          </w:tcPr>
          <w:p w14:paraId="06AF5A0B" w14:textId="77777777" w:rsidR="00000000" w:rsidRDefault="00C01C43">
            <w:pPr>
              <w:rPr>
                <w:rFonts w:eastAsia="Times New Roman"/>
                <w:sz w:val="20"/>
                <w:szCs w:val="20"/>
              </w:rPr>
            </w:pPr>
          </w:p>
        </w:tc>
        <w:tc>
          <w:tcPr>
            <w:tcW w:w="26" w:type="pct"/>
            <w:vAlign w:val="center"/>
            <w:hideMark/>
          </w:tcPr>
          <w:p w14:paraId="101DFDEA" w14:textId="77777777" w:rsidR="00000000" w:rsidRDefault="00C01C43">
            <w:pPr>
              <w:rPr>
                <w:rFonts w:eastAsia="Times New Roman"/>
                <w:sz w:val="20"/>
                <w:szCs w:val="20"/>
              </w:rPr>
            </w:pPr>
          </w:p>
        </w:tc>
        <w:tc>
          <w:tcPr>
            <w:tcW w:w="5" w:type="pct"/>
            <w:vAlign w:val="center"/>
            <w:hideMark/>
          </w:tcPr>
          <w:p w14:paraId="69A2AA09" w14:textId="77777777" w:rsidR="00000000" w:rsidRDefault="00C01C43">
            <w:pPr>
              <w:rPr>
                <w:rFonts w:eastAsia="Times New Roman"/>
                <w:sz w:val="20"/>
                <w:szCs w:val="20"/>
              </w:rPr>
            </w:pPr>
          </w:p>
        </w:tc>
        <w:tc>
          <w:tcPr>
            <w:tcW w:w="50" w:type="pct"/>
            <w:vAlign w:val="center"/>
            <w:hideMark/>
          </w:tcPr>
          <w:p w14:paraId="206205AC" w14:textId="77777777" w:rsidR="00000000" w:rsidRDefault="00C01C43">
            <w:pPr>
              <w:rPr>
                <w:rFonts w:eastAsia="Times New Roman"/>
                <w:sz w:val="20"/>
                <w:szCs w:val="20"/>
              </w:rPr>
            </w:pPr>
          </w:p>
        </w:tc>
        <w:tc>
          <w:tcPr>
            <w:tcW w:w="436" w:type="pct"/>
            <w:vAlign w:val="center"/>
            <w:hideMark/>
          </w:tcPr>
          <w:p w14:paraId="6B804843" w14:textId="77777777" w:rsidR="00000000" w:rsidRDefault="00C01C43">
            <w:pPr>
              <w:rPr>
                <w:rFonts w:eastAsia="Times New Roman"/>
                <w:sz w:val="20"/>
                <w:szCs w:val="20"/>
              </w:rPr>
            </w:pPr>
          </w:p>
        </w:tc>
        <w:tc>
          <w:tcPr>
            <w:tcW w:w="5" w:type="pct"/>
            <w:vAlign w:val="center"/>
            <w:hideMark/>
          </w:tcPr>
          <w:p w14:paraId="336115B2" w14:textId="77777777" w:rsidR="00000000" w:rsidRDefault="00C01C43">
            <w:pPr>
              <w:rPr>
                <w:rFonts w:eastAsia="Times New Roman"/>
                <w:sz w:val="20"/>
                <w:szCs w:val="20"/>
              </w:rPr>
            </w:pPr>
          </w:p>
        </w:tc>
        <w:tc>
          <w:tcPr>
            <w:tcW w:w="5" w:type="pct"/>
            <w:vAlign w:val="center"/>
            <w:hideMark/>
          </w:tcPr>
          <w:p w14:paraId="2E8A221C" w14:textId="77777777" w:rsidR="00000000" w:rsidRDefault="00C01C43">
            <w:pPr>
              <w:rPr>
                <w:rFonts w:eastAsia="Times New Roman"/>
                <w:sz w:val="20"/>
                <w:szCs w:val="20"/>
              </w:rPr>
            </w:pPr>
          </w:p>
        </w:tc>
        <w:tc>
          <w:tcPr>
            <w:tcW w:w="26" w:type="pct"/>
            <w:vAlign w:val="center"/>
            <w:hideMark/>
          </w:tcPr>
          <w:p w14:paraId="044B5ADA" w14:textId="77777777" w:rsidR="00000000" w:rsidRDefault="00C01C43">
            <w:pPr>
              <w:rPr>
                <w:rFonts w:eastAsia="Times New Roman"/>
                <w:sz w:val="20"/>
                <w:szCs w:val="20"/>
              </w:rPr>
            </w:pPr>
          </w:p>
        </w:tc>
        <w:tc>
          <w:tcPr>
            <w:tcW w:w="5" w:type="pct"/>
            <w:vAlign w:val="center"/>
            <w:hideMark/>
          </w:tcPr>
          <w:p w14:paraId="59E90608" w14:textId="77777777" w:rsidR="00000000" w:rsidRDefault="00C01C43">
            <w:pPr>
              <w:rPr>
                <w:rFonts w:eastAsia="Times New Roman"/>
                <w:sz w:val="20"/>
                <w:szCs w:val="20"/>
              </w:rPr>
            </w:pPr>
          </w:p>
        </w:tc>
        <w:tc>
          <w:tcPr>
            <w:tcW w:w="50" w:type="pct"/>
            <w:vAlign w:val="center"/>
            <w:hideMark/>
          </w:tcPr>
          <w:p w14:paraId="5B993A85" w14:textId="77777777" w:rsidR="00000000" w:rsidRDefault="00C01C43">
            <w:pPr>
              <w:rPr>
                <w:rFonts w:eastAsia="Times New Roman"/>
                <w:sz w:val="20"/>
                <w:szCs w:val="20"/>
              </w:rPr>
            </w:pPr>
          </w:p>
        </w:tc>
        <w:tc>
          <w:tcPr>
            <w:tcW w:w="436" w:type="pct"/>
            <w:vAlign w:val="center"/>
            <w:hideMark/>
          </w:tcPr>
          <w:p w14:paraId="2066E373" w14:textId="77777777" w:rsidR="00000000" w:rsidRDefault="00C01C43">
            <w:pPr>
              <w:rPr>
                <w:rFonts w:eastAsia="Times New Roman"/>
                <w:sz w:val="20"/>
                <w:szCs w:val="20"/>
              </w:rPr>
            </w:pPr>
          </w:p>
        </w:tc>
        <w:tc>
          <w:tcPr>
            <w:tcW w:w="5" w:type="pct"/>
            <w:vAlign w:val="center"/>
            <w:hideMark/>
          </w:tcPr>
          <w:p w14:paraId="2630722B" w14:textId="77777777" w:rsidR="00000000" w:rsidRDefault="00C01C43">
            <w:pPr>
              <w:rPr>
                <w:rFonts w:eastAsia="Times New Roman"/>
                <w:sz w:val="20"/>
                <w:szCs w:val="20"/>
              </w:rPr>
            </w:pPr>
          </w:p>
        </w:tc>
        <w:tc>
          <w:tcPr>
            <w:tcW w:w="5" w:type="pct"/>
            <w:vAlign w:val="center"/>
            <w:hideMark/>
          </w:tcPr>
          <w:p w14:paraId="2B98A8B9" w14:textId="77777777" w:rsidR="00000000" w:rsidRDefault="00C01C43">
            <w:pPr>
              <w:rPr>
                <w:rFonts w:eastAsia="Times New Roman"/>
                <w:sz w:val="20"/>
                <w:szCs w:val="20"/>
              </w:rPr>
            </w:pPr>
          </w:p>
        </w:tc>
        <w:tc>
          <w:tcPr>
            <w:tcW w:w="26" w:type="pct"/>
            <w:vAlign w:val="center"/>
            <w:hideMark/>
          </w:tcPr>
          <w:p w14:paraId="1A8D9787" w14:textId="77777777" w:rsidR="00000000" w:rsidRDefault="00C01C43">
            <w:pPr>
              <w:rPr>
                <w:rFonts w:eastAsia="Times New Roman"/>
                <w:sz w:val="20"/>
                <w:szCs w:val="20"/>
              </w:rPr>
            </w:pPr>
          </w:p>
        </w:tc>
        <w:tc>
          <w:tcPr>
            <w:tcW w:w="5" w:type="pct"/>
            <w:vAlign w:val="center"/>
            <w:hideMark/>
          </w:tcPr>
          <w:p w14:paraId="44FAD31C" w14:textId="77777777" w:rsidR="00000000" w:rsidRDefault="00C01C43">
            <w:pPr>
              <w:rPr>
                <w:rFonts w:eastAsia="Times New Roman"/>
                <w:sz w:val="20"/>
                <w:szCs w:val="20"/>
              </w:rPr>
            </w:pPr>
          </w:p>
        </w:tc>
        <w:tc>
          <w:tcPr>
            <w:tcW w:w="50" w:type="pct"/>
            <w:vAlign w:val="center"/>
            <w:hideMark/>
          </w:tcPr>
          <w:p w14:paraId="6581B46F" w14:textId="77777777" w:rsidR="00000000" w:rsidRDefault="00C01C43">
            <w:pPr>
              <w:rPr>
                <w:rFonts w:eastAsia="Times New Roman"/>
                <w:sz w:val="20"/>
                <w:szCs w:val="20"/>
              </w:rPr>
            </w:pPr>
          </w:p>
        </w:tc>
        <w:tc>
          <w:tcPr>
            <w:tcW w:w="538" w:type="pct"/>
            <w:vAlign w:val="center"/>
            <w:hideMark/>
          </w:tcPr>
          <w:p w14:paraId="3BF3E94E" w14:textId="77777777" w:rsidR="00000000" w:rsidRDefault="00C01C43">
            <w:pPr>
              <w:rPr>
                <w:rFonts w:eastAsia="Times New Roman"/>
                <w:sz w:val="20"/>
                <w:szCs w:val="20"/>
              </w:rPr>
            </w:pPr>
          </w:p>
        </w:tc>
        <w:tc>
          <w:tcPr>
            <w:tcW w:w="5" w:type="pct"/>
            <w:vAlign w:val="center"/>
            <w:hideMark/>
          </w:tcPr>
          <w:p w14:paraId="174A2D28" w14:textId="77777777" w:rsidR="00000000" w:rsidRDefault="00C01C43">
            <w:pPr>
              <w:rPr>
                <w:rFonts w:eastAsia="Times New Roman"/>
                <w:sz w:val="20"/>
                <w:szCs w:val="20"/>
              </w:rPr>
            </w:pPr>
          </w:p>
        </w:tc>
      </w:tr>
      <w:tr w:rsidR="00000000" w14:paraId="7E093678" w14:textId="77777777">
        <w:trPr>
          <w:jc w:val="center"/>
        </w:trPr>
        <w:tc>
          <w:tcPr>
            <w:tcW w:w="0" w:type="auto"/>
            <w:gridSpan w:val="3"/>
            <w:tcMar>
              <w:top w:w="0" w:type="dxa"/>
              <w:left w:w="20" w:type="dxa"/>
              <w:bottom w:w="0" w:type="dxa"/>
              <w:right w:w="20" w:type="dxa"/>
            </w:tcMar>
            <w:vAlign w:val="center"/>
            <w:hideMark/>
          </w:tcPr>
          <w:p w14:paraId="560DA528" w14:textId="77777777" w:rsidR="00000000" w:rsidRDefault="00C01C43">
            <w:pPr>
              <w:rPr>
                <w:rFonts w:eastAsia="Times New Roman"/>
                <w:sz w:val="20"/>
                <w:szCs w:val="20"/>
              </w:rPr>
            </w:pPr>
          </w:p>
        </w:tc>
        <w:tc>
          <w:tcPr>
            <w:tcW w:w="0" w:type="auto"/>
            <w:gridSpan w:val="24"/>
            <w:tcMar>
              <w:top w:w="30" w:type="dxa"/>
              <w:left w:w="20" w:type="dxa"/>
              <w:bottom w:w="30" w:type="dxa"/>
              <w:right w:w="20" w:type="dxa"/>
            </w:tcMar>
            <w:vAlign w:val="bottom"/>
            <w:hideMark/>
          </w:tcPr>
          <w:p w14:paraId="6485DA01" w14:textId="77777777" w:rsidR="00000000" w:rsidRDefault="00C01C43">
            <w:pPr>
              <w:jc w:val="center"/>
              <w:rPr>
                <w:rFonts w:eastAsia="Times New Roman"/>
              </w:rPr>
            </w:pPr>
            <w:r>
              <w:rPr>
                <w:rFonts w:ascii="Arial" w:eastAsia="Times New Roman" w:hAnsi="Arial" w:cs="Arial"/>
                <w:b/>
                <w:bCs/>
                <w:color w:val="000000"/>
                <w:sz w:val="16"/>
                <w:szCs w:val="16"/>
              </w:rPr>
              <w:t>Fair Value Measurements as of December 31, 2019</w:t>
            </w:r>
          </w:p>
        </w:tc>
      </w:tr>
      <w:tr w:rsidR="00000000" w14:paraId="16BED530" w14:textId="77777777">
        <w:trPr>
          <w:jc w:val="center"/>
        </w:trPr>
        <w:tc>
          <w:tcPr>
            <w:tcW w:w="0" w:type="auto"/>
            <w:gridSpan w:val="3"/>
            <w:tcMar>
              <w:top w:w="0" w:type="dxa"/>
              <w:left w:w="20" w:type="dxa"/>
              <w:bottom w:w="0" w:type="dxa"/>
              <w:right w:w="20" w:type="dxa"/>
            </w:tcMar>
            <w:vAlign w:val="center"/>
            <w:hideMark/>
          </w:tcPr>
          <w:p w14:paraId="427B9F31" w14:textId="77777777" w:rsidR="00000000" w:rsidRDefault="00C01C43">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B96EF8C" w14:textId="77777777" w:rsidR="00000000" w:rsidRDefault="00C01C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870920C" w14:textId="77777777" w:rsidR="00000000" w:rsidRDefault="00C01C43">
            <w:pPr>
              <w:jc w:val="center"/>
              <w:rPr>
                <w:rFonts w:eastAsia="Times New Roman"/>
              </w:rPr>
            </w:pPr>
            <w:r>
              <w:rPr>
                <w:rFonts w:ascii="Arial" w:eastAsia="Times New Roman" w:hAnsi="Arial" w:cs="Arial"/>
                <w:b/>
                <w:bCs/>
                <w:color w:val="000000"/>
                <w:sz w:val="16"/>
                <w:szCs w:val="16"/>
              </w:rPr>
              <w:t>Level 1 Inputs</w:t>
            </w:r>
          </w:p>
        </w:tc>
        <w:tc>
          <w:tcPr>
            <w:tcW w:w="0" w:type="auto"/>
            <w:gridSpan w:val="3"/>
            <w:tcBorders>
              <w:top w:val="single" w:sz="8" w:space="0" w:color="000000"/>
            </w:tcBorders>
            <w:tcMar>
              <w:top w:w="0" w:type="dxa"/>
              <w:left w:w="20" w:type="dxa"/>
              <w:bottom w:w="0" w:type="dxa"/>
              <w:right w:w="20" w:type="dxa"/>
            </w:tcMar>
            <w:vAlign w:val="center"/>
            <w:hideMark/>
          </w:tcPr>
          <w:p w14:paraId="619F9513"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26D504" w14:textId="77777777" w:rsidR="00000000" w:rsidRDefault="00C01C43">
            <w:pPr>
              <w:jc w:val="center"/>
              <w:rPr>
                <w:rFonts w:eastAsia="Times New Roman"/>
              </w:rPr>
            </w:pPr>
            <w:r>
              <w:rPr>
                <w:rFonts w:ascii="Arial" w:eastAsia="Times New Roman" w:hAnsi="Arial" w:cs="Arial"/>
                <w:b/>
                <w:bCs/>
                <w:color w:val="000000"/>
                <w:sz w:val="16"/>
                <w:szCs w:val="16"/>
              </w:rPr>
              <w:t>Level 2 Inputs</w:t>
            </w:r>
          </w:p>
        </w:tc>
        <w:tc>
          <w:tcPr>
            <w:tcW w:w="0" w:type="auto"/>
            <w:gridSpan w:val="3"/>
            <w:tcBorders>
              <w:top w:val="single" w:sz="8" w:space="0" w:color="000000"/>
            </w:tcBorders>
            <w:tcMar>
              <w:top w:w="0" w:type="dxa"/>
              <w:left w:w="20" w:type="dxa"/>
              <w:bottom w:w="0" w:type="dxa"/>
              <w:right w:w="20" w:type="dxa"/>
            </w:tcMar>
            <w:vAlign w:val="center"/>
            <w:hideMark/>
          </w:tcPr>
          <w:p w14:paraId="66C6CF7F"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131B31" w14:textId="77777777" w:rsidR="00000000" w:rsidRDefault="00C01C43">
            <w:pPr>
              <w:jc w:val="center"/>
              <w:rPr>
                <w:rFonts w:eastAsia="Times New Roman"/>
              </w:rPr>
            </w:pPr>
            <w:r>
              <w:rPr>
                <w:rFonts w:ascii="Arial" w:eastAsia="Times New Roman" w:hAnsi="Arial" w:cs="Arial"/>
                <w:b/>
                <w:bCs/>
                <w:color w:val="000000"/>
                <w:sz w:val="16"/>
                <w:szCs w:val="16"/>
              </w:rPr>
              <w:t>Level 3 Inputs</w:t>
            </w:r>
          </w:p>
        </w:tc>
        <w:tc>
          <w:tcPr>
            <w:tcW w:w="0" w:type="auto"/>
            <w:gridSpan w:val="3"/>
            <w:tcBorders>
              <w:top w:val="single" w:sz="8" w:space="0" w:color="000000"/>
            </w:tcBorders>
            <w:tcMar>
              <w:top w:w="0" w:type="dxa"/>
              <w:left w:w="20" w:type="dxa"/>
              <w:bottom w:w="0" w:type="dxa"/>
              <w:right w:w="20" w:type="dxa"/>
            </w:tcMar>
            <w:vAlign w:val="center"/>
            <w:hideMark/>
          </w:tcPr>
          <w:p w14:paraId="1C0721C3"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A6EC29" w14:textId="77777777" w:rsidR="00000000" w:rsidRDefault="00C01C43">
            <w:pPr>
              <w:jc w:val="center"/>
              <w:rPr>
                <w:rFonts w:eastAsia="Times New Roman"/>
              </w:rPr>
            </w:pPr>
            <w:r>
              <w:rPr>
                <w:rFonts w:ascii="Arial" w:eastAsia="Times New Roman" w:hAnsi="Arial" w:cs="Arial"/>
                <w:b/>
                <w:bCs/>
                <w:color w:val="000000"/>
                <w:sz w:val="16"/>
                <w:szCs w:val="16"/>
              </w:rPr>
              <w:t>Total Fair Value</w:t>
            </w:r>
          </w:p>
        </w:tc>
      </w:tr>
      <w:tr w:rsidR="00000000" w14:paraId="1424B199"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2054251" w14:textId="77777777" w:rsidR="00000000" w:rsidRDefault="00C01C43">
            <w:pPr>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CDF9E4"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F858DA"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755F6F"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DB2706"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74FB20"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D2F4D6"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077308"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D4EA13" w14:textId="77777777" w:rsidR="00000000" w:rsidRDefault="00C01C43">
            <w:pPr>
              <w:rPr>
                <w:rFonts w:eastAsia="Times New Roman"/>
                <w:sz w:val="20"/>
                <w:szCs w:val="20"/>
              </w:rPr>
            </w:pPr>
          </w:p>
        </w:tc>
      </w:tr>
      <w:tr w:rsidR="00000000" w14:paraId="005B302D" w14:textId="77777777">
        <w:trPr>
          <w:jc w:val="center"/>
        </w:trPr>
        <w:tc>
          <w:tcPr>
            <w:tcW w:w="0" w:type="auto"/>
            <w:gridSpan w:val="3"/>
            <w:shd w:val="clear" w:color="auto" w:fill="FFFFFF"/>
            <w:tcMar>
              <w:top w:w="30" w:type="dxa"/>
              <w:left w:w="20" w:type="dxa"/>
              <w:bottom w:w="30" w:type="dxa"/>
              <w:right w:w="20" w:type="dxa"/>
            </w:tcMar>
            <w:vAlign w:val="bottom"/>
            <w:hideMark/>
          </w:tcPr>
          <w:p w14:paraId="5EBDF420" w14:textId="77777777" w:rsidR="00000000" w:rsidRDefault="00C01C43">
            <w:pPr>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384B5CA5" w14:textId="77777777" w:rsidR="00000000" w:rsidRDefault="00C01C43">
            <w:pPr>
              <w:rPr>
                <w:rFonts w:eastAsia="Times New Roman"/>
              </w:rPr>
            </w:pPr>
          </w:p>
        </w:tc>
        <w:tc>
          <w:tcPr>
            <w:tcW w:w="0" w:type="auto"/>
            <w:shd w:val="clear" w:color="auto" w:fill="FFFFFF"/>
            <w:tcMar>
              <w:top w:w="30" w:type="dxa"/>
              <w:left w:w="20" w:type="dxa"/>
              <w:bottom w:w="30" w:type="dxa"/>
              <w:right w:w="0" w:type="dxa"/>
            </w:tcMar>
            <w:vAlign w:val="bottom"/>
            <w:hideMark/>
          </w:tcPr>
          <w:p w14:paraId="3E2E0ACC"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760FA52" w14:textId="77777777" w:rsidR="00000000" w:rsidRDefault="00C01C43">
            <w:pPr>
              <w:jc w:val="right"/>
              <w:rPr>
                <w:rFonts w:eastAsia="Times New Roman"/>
              </w:rPr>
            </w:pPr>
            <w:r>
              <w:rPr>
                <w:rFonts w:ascii="Arial" w:eastAsia="Times New Roman" w:hAnsi="Arial" w:cs="Arial"/>
                <w:color w:val="000000"/>
                <w:sz w:val="20"/>
                <w:szCs w:val="20"/>
              </w:rPr>
              <w:t>148.3 </w:t>
            </w:r>
          </w:p>
        </w:tc>
        <w:tc>
          <w:tcPr>
            <w:tcW w:w="0" w:type="auto"/>
            <w:shd w:val="clear" w:color="auto" w:fill="FFFFFF"/>
            <w:tcMar>
              <w:top w:w="30" w:type="dxa"/>
              <w:left w:w="0" w:type="dxa"/>
              <w:bottom w:w="30" w:type="dxa"/>
              <w:right w:w="20" w:type="dxa"/>
            </w:tcMar>
            <w:vAlign w:val="bottom"/>
            <w:hideMark/>
          </w:tcPr>
          <w:p w14:paraId="2E6FD6D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18851"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274439"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A710C68" w14:textId="77777777" w:rsidR="00000000" w:rsidRDefault="00C01C43">
            <w:pPr>
              <w:jc w:val="right"/>
              <w:rPr>
                <w:rFonts w:eastAsia="Times New Roman"/>
              </w:rPr>
            </w:pPr>
            <w:r>
              <w:rPr>
                <w:rFonts w:ascii="Arial" w:eastAsia="Times New Roman" w:hAnsi="Arial" w:cs="Arial"/>
                <w:color w:val="000000"/>
                <w:sz w:val="20"/>
                <w:szCs w:val="20"/>
              </w:rPr>
              <w:t>100.0 </w:t>
            </w:r>
          </w:p>
        </w:tc>
        <w:tc>
          <w:tcPr>
            <w:tcW w:w="0" w:type="auto"/>
            <w:shd w:val="clear" w:color="auto" w:fill="FFFFFF"/>
            <w:tcMar>
              <w:top w:w="30" w:type="dxa"/>
              <w:left w:w="0" w:type="dxa"/>
              <w:bottom w:w="30" w:type="dxa"/>
              <w:right w:w="20" w:type="dxa"/>
            </w:tcMar>
            <w:vAlign w:val="bottom"/>
            <w:hideMark/>
          </w:tcPr>
          <w:p w14:paraId="0DF5D97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52C83"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AA9557C"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D416338" w14:textId="77777777" w:rsidR="00000000" w:rsidRDefault="00C01C43">
            <w:pPr>
              <w:jc w:val="right"/>
              <w:rPr>
                <w:rFonts w:eastAsia="Times New Roman"/>
              </w:rPr>
            </w:pPr>
            <w:r>
              <w:rPr>
                <w:rFonts w:ascii="Arial" w:eastAsia="Times New Roman" w:hAnsi="Arial" w:cs="Arial"/>
                <w:color w:val="000000"/>
                <w:sz w:val="20"/>
                <w:szCs w:val="20"/>
              </w:rPr>
              <w:t>10.7 </w:t>
            </w:r>
          </w:p>
        </w:tc>
        <w:tc>
          <w:tcPr>
            <w:tcW w:w="0" w:type="auto"/>
            <w:shd w:val="clear" w:color="auto" w:fill="FFFFFF"/>
            <w:tcMar>
              <w:top w:w="30" w:type="dxa"/>
              <w:left w:w="0" w:type="dxa"/>
              <w:bottom w:w="30" w:type="dxa"/>
              <w:right w:w="20" w:type="dxa"/>
            </w:tcMar>
            <w:vAlign w:val="bottom"/>
            <w:hideMark/>
          </w:tcPr>
          <w:p w14:paraId="608827D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D74C4"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25613E"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110396D" w14:textId="77777777" w:rsidR="00000000" w:rsidRDefault="00C01C43">
            <w:pPr>
              <w:jc w:val="right"/>
              <w:rPr>
                <w:rFonts w:eastAsia="Times New Roman"/>
              </w:rPr>
            </w:pPr>
            <w:r>
              <w:rPr>
                <w:rFonts w:ascii="Arial" w:eastAsia="Times New Roman" w:hAnsi="Arial" w:cs="Arial"/>
                <w:color w:val="000000"/>
                <w:sz w:val="20"/>
                <w:szCs w:val="20"/>
              </w:rPr>
              <w:t>259.0 </w:t>
            </w:r>
          </w:p>
        </w:tc>
        <w:tc>
          <w:tcPr>
            <w:tcW w:w="0" w:type="auto"/>
            <w:shd w:val="clear" w:color="auto" w:fill="FFFFFF"/>
            <w:tcMar>
              <w:top w:w="30" w:type="dxa"/>
              <w:left w:w="0" w:type="dxa"/>
              <w:bottom w:w="30" w:type="dxa"/>
              <w:right w:w="20" w:type="dxa"/>
            </w:tcMar>
            <w:vAlign w:val="bottom"/>
            <w:hideMark/>
          </w:tcPr>
          <w:p w14:paraId="4677E363" w14:textId="77777777" w:rsidR="00000000" w:rsidRDefault="00C01C43">
            <w:pPr>
              <w:jc w:val="right"/>
              <w:rPr>
                <w:rFonts w:eastAsia="Times New Roman"/>
              </w:rPr>
            </w:pPr>
          </w:p>
        </w:tc>
      </w:tr>
      <w:tr w:rsidR="00000000" w14:paraId="5813B9AE" w14:textId="77777777">
        <w:trPr>
          <w:jc w:val="center"/>
        </w:trPr>
        <w:tc>
          <w:tcPr>
            <w:tcW w:w="0" w:type="auto"/>
            <w:gridSpan w:val="3"/>
            <w:shd w:val="clear" w:color="auto" w:fill="CCEEFF"/>
            <w:tcMar>
              <w:top w:w="30" w:type="dxa"/>
              <w:left w:w="20" w:type="dxa"/>
              <w:bottom w:w="30" w:type="dxa"/>
              <w:right w:w="20" w:type="dxa"/>
            </w:tcMar>
            <w:vAlign w:val="bottom"/>
            <w:hideMark/>
          </w:tcPr>
          <w:p w14:paraId="4553CE58" w14:textId="77777777" w:rsidR="00000000" w:rsidRDefault="00C01C43">
            <w:pPr>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3B1FCEF3"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53255B"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66CCEF2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0400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A52C9A" w14:textId="77777777" w:rsidR="00000000" w:rsidRDefault="00C01C43">
            <w:pPr>
              <w:jc w:val="right"/>
              <w:rPr>
                <w:rFonts w:eastAsia="Times New Roman"/>
              </w:rPr>
            </w:pPr>
            <w:r>
              <w:rPr>
                <w:rFonts w:ascii="Arial" w:eastAsia="Times New Roman" w:hAnsi="Arial" w:cs="Arial"/>
                <w:color w:val="000000"/>
                <w:sz w:val="20"/>
                <w:szCs w:val="20"/>
              </w:rPr>
              <w:t>2.0 </w:t>
            </w:r>
          </w:p>
        </w:tc>
        <w:tc>
          <w:tcPr>
            <w:tcW w:w="0" w:type="auto"/>
            <w:shd w:val="clear" w:color="auto" w:fill="CCEEFF"/>
            <w:tcMar>
              <w:top w:w="30" w:type="dxa"/>
              <w:left w:w="0" w:type="dxa"/>
              <w:bottom w:w="30" w:type="dxa"/>
              <w:right w:w="20" w:type="dxa"/>
            </w:tcMar>
            <w:vAlign w:val="bottom"/>
            <w:hideMark/>
          </w:tcPr>
          <w:p w14:paraId="06ACE48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85EB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E78C57"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43FFE65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4271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CD7461" w14:textId="77777777" w:rsidR="00000000" w:rsidRDefault="00C01C43">
            <w:pPr>
              <w:jc w:val="right"/>
              <w:rPr>
                <w:rFonts w:eastAsia="Times New Roman"/>
              </w:rPr>
            </w:pPr>
            <w:r>
              <w:rPr>
                <w:rFonts w:ascii="Arial" w:eastAsia="Times New Roman" w:hAnsi="Arial" w:cs="Arial"/>
                <w:color w:val="000000"/>
                <w:sz w:val="20"/>
                <w:szCs w:val="20"/>
              </w:rPr>
              <w:t>2.0 </w:t>
            </w:r>
          </w:p>
        </w:tc>
        <w:tc>
          <w:tcPr>
            <w:tcW w:w="0" w:type="auto"/>
            <w:shd w:val="clear" w:color="auto" w:fill="CCEEFF"/>
            <w:tcMar>
              <w:top w:w="30" w:type="dxa"/>
              <w:left w:w="0" w:type="dxa"/>
              <w:bottom w:w="30" w:type="dxa"/>
              <w:right w:w="20" w:type="dxa"/>
            </w:tcMar>
            <w:vAlign w:val="bottom"/>
            <w:hideMark/>
          </w:tcPr>
          <w:p w14:paraId="26F675D8" w14:textId="77777777" w:rsidR="00000000" w:rsidRDefault="00C01C43">
            <w:pPr>
              <w:jc w:val="right"/>
              <w:rPr>
                <w:rFonts w:eastAsia="Times New Roman"/>
              </w:rPr>
            </w:pPr>
          </w:p>
        </w:tc>
      </w:tr>
      <w:tr w:rsidR="00000000" w14:paraId="666DF8B7" w14:textId="77777777">
        <w:trPr>
          <w:jc w:val="center"/>
        </w:trPr>
        <w:tc>
          <w:tcPr>
            <w:tcW w:w="0" w:type="auto"/>
            <w:gridSpan w:val="3"/>
            <w:shd w:val="clear" w:color="auto" w:fill="FFFFFF"/>
            <w:tcMar>
              <w:top w:w="30" w:type="dxa"/>
              <w:left w:w="20" w:type="dxa"/>
              <w:bottom w:w="30" w:type="dxa"/>
              <w:right w:w="20" w:type="dxa"/>
            </w:tcMar>
            <w:vAlign w:val="bottom"/>
            <w:hideMark/>
          </w:tcPr>
          <w:p w14:paraId="07C73CBA" w14:textId="77777777" w:rsidR="00000000" w:rsidRDefault="00C01C43">
            <w:pPr>
              <w:rPr>
                <w:rFonts w:eastAsia="Times New Roman"/>
              </w:rPr>
            </w:pPr>
            <w:r>
              <w:rPr>
                <w:rFonts w:ascii="Arial" w:eastAsia="Times New Roman" w:hAnsi="Arial" w:cs="Arial"/>
                <w:color w:val="000000"/>
                <w:sz w:val="20"/>
                <w:szCs w:val="20"/>
              </w:rPr>
              <w:t>Cash surrender value of life insurance</w:t>
            </w:r>
          </w:p>
        </w:tc>
        <w:tc>
          <w:tcPr>
            <w:tcW w:w="0" w:type="auto"/>
            <w:gridSpan w:val="3"/>
            <w:shd w:val="clear" w:color="auto" w:fill="FFFFFF"/>
            <w:tcMar>
              <w:top w:w="0" w:type="dxa"/>
              <w:left w:w="20" w:type="dxa"/>
              <w:bottom w:w="0" w:type="dxa"/>
              <w:right w:w="20" w:type="dxa"/>
            </w:tcMar>
            <w:vAlign w:val="center"/>
            <w:hideMark/>
          </w:tcPr>
          <w:p w14:paraId="0171705C"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F02327"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5281960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65E136"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7DBDD0" w14:textId="77777777" w:rsidR="00000000" w:rsidRDefault="00C01C43">
            <w:pPr>
              <w:jc w:val="right"/>
              <w:rPr>
                <w:rFonts w:eastAsia="Times New Roman"/>
              </w:rPr>
            </w:pPr>
            <w:r>
              <w:rPr>
                <w:rFonts w:ascii="Arial" w:eastAsia="Times New Roman" w:hAnsi="Arial" w:cs="Arial"/>
                <w:color w:val="000000"/>
                <w:sz w:val="20"/>
                <w:szCs w:val="20"/>
              </w:rPr>
              <w:t>9.4 </w:t>
            </w:r>
          </w:p>
        </w:tc>
        <w:tc>
          <w:tcPr>
            <w:tcW w:w="0" w:type="auto"/>
            <w:shd w:val="clear" w:color="auto" w:fill="FFFFFF"/>
            <w:tcMar>
              <w:top w:w="30" w:type="dxa"/>
              <w:left w:w="0" w:type="dxa"/>
              <w:bottom w:w="30" w:type="dxa"/>
              <w:right w:w="20" w:type="dxa"/>
            </w:tcMar>
            <w:vAlign w:val="bottom"/>
            <w:hideMark/>
          </w:tcPr>
          <w:p w14:paraId="45E7D5A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FCB36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7B2553"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7553AFC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A475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DFD8B5" w14:textId="77777777" w:rsidR="00000000" w:rsidRDefault="00C01C43">
            <w:pPr>
              <w:jc w:val="right"/>
              <w:rPr>
                <w:rFonts w:eastAsia="Times New Roman"/>
              </w:rPr>
            </w:pPr>
            <w:r>
              <w:rPr>
                <w:rFonts w:ascii="Arial" w:eastAsia="Times New Roman" w:hAnsi="Arial" w:cs="Arial"/>
                <w:color w:val="000000"/>
                <w:sz w:val="20"/>
                <w:szCs w:val="20"/>
              </w:rPr>
              <w:t>9.4 </w:t>
            </w:r>
          </w:p>
        </w:tc>
        <w:tc>
          <w:tcPr>
            <w:tcW w:w="0" w:type="auto"/>
            <w:shd w:val="clear" w:color="auto" w:fill="FFFFFF"/>
            <w:tcMar>
              <w:top w:w="30" w:type="dxa"/>
              <w:left w:w="0" w:type="dxa"/>
              <w:bottom w:w="30" w:type="dxa"/>
              <w:right w:w="20" w:type="dxa"/>
            </w:tcMar>
            <w:vAlign w:val="bottom"/>
            <w:hideMark/>
          </w:tcPr>
          <w:p w14:paraId="23895426" w14:textId="77777777" w:rsidR="00000000" w:rsidRDefault="00C01C43">
            <w:pPr>
              <w:jc w:val="right"/>
              <w:rPr>
                <w:rFonts w:eastAsia="Times New Roman"/>
              </w:rPr>
            </w:pPr>
          </w:p>
        </w:tc>
      </w:tr>
      <w:tr w:rsidR="00000000" w14:paraId="0AB4A2ED"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EB6630" w14:textId="77777777" w:rsidR="00000000" w:rsidRDefault="00C01C43">
            <w:pPr>
              <w:rPr>
                <w:rFonts w:eastAsia="Times New Roman"/>
              </w:rPr>
            </w:pPr>
            <w:r>
              <w:rPr>
                <w:rFonts w:ascii="Arial" w:eastAsia="Times New Roman" w:hAnsi="Arial" w:cs="Arial"/>
                <w:color w:val="000000"/>
                <w:sz w:val="20"/>
                <w:szCs w:val="20"/>
              </w:rPr>
              <w:t>Total assets at fair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BC13E2" w14:textId="77777777" w:rsidR="00000000" w:rsidRDefault="00C01C4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5393C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59087E" w14:textId="77777777" w:rsidR="00000000" w:rsidRDefault="00C01C43">
            <w:pPr>
              <w:jc w:val="right"/>
              <w:rPr>
                <w:rFonts w:eastAsia="Times New Roman"/>
              </w:rPr>
            </w:pPr>
            <w:r>
              <w:rPr>
                <w:rFonts w:ascii="Arial" w:eastAsia="Times New Roman" w:hAnsi="Arial" w:cs="Arial"/>
                <w:color w:val="000000"/>
                <w:sz w:val="20"/>
                <w:szCs w:val="20"/>
              </w:rPr>
              <w:t>148.3 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A7A365"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34071A"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0126C5"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392CFE" w14:textId="77777777" w:rsidR="00000000" w:rsidRDefault="00C01C43">
            <w:pPr>
              <w:jc w:val="right"/>
              <w:rPr>
                <w:rFonts w:eastAsia="Times New Roman"/>
              </w:rPr>
            </w:pPr>
            <w:r>
              <w:rPr>
                <w:rFonts w:ascii="Arial" w:eastAsia="Times New Roman" w:hAnsi="Arial" w:cs="Arial"/>
                <w:color w:val="000000"/>
                <w:sz w:val="20"/>
                <w:szCs w:val="20"/>
              </w:rPr>
              <w:t>111.4 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7FF120"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524532"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35709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2C6FFA" w14:textId="77777777" w:rsidR="00000000" w:rsidRDefault="00C01C43">
            <w:pPr>
              <w:jc w:val="right"/>
              <w:rPr>
                <w:rFonts w:eastAsia="Times New Roman"/>
              </w:rPr>
            </w:pPr>
            <w:r>
              <w:rPr>
                <w:rFonts w:ascii="Arial" w:eastAsia="Times New Roman" w:hAnsi="Arial" w:cs="Arial"/>
                <w:color w:val="000000"/>
                <w:sz w:val="20"/>
                <w:szCs w:val="20"/>
              </w:rPr>
              <w:t>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D0829D"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2FB51A"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4367D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F42C5A" w14:textId="77777777" w:rsidR="00000000" w:rsidRDefault="00C01C43">
            <w:pPr>
              <w:jc w:val="right"/>
              <w:rPr>
                <w:rFonts w:eastAsia="Times New Roman"/>
              </w:rPr>
            </w:pPr>
            <w:r>
              <w:rPr>
                <w:rFonts w:ascii="Arial" w:eastAsia="Times New Roman" w:hAnsi="Arial" w:cs="Arial"/>
                <w:color w:val="000000"/>
                <w:sz w:val="20"/>
                <w:szCs w:val="20"/>
              </w:rPr>
              <w:t>270.4 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5652D7" w14:textId="77777777" w:rsidR="00000000" w:rsidRDefault="00C01C43">
            <w:pPr>
              <w:jc w:val="right"/>
              <w:rPr>
                <w:rFonts w:eastAsia="Times New Roman"/>
              </w:rPr>
            </w:pPr>
          </w:p>
        </w:tc>
      </w:tr>
      <w:tr w:rsidR="00000000" w14:paraId="321F7D09" w14:textId="77777777">
        <w:trPr>
          <w:trHeight w:val="300"/>
          <w:jc w:val="center"/>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EDB2701" w14:textId="77777777" w:rsidR="00000000" w:rsidRDefault="00C01C43">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742F77"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C4DB82E"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9F8F48"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489D70"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CCCBB31"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535F0B0"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15F5805"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1C0879D" w14:textId="77777777" w:rsidR="00000000" w:rsidRDefault="00C01C43">
            <w:pPr>
              <w:rPr>
                <w:rFonts w:eastAsia="Times New Roman"/>
                <w:sz w:val="20"/>
                <w:szCs w:val="20"/>
              </w:rPr>
            </w:pPr>
          </w:p>
        </w:tc>
      </w:tr>
      <w:tr w:rsidR="00000000" w14:paraId="12FA220B" w14:textId="77777777">
        <w:trPr>
          <w:jc w:val="center"/>
        </w:trPr>
        <w:tc>
          <w:tcPr>
            <w:tcW w:w="0" w:type="auto"/>
            <w:gridSpan w:val="3"/>
            <w:shd w:val="clear" w:color="auto" w:fill="CCEEFF"/>
            <w:tcMar>
              <w:top w:w="30" w:type="dxa"/>
              <w:left w:w="20" w:type="dxa"/>
              <w:bottom w:w="30" w:type="dxa"/>
              <w:right w:w="20" w:type="dxa"/>
            </w:tcMar>
            <w:vAlign w:val="bottom"/>
            <w:hideMark/>
          </w:tcPr>
          <w:p w14:paraId="7D0C846E" w14:textId="77777777" w:rsidR="00000000" w:rsidRDefault="00C01C43">
            <w:pPr>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14:paraId="644158B5" w14:textId="77777777" w:rsidR="00000000" w:rsidRDefault="00C01C4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F5158F"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48E7D1"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F200BD"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1314E6"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1584E9"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98B1D0"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EA6A3B" w14:textId="77777777" w:rsidR="00000000" w:rsidRDefault="00C01C43">
            <w:pPr>
              <w:rPr>
                <w:rFonts w:eastAsia="Times New Roman"/>
                <w:sz w:val="20"/>
                <w:szCs w:val="20"/>
              </w:rPr>
            </w:pPr>
          </w:p>
        </w:tc>
      </w:tr>
      <w:tr w:rsidR="00000000" w14:paraId="14469211" w14:textId="77777777">
        <w:trPr>
          <w:jc w:val="center"/>
        </w:trPr>
        <w:tc>
          <w:tcPr>
            <w:tcW w:w="0" w:type="auto"/>
            <w:gridSpan w:val="3"/>
            <w:shd w:val="clear" w:color="auto" w:fill="FFFFFF"/>
            <w:tcMar>
              <w:top w:w="30" w:type="dxa"/>
              <w:left w:w="20" w:type="dxa"/>
              <w:bottom w:w="30" w:type="dxa"/>
              <w:right w:w="20" w:type="dxa"/>
            </w:tcMar>
            <w:vAlign w:val="bottom"/>
            <w:hideMark/>
          </w:tcPr>
          <w:p w14:paraId="20F8B3D9" w14:textId="77777777" w:rsidR="00000000" w:rsidRDefault="00C01C43">
            <w:pPr>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001859FD" w14:textId="77777777" w:rsidR="00000000" w:rsidRDefault="00C01C43">
            <w:pPr>
              <w:rPr>
                <w:rFonts w:eastAsia="Times New Roman"/>
              </w:rPr>
            </w:pPr>
          </w:p>
        </w:tc>
        <w:tc>
          <w:tcPr>
            <w:tcW w:w="0" w:type="auto"/>
            <w:shd w:val="clear" w:color="auto" w:fill="FFFFFF"/>
            <w:tcMar>
              <w:top w:w="30" w:type="dxa"/>
              <w:left w:w="20" w:type="dxa"/>
              <w:bottom w:w="30" w:type="dxa"/>
              <w:right w:w="0" w:type="dxa"/>
            </w:tcMar>
            <w:vAlign w:val="bottom"/>
            <w:hideMark/>
          </w:tcPr>
          <w:p w14:paraId="4140DD55"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077D5FA" w14:textId="77777777" w:rsidR="00000000" w:rsidRDefault="00C01C43">
            <w:pPr>
              <w:jc w:val="right"/>
              <w:rPr>
                <w:rFonts w:eastAsia="Times New Roman"/>
              </w:rPr>
            </w:pPr>
            <w:r>
              <w:rPr>
                <w:rFonts w:ascii="Arial" w:eastAsia="Times New Roman" w:hAnsi="Arial" w:cs="Arial"/>
                <w:color w:val="000000"/>
                <w:sz w:val="20"/>
                <w:szCs w:val="20"/>
              </w:rPr>
              <w:t>177.6 </w:t>
            </w:r>
          </w:p>
        </w:tc>
        <w:tc>
          <w:tcPr>
            <w:tcW w:w="0" w:type="auto"/>
            <w:shd w:val="clear" w:color="auto" w:fill="FFFFFF"/>
            <w:tcMar>
              <w:top w:w="30" w:type="dxa"/>
              <w:left w:w="0" w:type="dxa"/>
              <w:bottom w:w="30" w:type="dxa"/>
              <w:right w:w="20" w:type="dxa"/>
            </w:tcMar>
            <w:vAlign w:val="bottom"/>
            <w:hideMark/>
          </w:tcPr>
          <w:p w14:paraId="4058C5F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F6F2C"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48A7AD"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75576A2" w14:textId="77777777" w:rsidR="00000000" w:rsidRDefault="00C01C43">
            <w:pPr>
              <w:jc w:val="right"/>
              <w:rPr>
                <w:rFonts w:eastAsia="Times New Roman"/>
              </w:rPr>
            </w:pPr>
            <w:r>
              <w:rPr>
                <w:rFonts w:ascii="Arial" w:eastAsia="Times New Roman" w:hAnsi="Arial" w:cs="Arial"/>
                <w:color w:val="000000"/>
                <w:sz w:val="20"/>
                <w:szCs w:val="20"/>
              </w:rPr>
              <w:t>69.3 </w:t>
            </w:r>
          </w:p>
        </w:tc>
        <w:tc>
          <w:tcPr>
            <w:tcW w:w="0" w:type="auto"/>
            <w:shd w:val="clear" w:color="auto" w:fill="FFFFFF"/>
            <w:tcMar>
              <w:top w:w="30" w:type="dxa"/>
              <w:left w:w="0" w:type="dxa"/>
              <w:bottom w:w="30" w:type="dxa"/>
              <w:right w:w="20" w:type="dxa"/>
            </w:tcMar>
            <w:vAlign w:val="bottom"/>
            <w:hideMark/>
          </w:tcPr>
          <w:p w14:paraId="44B4F62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3ECB7"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AD0B50"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497C604" w14:textId="77777777" w:rsidR="00000000" w:rsidRDefault="00C01C43">
            <w:pPr>
              <w:jc w:val="right"/>
              <w:rPr>
                <w:rFonts w:eastAsia="Times New Roman"/>
              </w:rPr>
            </w:pPr>
            <w:r>
              <w:rPr>
                <w:rFonts w:ascii="Arial" w:eastAsia="Times New Roman" w:hAnsi="Arial" w:cs="Arial"/>
                <w:color w:val="000000"/>
                <w:sz w:val="20"/>
                <w:szCs w:val="20"/>
              </w:rPr>
              <w:t>8.1 </w:t>
            </w:r>
          </w:p>
        </w:tc>
        <w:tc>
          <w:tcPr>
            <w:tcW w:w="0" w:type="auto"/>
            <w:shd w:val="clear" w:color="auto" w:fill="FFFFFF"/>
            <w:tcMar>
              <w:top w:w="30" w:type="dxa"/>
              <w:left w:w="0" w:type="dxa"/>
              <w:bottom w:w="30" w:type="dxa"/>
              <w:right w:w="20" w:type="dxa"/>
            </w:tcMar>
            <w:vAlign w:val="bottom"/>
            <w:hideMark/>
          </w:tcPr>
          <w:p w14:paraId="5D946C0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0596D"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2737621"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2878710" w14:textId="77777777" w:rsidR="00000000" w:rsidRDefault="00C01C43">
            <w:pPr>
              <w:jc w:val="right"/>
              <w:rPr>
                <w:rFonts w:eastAsia="Times New Roman"/>
              </w:rPr>
            </w:pPr>
            <w:r>
              <w:rPr>
                <w:rFonts w:ascii="Arial" w:eastAsia="Times New Roman" w:hAnsi="Arial" w:cs="Arial"/>
                <w:color w:val="000000"/>
                <w:sz w:val="20"/>
                <w:szCs w:val="20"/>
              </w:rPr>
              <w:t>255.0 </w:t>
            </w:r>
          </w:p>
        </w:tc>
        <w:tc>
          <w:tcPr>
            <w:tcW w:w="0" w:type="auto"/>
            <w:shd w:val="clear" w:color="auto" w:fill="FFFFFF"/>
            <w:tcMar>
              <w:top w:w="30" w:type="dxa"/>
              <w:left w:w="0" w:type="dxa"/>
              <w:bottom w:w="30" w:type="dxa"/>
              <w:right w:w="20" w:type="dxa"/>
            </w:tcMar>
            <w:vAlign w:val="bottom"/>
            <w:hideMark/>
          </w:tcPr>
          <w:p w14:paraId="445537B2" w14:textId="77777777" w:rsidR="00000000" w:rsidRDefault="00C01C43">
            <w:pPr>
              <w:jc w:val="right"/>
              <w:rPr>
                <w:rFonts w:eastAsia="Times New Roman"/>
              </w:rPr>
            </w:pPr>
          </w:p>
        </w:tc>
      </w:tr>
      <w:tr w:rsidR="00000000" w14:paraId="13428577" w14:textId="77777777">
        <w:trPr>
          <w:jc w:val="center"/>
        </w:trPr>
        <w:tc>
          <w:tcPr>
            <w:tcW w:w="0" w:type="auto"/>
            <w:gridSpan w:val="3"/>
            <w:shd w:val="clear" w:color="auto" w:fill="CCEEFF"/>
            <w:tcMar>
              <w:top w:w="30" w:type="dxa"/>
              <w:left w:w="20" w:type="dxa"/>
              <w:bottom w:w="30" w:type="dxa"/>
              <w:right w:w="20" w:type="dxa"/>
            </w:tcMar>
            <w:vAlign w:val="bottom"/>
            <w:hideMark/>
          </w:tcPr>
          <w:p w14:paraId="725E46F4" w14:textId="77777777" w:rsidR="00000000" w:rsidRDefault="00C01C43">
            <w:pPr>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25D4E1FF"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EEC814"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4D7E9C4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F2BB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7BC020" w14:textId="77777777" w:rsidR="00000000" w:rsidRDefault="00C01C43">
            <w:pPr>
              <w:jc w:val="right"/>
              <w:rPr>
                <w:rFonts w:eastAsia="Times New Roman"/>
              </w:rPr>
            </w:pPr>
            <w:r>
              <w:rPr>
                <w:rFonts w:ascii="Arial" w:eastAsia="Times New Roman" w:hAnsi="Arial" w:cs="Arial"/>
                <w:color w:val="000000"/>
                <w:sz w:val="20"/>
                <w:szCs w:val="20"/>
              </w:rPr>
              <w:t>11.6 </w:t>
            </w:r>
          </w:p>
        </w:tc>
        <w:tc>
          <w:tcPr>
            <w:tcW w:w="0" w:type="auto"/>
            <w:shd w:val="clear" w:color="auto" w:fill="CCEEFF"/>
            <w:tcMar>
              <w:top w:w="30" w:type="dxa"/>
              <w:left w:w="0" w:type="dxa"/>
              <w:bottom w:w="30" w:type="dxa"/>
              <w:right w:w="20" w:type="dxa"/>
            </w:tcMar>
            <w:vAlign w:val="bottom"/>
            <w:hideMark/>
          </w:tcPr>
          <w:p w14:paraId="6586668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7961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E5DCC7"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345391D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EACE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0B5AC1" w14:textId="77777777" w:rsidR="00000000" w:rsidRDefault="00C01C43">
            <w:pPr>
              <w:jc w:val="right"/>
              <w:rPr>
                <w:rFonts w:eastAsia="Times New Roman"/>
              </w:rPr>
            </w:pPr>
            <w:r>
              <w:rPr>
                <w:rFonts w:ascii="Arial" w:eastAsia="Times New Roman" w:hAnsi="Arial" w:cs="Arial"/>
                <w:color w:val="000000"/>
                <w:sz w:val="20"/>
                <w:szCs w:val="20"/>
              </w:rPr>
              <w:t>11.6 </w:t>
            </w:r>
          </w:p>
        </w:tc>
        <w:tc>
          <w:tcPr>
            <w:tcW w:w="0" w:type="auto"/>
            <w:shd w:val="clear" w:color="auto" w:fill="CCEEFF"/>
            <w:tcMar>
              <w:top w:w="30" w:type="dxa"/>
              <w:left w:w="0" w:type="dxa"/>
              <w:bottom w:w="30" w:type="dxa"/>
              <w:right w:w="20" w:type="dxa"/>
            </w:tcMar>
            <w:vAlign w:val="bottom"/>
            <w:hideMark/>
          </w:tcPr>
          <w:p w14:paraId="11A5733C" w14:textId="77777777" w:rsidR="00000000" w:rsidRDefault="00C01C43">
            <w:pPr>
              <w:jc w:val="right"/>
              <w:rPr>
                <w:rFonts w:eastAsia="Times New Roman"/>
              </w:rPr>
            </w:pPr>
          </w:p>
        </w:tc>
      </w:tr>
      <w:tr w:rsidR="00000000" w14:paraId="5A9228CD" w14:textId="77777777">
        <w:trPr>
          <w:jc w:val="center"/>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7A06D056" w14:textId="77777777" w:rsidR="00000000" w:rsidRDefault="00C01C43">
            <w:pPr>
              <w:rPr>
                <w:rFonts w:eastAsia="Times New Roman"/>
              </w:rPr>
            </w:pPr>
            <w:r>
              <w:rPr>
                <w:rFonts w:ascii="Arial" w:eastAsia="Times New Roman" w:hAnsi="Arial" w:cs="Arial"/>
                <w:color w:val="000000"/>
                <w:sz w:val="20"/>
                <w:szCs w:val="20"/>
              </w:rPr>
              <w:t>Total liabilities at fair value</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2737697" w14:textId="77777777" w:rsidR="00000000" w:rsidRDefault="00C01C4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29968B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539ABC" w14:textId="77777777" w:rsidR="00000000" w:rsidRDefault="00C01C43">
            <w:pPr>
              <w:jc w:val="right"/>
              <w:rPr>
                <w:rFonts w:eastAsia="Times New Roman"/>
              </w:rPr>
            </w:pPr>
            <w:r>
              <w:rPr>
                <w:rFonts w:ascii="Arial" w:eastAsia="Times New Roman" w:hAnsi="Arial" w:cs="Arial"/>
                <w:color w:val="000000"/>
                <w:sz w:val="20"/>
                <w:szCs w:val="20"/>
              </w:rPr>
              <w:t>177.6 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63FF1B"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33E7C5C"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35AF2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98E8F23" w14:textId="77777777" w:rsidR="00000000" w:rsidRDefault="00C01C43">
            <w:pPr>
              <w:jc w:val="right"/>
              <w:rPr>
                <w:rFonts w:eastAsia="Times New Roman"/>
              </w:rPr>
            </w:pPr>
            <w:r>
              <w:rPr>
                <w:rFonts w:ascii="Arial" w:eastAsia="Times New Roman" w:hAnsi="Arial" w:cs="Arial"/>
                <w:color w:val="000000"/>
                <w:sz w:val="20"/>
                <w:szCs w:val="20"/>
              </w:rPr>
              <w:t>80.9 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1635A9"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8158FA8"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34CBD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A7DC118" w14:textId="77777777" w:rsidR="00000000" w:rsidRDefault="00C01C43">
            <w:pPr>
              <w:jc w:val="right"/>
              <w:rPr>
                <w:rFonts w:eastAsia="Times New Roman"/>
              </w:rPr>
            </w:pPr>
            <w:r>
              <w:rPr>
                <w:rFonts w:ascii="Arial" w:eastAsia="Times New Roman" w:hAnsi="Arial" w:cs="Arial"/>
                <w:color w:val="000000"/>
                <w:sz w:val="20"/>
                <w:szCs w:val="20"/>
              </w:rPr>
              <w:t>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656719"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E30F874"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B87A3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B3493FA" w14:textId="77777777" w:rsidR="00000000" w:rsidRDefault="00C01C43">
            <w:pPr>
              <w:jc w:val="right"/>
              <w:rPr>
                <w:rFonts w:eastAsia="Times New Roman"/>
              </w:rPr>
            </w:pPr>
            <w:r>
              <w:rPr>
                <w:rFonts w:ascii="Arial" w:eastAsia="Times New Roman" w:hAnsi="Arial" w:cs="Arial"/>
                <w:color w:val="000000"/>
                <w:sz w:val="20"/>
                <w:szCs w:val="20"/>
              </w:rPr>
              <w:t>266.6 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1DA00F" w14:textId="77777777" w:rsidR="00000000" w:rsidRDefault="00C01C43">
            <w:pPr>
              <w:jc w:val="right"/>
              <w:rPr>
                <w:rFonts w:eastAsia="Times New Roman"/>
              </w:rPr>
            </w:pPr>
          </w:p>
        </w:tc>
      </w:tr>
    </w:tbl>
    <w:p w14:paraId="34343A02" w14:textId="77777777" w:rsidR="00000000" w:rsidRDefault="00C01C43">
      <w:pPr>
        <w:jc w:val="both"/>
        <w:divId w:val="1491754014"/>
        <w:rPr>
          <w:rFonts w:eastAsia="Times New Roman"/>
        </w:rPr>
      </w:pPr>
      <w:r>
        <w:rPr>
          <w:rFonts w:ascii="Arial" w:eastAsia="Times New Roman" w:hAnsi="Arial" w:cs="Arial"/>
          <w:color w:val="000000"/>
          <w:sz w:val="20"/>
          <w:szCs w:val="20"/>
        </w:rPr>
        <w:t>The fair values of our commodity contracts measured using Level 3 inputs were not material at December 31, 2020 and 2019, respectively.</w:t>
      </w:r>
    </w:p>
    <w:p w14:paraId="52A22A07" w14:textId="77777777" w:rsidR="00000000" w:rsidRDefault="00C01C43">
      <w:pPr>
        <w:ind w:firstLine="360"/>
        <w:jc w:val="both"/>
        <w:rPr>
          <w:rFonts w:eastAsia="Times New Roman"/>
        </w:rPr>
      </w:pPr>
    </w:p>
    <w:p w14:paraId="32333D70" w14:textId="77777777" w:rsidR="00000000" w:rsidRDefault="00C01C43">
      <w:pPr>
        <w:jc w:val="both"/>
        <w:rPr>
          <w:rFonts w:eastAsia="Times New Roman"/>
        </w:rPr>
      </w:pPr>
      <w:r>
        <w:rPr>
          <w:rFonts w:ascii="Arial" w:eastAsia="Times New Roman" w:hAnsi="Arial" w:cs="Arial"/>
          <w:color w:val="000000"/>
          <w:sz w:val="20"/>
          <w:szCs w:val="20"/>
        </w:rPr>
        <w:t>For our derivat</w:t>
      </w:r>
      <w:r>
        <w:rPr>
          <w:rFonts w:ascii="Arial" w:eastAsia="Times New Roman" w:hAnsi="Arial" w:cs="Arial"/>
          <w:color w:val="000000"/>
          <w:sz w:val="20"/>
          <w:szCs w:val="20"/>
        </w:rPr>
        <w:t xml:space="preserve">ive contracts, we may enter into master netting, collateral and offset agreements with counterparties. These agreements provide us the ability to offset a counterparty’s rights and obligations, request additional collateral when necessary or liquidate the </w:t>
      </w:r>
      <w:r>
        <w:rPr>
          <w:rFonts w:ascii="Arial" w:eastAsia="Times New Roman" w:hAnsi="Arial" w:cs="Arial"/>
          <w:color w:val="000000"/>
          <w:sz w:val="20"/>
          <w:szCs w:val="20"/>
        </w:rPr>
        <w:t>collateral in the event of counterparty default. We net the fair value of cash collateral paid or received against fair value amounts recognized for net derivative positions executed with the same counterparty under the same master netting or offset agreem</w:t>
      </w:r>
      <w:r>
        <w:rPr>
          <w:rFonts w:ascii="Arial" w:eastAsia="Times New Roman" w:hAnsi="Arial" w:cs="Arial"/>
          <w:color w:val="000000"/>
          <w:sz w:val="20"/>
          <w:szCs w:val="20"/>
        </w:rPr>
        <w:t>ent.</w:t>
      </w:r>
    </w:p>
    <w:p w14:paraId="72C8C4EE" w14:textId="77777777" w:rsidR="00000000" w:rsidRDefault="00C01C43">
      <w:pPr>
        <w:jc w:val="center"/>
        <w:divId w:val="114522258"/>
        <w:rPr>
          <w:rFonts w:eastAsia="Times New Roman"/>
        </w:rPr>
      </w:pPr>
      <w:r>
        <w:rPr>
          <w:rFonts w:ascii="Arial" w:eastAsia="Times New Roman" w:hAnsi="Arial" w:cs="Arial"/>
          <w:color w:val="000000"/>
          <w:sz w:val="16"/>
          <w:szCs w:val="16"/>
        </w:rPr>
        <w:t>83</w:t>
      </w:r>
    </w:p>
    <w:p w14:paraId="1B37D719" w14:textId="77777777" w:rsidR="00000000" w:rsidRDefault="00C01C43">
      <w:pPr>
        <w:rPr>
          <w:rFonts w:eastAsia="Times New Roman"/>
        </w:rPr>
      </w:pPr>
      <w:r>
        <w:rPr>
          <w:rFonts w:eastAsia="Times New Roman"/>
        </w:rPr>
        <w:pict w14:anchorId="297EDE0E">
          <v:rect id="_x0000_i1112" style="width:0;height:1.5pt" o:hralign="center" o:hrstd="t" o:hr="t" fillcolor="#a0a0a0" stroked="f"/>
        </w:pict>
      </w:r>
    </w:p>
    <w:p w14:paraId="48439EA4" w14:textId="77777777" w:rsidR="00000000" w:rsidRDefault="00C01C43">
      <w:pPr>
        <w:divId w:val="42414334"/>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6529DB22" w14:textId="77777777" w:rsidR="00000000" w:rsidRDefault="00C01C43">
      <w:pPr>
        <w:jc w:val="both"/>
        <w:rPr>
          <w:rFonts w:eastAsia="Times New Roman"/>
        </w:rPr>
      </w:pPr>
    </w:p>
    <w:p w14:paraId="11C8943A" w14:textId="77777777" w:rsidR="00000000" w:rsidRDefault="00C01C43">
      <w:pPr>
        <w:jc w:val="both"/>
        <w:rPr>
          <w:rFonts w:eastAsia="Times New Roman"/>
        </w:rPr>
      </w:pPr>
      <w:r>
        <w:rPr>
          <w:rFonts w:ascii="Arial" w:eastAsia="Times New Roman" w:hAnsi="Arial" w:cs="Arial"/>
          <w:color w:val="000000"/>
          <w:sz w:val="20"/>
          <w:szCs w:val="20"/>
        </w:rPr>
        <w:t>The following tables summarize those commodity derivative balances subject to the right of offset as presented within our Consolidated Balance Sheet. We have elected to offset the recognized fair value amounts for multiple derivative instruments executed w</w:t>
      </w:r>
      <w:r>
        <w:rPr>
          <w:rFonts w:ascii="Arial" w:eastAsia="Times New Roman" w:hAnsi="Arial" w:cs="Arial"/>
          <w:color w:val="000000"/>
          <w:sz w:val="20"/>
          <w:szCs w:val="20"/>
        </w:rPr>
        <w:t>ith the same counterparty in our financial statements when a legal right of offset exists.</w:t>
      </w:r>
    </w:p>
    <w:tbl>
      <w:tblPr>
        <w:tblW w:w="4970" w:type="pct"/>
        <w:jc w:val="center"/>
        <w:tblCellMar>
          <w:top w:w="15" w:type="dxa"/>
          <w:left w:w="15" w:type="dxa"/>
          <w:bottom w:w="15" w:type="dxa"/>
          <w:right w:w="15" w:type="dxa"/>
        </w:tblCellMar>
        <w:tblLook w:val="04A0" w:firstRow="1" w:lastRow="0" w:firstColumn="1" w:lastColumn="0" w:noHBand="0" w:noVBand="1"/>
      </w:tblPr>
      <w:tblGrid>
        <w:gridCol w:w="51"/>
        <w:gridCol w:w="1805"/>
        <w:gridCol w:w="36"/>
        <w:gridCol w:w="36"/>
        <w:gridCol w:w="76"/>
        <w:gridCol w:w="36"/>
        <w:gridCol w:w="133"/>
        <w:gridCol w:w="902"/>
        <w:gridCol w:w="36"/>
        <w:gridCol w:w="36"/>
        <w:gridCol w:w="76"/>
        <w:gridCol w:w="36"/>
        <w:gridCol w:w="133"/>
        <w:gridCol w:w="642"/>
        <w:gridCol w:w="36"/>
        <w:gridCol w:w="36"/>
        <w:gridCol w:w="76"/>
        <w:gridCol w:w="36"/>
        <w:gridCol w:w="133"/>
        <w:gridCol w:w="732"/>
        <w:gridCol w:w="36"/>
        <w:gridCol w:w="36"/>
        <w:gridCol w:w="76"/>
        <w:gridCol w:w="36"/>
        <w:gridCol w:w="133"/>
        <w:gridCol w:w="732"/>
        <w:gridCol w:w="36"/>
        <w:gridCol w:w="36"/>
        <w:gridCol w:w="76"/>
        <w:gridCol w:w="36"/>
        <w:gridCol w:w="133"/>
        <w:gridCol w:w="720"/>
        <w:gridCol w:w="36"/>
        <w:gridCol w:w="36"/>
        <w:gridCol w:w="76"/>
        <w:gridCol w:w="36"/>
        <w:gridCol w:w="133"/>
        <w:gridCol w:w="734"/>
        <w:gridCol w:w="36"/>
      </w:tblGrid>
      <w:tr w:rsidR="00000000" w14:paraId="6AE63DCA" w14:textId="77777777">
        <w:trPr>
          <w:divId w:val="1584333162"/>
          <w:jc w:val="center"/>
        </w:trPr>
        <w:tc>
          <w:tcPr>
            <w:tcW w:w="50" w:type="pct"/>
            <w:vAlign w:val="center"/>
            <w:hideMark/>
          </w:tcPr>
          <w:p w14:paraId="56EB259F" w14:textId="77777777" w:rsidR="00000000" w:rsidRDefault="00C01C43">
            <w:pPr>
              <w:jc w:val="both"/>
              <w:rPr>
                <w:rFonts w:eastAsia="Times New Roman"/>
              </w:rPr>
            </w:pPr>
          </w:p>
        </w:tc>
        <w:tc>
          <w:tcPr>
            <w:tcW w:w="1150" w:type="pct"/>
            <w:vAlign w:val="center"/>
            <w:hideMark/>
          </w:tcPr>
          <w:p w14:paraId="160F3994" w14:textId="77777777" w:rsidR="00000000" w:rsidRDefault="00C01C43">
            <w:pPr>
              <w:rPr>
                <w:rFonts w:eastAsia="Times New Roman"/>
                <w:sz w:val="20"/>
                <w:szCs w:val="20"/>
              </w:rPr>
            </w:pPr>
          </w:p>
        </w:tc>
        <w:tc>
          <w:tcPr>
            <w:tcW w:w="5" w:type="pct"/>
            <w:vAlign w:val="center"/>
            <w:hideMark/>
          </w:tcPr>
          <w:p w14:paraId="61209D0F" w14:textId="77777777" w:rsidR="00000000" w:rsidRDefault="00C01C43">
            <w:pPr>
              <w:rPr>
                <w:rFonts w:eastAsia="Times New Roman"/>
                <w:sz w:val="20"/>
                <w:szCs w:val="20"/>
              </w:rPr>
            </w:pPr>
          </w:p>
        </w:tc>
        <w:tc>
          <w:tcPr>
            <w:tcW w:w="5" w:type="pct"/>
            <w:vAlign w:val="center"/>
            <w:hideMark/>
          </w:tcPr>
          <w:p w14:paraId="3B362E6D" w14:textId="77777777" w:rsidR="00000000" w:rsidRDefault="00C01C43">
            <w:pPr>
              <w:rPr>
                <w:rFonts w:eastAsia="Times New Roman"/>
                <w:sz w:val="20"/>
                <w:szCs w:val="20"/>
              </w:rPr>
            </w:pPr>
          </w:p>
        </w:tc>
        <w:tc>
          <w:tcPr>
            <w:tcW w:w="85" w:type="pct"/>
            <w:vAlign w:val="center"/>
            <w:hideMark/>
          </w:tcPr>
          <w:p w14:paraId="289FED9B" w14:textId="77777777" w:rsidR="00000000" w:rsidRDefault="00C01C43">
            <w:pPr>
              <w:rPr>
                <w:rFonts w:eastAsia="Times New Roman"/>
                <w:sz w:val="20"/>
                <w:szCs w:val="20"/>
              </w:rPr>
            </w:pPr>
          </w:p>
        </w:tc>
        <w:tc>
          <w:tcPr>
            <w:tcW w:w="5" w:type="pct"/>
            <w:vAlign w:val="center"/>
            <w:hideMark/>
          </w:tcPr>
          <w:p w14:paraId="1A6B1D44" w14:textId="77777777" w:rsidR="00000000" w:rsidRDefault="00C01C43">
            <w:pPr>
              <w:rPr>
                <w:rFonts w:eastAsia="Times New Roman"/>
                <w:sz w:val="20"/>
                <w:szCs w:val="20"/>
              </w:rPr>
            </w:pPr>
          </w:p>
        </w:tc>
        <w:tc>
          <w:tcPr>
            <w:tcW w:w="50" w:type="pct"/>
            <w:vAlign w:val="center"/>
            <w:hideMark/>
          </w:tcPr>
          <w:p w14:paraId="1A4E77E5" w14:textId="77777777" w:rsidR="00000000" w:rsidRDefault="00C01C43">
            <w:pPr>
              <w:rPr>
                <w:rFonts w:eastAsia="Times New Roman"/>
                <w:sz w:val="20"/>
                <w:szCs w:val="20"/>
              </w:rPr>
            </w:pPr>
          </w:p>
        </w:tc>
        <w:tc>
          <w:tcPr>
            <w:tcW w:w="584" w:type="pct"/>
            <w:vAlign w:val="center"/>
            <w:hideMark/>
          </w:tcPr>
          <w:p w14:paraId="4F5A5CE3" w14:textId="77777777" w:rsidR="00000000" w:rsidRDefault="00C01C43">
            <w:pPr>
              <w:rPr>
                <w:rFonts w:eastAsia="Times New Roman"/>
                <w:sz w:val="20"/>
                <w:szCs w:val="20"/>
              </w:rPr>
            </w:pPr>
          </w:p>
        </w:tc>
        <w:tc>
          <w:tcPr>
            <w:tcW w:w="5" w:type="pct"/>
            <w:vAlign w:val="center"/>
            <w:hideMark/>
          </w:tcPr>
          <w:p w14:paraId="58AA625B" w14:textId="77777777" w:rsidR="00000000" w:rsidRDefault="00C01C43">
            <w:pPr>
              <w:rPr>
                <w:rFonts w:eastAsia="Times New Roman"/>
                <w:sz w:val="20"/>
                <w:szCs w:val="20"/>
              </w:rPr>
            </w:pPr>
          </w:p>
        </w:tc>
        <w:tc>
          <w:tcPr>
            <w:tcW w:w="5" w:type="pct"/>
            <w:vAlign w:val="center"/>
            <w:hideMark/>
          </w:tcPr>
          <w:p w14:paraId="1B8C1A7F" w14:textId="77777777" w:rsidR="00000000" w:rsidRDefault="00C01C43">
            <w:pPr>
              <w:rPr>
                <w:rFonts w:eastAsia="Times New Roman"/>
                <w:sz w:val="20"/>
                <w:szCs w:val="20"/>
              </w:rPr>
            </w:pPr>
          </w:p>
        </w:tc>
        <w:tc>
          <w:tcPr>
            <w:tcW w:w="85" w:type="pct"/>
            <w:vAlign w:val="center"/>
            <w:hideMark/>
          </w:tcPr>
          <w:p w14:paraId="68E14104" w14:textId="77777777" w:rsidR="00000000" w:rsidRDefault="00C01C43">
            <w:pPr>
              <w:rPr>
                <w:rFonts w:eastAsia="Times New Roman"/>
                <w:sz w:val="20"/>
                <w:szCs w:val="20"/>
              </w:rPr>
            </w:pPr>
          </w:p>
        </w:tc>
        <w:tc>
          <w:tcPr>
            <w:tcW w:w="5" w:type="pct"/>
            <w:vAlign w:val="center"/>
            <w:hideMark/>
          </w:tcPr>
          <w:p w14:paraId="24883037" w14:textId="77777777" w:rsidR="00000000" w:rsidRDefault="00C01C43">
            <w:pPr>
              <w:rPr>
                <w:rFonts w:eastAsia="Times New Roman"/>
                <w:sz w:val="20"/>
                <w:szCs w:val="20"/>
              </w:rPr>
            </w:pPr>
          </w:p>
        </w:tc>
        <w:tc>
          <w:tcPr>
            <w:tcW w:w="50" w:type="pct"/>
            <w:vAlign w:val="center"/>
            <w:hideMark/>
          </w:tcPr>
          <w:p w14:paraId="17AE67D4" w14:textId="77777777" w:rsidR="00000000" w:rsidRDefault="00C01C43">
            <w:pPr>
              <w:rPr>
                <w:rFonts w:eastAsia="Times New Roman"/>
                <w:sz w:val="20"/>
                <w:szCs w:val="20"/>
              </w:rPr>
            </w:pPr>
          </w:p>
        </w:tc>
        <w:tc>
          <w:tcPr>
            <w:tcW w:w="386" w:type="pct"/>
            <w:vAlign w:val="center"/>
            <w:hideMark/>
          </w:tcPr>
          <w:p w14:paraId="18D1EC30" w14:textId="77777777" w:rsidR="00000000" w:rsidRDefault="00C01C43">
            <w:pPr>
              <w:rPr>
                <w:rFonts w:eastAsia="Times New Roman"/>
                <w:sz w:val="20"/>
                <w:szCs w:val="20"/>
              </w:rPr>
            </w:pPr>
          </w:p>
        </w:tc>
        <w:tc>
          <w:tcPr>
            <w:tcW w:w="5" w:type="pct"/>
            <w:vAlign w:val="center"/>
            <w:hideMark/>
          </w:tcPr>
          <w:p w14:paraId="485E9B71" w14:textId="77777777" w:rsidR="00000000" w:rsidRDefault="00C01C43">
            <w:pPr>
              <w:rPr>
                <w:rFonts w:eastAsia="Times New Roman"/>
                <w:sz w:val="20"/>
                <w:szCs w:val="20"/>
              </w:rPr>
            </w:pPr>
          </w:p>
        </w:tc>
        <w:tc>
          <w:tcPr>
            <w:tcW w:w="5" w:type="pct"/>
            <w:vAlign w:val="center"/>
            <w:hideMark/>
          </w:tcPr>
          <w:p w14:paraId="707E2C1E" w14:textId="77777777" w:rsidR="00000000" w:rsidRDefault="00C01C43">
            <w:pPr>
              <w:rPr>
                <w:rFonts w:eastAsia="Times New Roman"/>
                <w:sz w:val="20"/>
                <w:szCs w:val="20"/>
              </w:rPr>
            </w:pPr>
          </w:p>
        </w:tc>
        <w:tc>
          <w:tcPr>
            <w:tcW w:w="85" w:type="pct"/>
            <w:vAlign w:val="center"/>
            <w:hideMark/>
          </w:tcPr>
          <w:p w14:paraId="336F7495" w14:textId="77777777" w:rsidR="00000000" w:rsidRDefault="00C01C43">
            <w:pPr>
              <w:rPr>
                <w:rFonts w:eastAsia="Times New Roman"/>
                <w:sz w:val="20"/>
                <w:szCs w:val="20"/>
              </w:rPr>
            </w:pPr>
          </w:p>
        </w:tc>
        <w:tc>
          <w:tcPr>
            <w:tcW w:w="5" w:type="pct"/>
            <w:vAlign w:val="center"/>
            <w:hideMark/>
          </w:tcPr>
          <w:p w14:paraId="55D8515E" w14:textId="77777777" w:rsidR="00000000" w:rsidRDefault="00C01C43">
            <w:pPr>
              <w:rPr>
                <w:rFonts w:eastAsia="Times New Roman"/>
                <w:sz w:val="20"/>
                <w:szCs w:val="20"/>
              </w:rPr>
            </w:pPr>
          </w:p>
        </w:tc>
        <w:tc>
          <w:tcPr>
            <w:tcW w:w="50" w:type="pct"/>
            <w:vAlign w:val="center"/>
            <w:hideMark/>
          </w:tcPr>
          <w:p w14:paraId="66B669CC" w14:textId="77777777" w:rsidR="00000000" w:rsidRDefault="00C01C43">
            <w:pPr>
              <w:rPr>
                <w:rFonts w:eastAsia="Times New Roman"/>
                <w:sz w:val="20"/>
                <w:szCs w:val="20"/>
              </w:rPr>
            </w:pPr>
          </w:p>
        </w:tc>
        <w:tc>
          <w:tcPr>
            <w:tcW w:w="481" w:type="pct"/>
            <w:vAlign w:val="center"/>
            <w:hideMark/>
          </w:tcPr>
          <w:p w14:paraId="7F05B177" w14:textId="77777777" w:rsidR="00000000" w:rsidRDefault="00C01C43">
            <w:pPr>
              <w:rPr>
                <w:rFonts w:eastAsia="Times New Roman"/>
                <w:sz w:val="20"/>
                <w:szCs w:val="20"/>
              </w:rPr>
            </w:pPr>
          </w:p>
        </w:tc>
        <w:tc>
          <w:tcPr>
            <w:tcW w:w="5" w:type="pct"/>
            <w:vAlign w:val="center"/>
            <w:hideMark/>
          </w:tcPr>
          <w:p w14:paraId="187613D3" w14:textId="77777777" w:rsidR="00000000" w:rsidRDefault="00C01C43">
            <w:pPr>
              <w:rPr>
                <w:rFonts w:eastAsia="Times New Roman"/>
                <w:sz w:val="20"/>
                <w:szCs w:val="20"/>
              </w:rPr>
            </w:pPr>
          </w:p>
        </w:tc>
        <w:tc>
          <w:tcPr>
            <w:tcW w:w="5" w:type="pct"/>
            <w:vAlign w:val="center"/>
            <w:hideMark/>
          </w:tcPr>
          <w:p w14:paraId="04E34738" w14:textId="77777777" w:rsidR="00000000" w:rsidRDefault="00C01C43">
            <w:pPr>
              <w:rPr>
                <w:rFonts w:eastAsia="Times New Roman"/>
                <w:sz w:val="20"/>
                <w:szCs w:val="20"/>
              </w:rPr>
            </w:pPr>
          </w:p>
        </w:tc>
        <w:tc>
          <w:tcPr>
            <w:tcW w:w="85" w:type="pct"/>
            <w:vAlign w:val="center"/>
            <w:hideMark/>
          </w:tcPr>
          <w:p w14:paraId="1E2FE059" w14:textId="77777777" w:rsidR="00000000" w:rsidRDefault="00C01C43">
            <w:pPr>
              <w:rPr>
                <w:rFonts w:eastAsia="Times New Roman"/>
                <w:sz w:val="20"/>
                <w:szCs w:val="20"/>
              </w:rPr>
            </w:pPr>
          </w:p>
        </w:tc>
        <w:tc>
          <w:tcPr>
            <w:tcW w:w="5" w:type="pct"/>
            <w:vAlign w:val="center"/>
            <w:hideMark/>
          </w:tcPr>
          <w:p w14:paraId="2DBE883B" w14:textId="77777777" w:rsidR="00000000" w:rsidRDefault="00C01C43">
            <w:pPr>
              <w:rPr>
                <w:rFonts w:eastAsia="Times New Roman"/>
                <w:sz w:val="20"/>
                <w:szCs w:val="20"/>
              </w:rPr>
            </w:pPr>
          </w:p>
        </w:tc>
        <w:tc>
          <w:tcPr>
            <w:tcW w:w="50" w:type="pct"/>
            <w:vAlign w:val="center"/>
            <w:hideMark/>
          </w:tcPr>
          <w:p w14:paraId="017D075E" w14:textId="77777777" w:rsidR="00000000" w:rsidRDefault="00C01C43">
            <w:pPr>
              <w:rPr>
                <w:rFonts w:eastAsia="Times New Roman"/>
                <w:sz w:val="20"/>
                <w:szCs w:val="20"/>
              </w:rPr>
            </w:pPr>
          </w:p>
        </w:tc>
        <w:tc>
          <w:tcPr>
            <w:tcW w:w="481" w:type="pct"/>
            <w:vAlign w:val="center"/>
            <w:hideMark/>
          </w:tcPr>
          <w:p w14:paraId="34906303" w14:textId="77777777" w:rsidR="00000000" w:rsidRDefault="00C01C43">
            <w:pPr>
              <w:rPr>
                <w:rFonts w:eastAsia="Times New Roman"/>
                <w:sz w:val="20"/>
                <w:szCs w:val="20"/>
              </w:rPr>
            </w:pPr>
          </w:p>
        </w:tc>
        <w:tc>
          <w:tcPr>
            <w:tcW w:w="5" w:type="pct"/>
            <w:vAlign w:val="center"/>
            <w:hideMark/>
          </w:tcPr>
          <w:p w14:paraId="223336F8" w14:textId="77777777" w:rsidR="00000000" w:rsidRDefault="00C01C43">
            <w:pPr>
              <w:rPr>
                <w:rFonts w:eastAsia="Times New Roman"/>
                <w:sz w:val="20"/>
                <w:szCs w:val="20"/>
              </w:rPr>
            </w:pPr>
          </w:p>
        </w:tc>
        <w:tc>
          <w:tcPr>
            <w:tcW w:w="5" w:type="pct"/>
            <w:vAlign w:val="center"/>
            <w:hideMark/>
          </w:tcPr>
          <w:p w14:paraId="21D09503" w14:textId="77777777" w:rsidR="00000000" w:rsidRDefault="00C01C43">
            <w:pPr>
              <w:rPr>
                <w:rFonts w:eastAsia="Times New Roman"/>
                <w:sz w:val="20"/>
                <w:szCs w:val="20"/>
              </w:rPr>
            </w:pPr>
          </w:p>
        </w:tc>
        <w:tc>
          <w:tcPr>
            <w:tcW w:w="85" w:type="pct"/>
            <w:vAlign w:val="center"/>
            <w:hideMark/>
          </w:tcPr>
          <w:p w14:paraId="59F145CE" w14:textId="77777777" w:rsidR="00000000" w:rsidRDefault="00C01C43">
            <w:pPr>
              <w:rPr>
                <w:rFonts w:eastAsia="Times New Roman"/>
                <w:sz w:val="20"/>
                <w:szCs w:val="20"/>
              </w:rPr>
            </w:pPr>
          </w:p>
        </w:tc>
        <w:tc>
          <w:tcPr>
            <w:tcW w:w="5" w:type="pct"/>
            <w:vAlign w:val="center"/>
            <w:hideMark/>
          </w:tcPr>
          <w:p w14:paraId="180FCA64" w14:textId="77777777" w:rsidR="00000000" w:rsidRDefault="00C01C43">
            <w:pPr>
              <w:rPr>
                <w:rFonts w:eastAsia="Times New Roman"/>
                <w:sz w:val="20"/>
                <w:szCs w:val="20"/>
              </w:rPr>
            </w:pPr>
          </w:p>
        </w:tc>
        <w:tc>
          <w:tcPr>
            <w:tcW w:w="50" w:type="pct"/>
            <w:vAlign w:val="center"/>
            <w:hideMark/>
          </w:tcPr>
          <w:p w14:paraId="30D41254" w14:textId="77777777" w:rsidR="00000000" w:rsidRDefault="00C01C43">
            <w:pPr>
              <w:rPr>
                <w:rFonts w:eastAsia="Times New Roman"/>
                <w:sz w:val="20"/>
                <w:szCs w:val="20"/>
              </w:rPr>
            </w:pPr>
          </w:p>
        </w:tc>
        <w:tc>
          <w:tcPr>
            <w:tcW w:w="474" w:type="pct"/>
            <w:vAlign w:val="center"/>
            <w:hideMark/>
          </w:tcPr>
          <w:p w14:paraId="52CFFC9A" w14:textId="77777777" w:rsidR="00000000" w:rsidRDefault="00C01C43">
            <w:pPr>
              <w:rPr>
                <w:rFonts w:eastAsia="Times New Roman"/>
                <w:sz w:val="20"/>
                <w:szCs w:val="20"/>
              </w:rPr>
            </w:pPr>
          </w:p>
        </w:tc>
        <w:tc>
          <w:tcPr>
            <w:tcW w:w="5" w:type="pct"/>
            <w:vAlign w:val="center"/>
            <w:hideMark/>
          </w:tcPr>
          <w:p w14:paraId="101A82DB" w14:textId="77777777" w:rsidR="00000000" w:rsidRDefault="00C01C43">
            <w:pPr>
              <w:rPr>
                <w:rFonts w:eastAsia="Times New Roman"/>
                <w:sz w:val="20"/>
                <w:szCs w:val="20"/>
              </w:rPr>
            </w:pPr>
          </w:p>
        </w:tc>
        <w:tc>
          <w:tcPr>
            <w:tcW w:w="5" w:type="pct"/>
            <w:vAlign w:val="center"/>
            <w:hideMark/>
          </w:tcPr>
          <w:p w14:paraId="641AB60B" w14:textId="77777777" w:rsidR="00000000" w:rsidRDefault="00C01C43">
            <w:pPr>
              <w:rPr>
                <w:rFonts w:eastAsia="Times New Roman"/>
                <w:sz w:val="20"/>
                <w:szCs w:val="20"/>
              </w:rPr>
            </w:pPr>
          </w:p>
        </w:tc>
        <w:tc>
          <w:tcPr>
            <w:tcW w:w="85" w:type="pct"/>
            <w:vAlign w:val="center"/>
            <w:hideMark/>
          </w:tcPr>
          <w:p w14:paraId="6FC69D75" w14:textId="77777777" w:rsidR="00000000" w:rsidRDefault="00C01C43">
            <w:pPr>
              <w:rPr>
                <w:rFonts w:eastAsia="Times New Roman"/>
                <w:sz w:val="20"/>
                <w:szCs w:val="20"/>
              </w:rPr>
            </w:pPr>
          </w:p>
        </w:tc>
        <w:tc>
          <w:tcPr>
            <w:tcW w:w="5" w:type="pct"/>
            <w:vAlign w:val="center"/>
            <w:hideMark/>
          </w:tcPr>
          <w:p w14:paraId="31938D10" w14:textId="77777777" w:rsidR="00000000" w:rsidRDefault="00C01C43">
            <w:pPr>
              <w:rPr>
                <w:rFonts w:eastAsia="Times New Roman"/>
                <w:sz w:val="20"/>
                <w:szCs w:val="20"/>
              </w:rPr>
            </w:pPr>
          </w:p>
        </w:tc>
        <w:tc>
          <w:tcPr>
            <w:tcW w:w="50" w:type="pct"/>
            <w:vAlign w:val="center"/>
            <w:hideMark/>
          </w:tcPr>
          <w:p w14:paraId="04976686" w14:textId="77777777" w:rsidR="00000000" w:rsidRDefault="00C01C43">
            <w:pPr>
              <w:rPr>
                <w:rFonts w:eastAsia="Times New Roman"/>
                <w:sz w:val="20"/>
                <w:szCs w:val="20"/>
              </w:rPr>
            </w:pPr>
          </w:p>
        </w:tc>
        <w:tc>
          <w:tcPr>
            <w:tcW w:w="482" w:type="pct"/>
            <w:vAlign w:val="center"/>
            <w:hideMark/>
          </w:tcPr>
          <w:p w14:paraId="3F44CFA3" w14:textId="77777777" w:rsidR="00000000" w:rsidRDefault="00C01C43">
            <w:pPr>
              <w:rPr>
                <w:rFonts w:eastAsia="Times New Roman"/>
                <w:sz w:val="20"/>
                <w:szCs w:val="20"/>
              </w:rPr>
            </w:pPr>
          </w:p>
        </w:tc>
        <w:tc>
          <w:tcPr>
            <w:tcW w:w="5" w:type="pct"/>
            <w:vAlign w:val="center"/>
            <w:hideMark/>
          </w:tcPr>
          <w:p w14:paraId="4DDE7974" w14:textId="77777777" w:rsidR="00000000" w:rsidRDefault="00C01C43">
            <w:pPr>
              <w:rPr>
                <w:rFonts w:eastAsia="Times New Roman"/>
                <w:sz w:val="20"/>
                <w:szCs w:val="20"/>
              </w:rPr>
            </w:pPr>
          </w:p>
        </w:tc>
      </w:tr>
      <w:tr w:rsidR="00000000" w14:paraId="19CDBB0D" w14:textId="77777777">
        <w:trPr>
          <w:divId w:val="1584333162"/>
          <w:jc w:val="center"/>
        </w:trPr>
        <w:tc>
          <w:tcPr>
            <w:tcW w:w="0" w:type="auto"/>
            <w:gridSpan w:val="3"/>
            <w:tcMar>
              <w:top w:w="0" w:type="dxa"/>
              <w:left w:w="20" w:type="dxa"/>
              <w:bottom w:w="0" w:type="dxa"/>
              <w:right w:w="20" w:type="dxa"/>
            </w:tcMar>
            <w:vAlign w:val="center"/>
            <w:hideMark/>
          </w:tcPr>
          <w:p w14:paraId="1DDD68BE" w14:textId="77777777" w:rsidR="00000000" w:rsidRDefault="00C01C43">
            <w:pPr>
              <w:rPr>
                <w:rFonts w:eastAsia="Times New Roman"/>
                <w:sz w:val="20"/>
                <w:szCs w:val="20"/>
              </w:rPr>
            </w:pPr>
          </w:p>
        </w:tc>
        <w:tc>
          <w:tcPr>
            <w:tcW w:w="0" w:type="auto"/>
            <w:gridSpan w:val="36"/>
            <w:tcMar>
              <w:top w:w="30" w:type="dxa"/>
              <w:left w:w="20" w:type="dxa"/>
              <w:bottom w:w="30" w:type="dxa"/>
              <w:right w:w="20" w:type="dxa"/>
            </w:tcMar>
            <w:vAlign w:val="bottom"/>
            <w:hideMark/>
          </w:tcPr>
          <w:p w14:paraId="52080C53" w14:textId="77777777" w:rsidR="00000000" w:rsidRDefault="00C01C43">
            <w:pPr>
              <w:jc w:val="center"/>
              <w:rPr>
                <w:rFonts w:eastAsia="Times New Roman"/>
              </w:rPr>
            </w:pPr>
            <w:r>
              <w:rPr>
                <w:rFonts w:ascii="Arial" w:eastAsia="Times New Roman" w:hAnsi="Arial" w:cs="Arial"/>
                <w:b/>
                <w:bCs/>
                <w:color w:val="000000"/>
                <w:sz w:val="16"/>
                <w:szCs w:val="16"/>
              </w:rPr>
              <w:t>Fair Value as of December 31, 2020</w:t>
            </w:r>
          </w:p>
        </w:tc>
      </w:tr>
      <w:tr w:rsidR="00000000" w14:paraId="52CA29EF" w14:textId="77777777">
        <w:trPr>
          <w:divId w:val="1584333162"/>
          <w:trHeight w:val="300"/>
          <w:jc w:val="center"/>
        </w:trPr>
        <w:tc>
          <w:tcPr>
            <w:tcW w:w="0" w:type="auto"/>
            <w:gridSpan w:val="3"/>
            <w:tcMar>
              <w:top w:w="0" w:type="dxa"/>
              <w:left w:w="20" w:type="dxa"/>
              <w:bottom w:w="0" w:type="dxa"/>
              <w:right w:w="20" w:type="dxa"/>
            </w:tcMar>
            <w:vAlign w:val="center"/>
            <w:hideMark/>
          </w:tcPr>
          <w:p w14:paraId="048D8E9C" w14:textId="77777777" w:rsidR="00000000" w:rsidRDefault="00C01C43">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5A4A294" w14:textId="77777777" w:rsidR="00000000" w:rsidRDefault="00C01C43">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7FDF28A" w14:textId="77777777" w:rsidR="00000000" w:rsidRDefault="00C01C43">
            <w:pPr>
              <w:jc w:val="center"/>
              <w:rPr>
                <w:rFonts w:eastAsia="Times New Roman"/>
              </w:rPr>
            </w:pPr>
            <w:r>
              <w:rPr>
                <w:rFonts w:ascii="Arial" w:eastAsia="Times New Roman" w:hAnsi="Arial" w:cs="Arial"/>
                <w:b/>
                <w:bCs/>
                <w:color w:val="000000"/>
                <w:sz w:val="16"/>
                <w:szCs w:val="16"/>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14:paraId="444E6BC1" w14:textId="77777777" w:rsidR="00000000" w:rsidRDefault="00C01C4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F8899DE" w14:textId="77777777" w:rsidR="00000000" w:rsidRDefault="00C01C43">
            <w:pPr>
              <w:jc w:val="center"/>
              <w:rPr>
                <w:rFonts w:eastAsia="Times New Roman"/>
              </w:rPr>
            </w:pPr>
            <w:r>
              <w:rPr>
                <w:rFonts w:ascii="Arial" w:eastAsia="Times New Roman" w:hAnsi="Arial" w:cs="Arial"/>
                <w:b/>
                <w:bCs/>
                <w:color w:val="000000"/>
                <w:sz w:val="16"/>
                <w:szCs w:val="16"/>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14:paraId="06838975" w14:textId="77777777" w:rsidR="00000000" w:rsidRDefault="00C01C4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F3CFCA1" w14:textId="77777777" w:rsidR="00000000" w:rsidRDefault="00C01C43">
            <w:pPr>
              <w:jc w:val="center"/>
              <w:rPr>
                <w:rFonts w:eastAsia="Times New Roman"/>
              </w:rPr>
            </w:pPr>
            <w:r>
              <w:rPr>
                <w:rFonts w:ascii="Arial" w:eastAsia="Times New Roman" w:hAnsi="Arial" w:cs="Arial"/>
                <w:b/>
                <w:bCs/>
                <w:color w:val="333333"/>
                <w:sz w:val="16"/>
                <w:szCs w:val="16"/>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14:paraId="61B4B65B" w14:textId="77777777" w:rsidR="00000000" w:rsidRDefault="00C01C4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CC4A34A" w14:textId="77777777" w:rsidR="00000000" w:rsidRDefault="00C01C43">
            <w:pPr>
              <w:jc w:val="center"/>
              <w:rPr>
                <w:rFonts w:eastAsia="Times New Roman"/>
              </w:rPr>
            </w:pPr>
            <w:r>
              <w:rPr>
                <w:rFonts w:ascii="Arial" w:eastAsia="Times New Roman" w:hAnsi="Arial" w:cs="Arial"/>
                <w:b/>
                <w:bCs/>
                <w:color w:val="000000"/>
                <w:sz w:val="16"/>
                <w:szCs w:val="16"/>
              </w:rPr>
              <w:t>Cash Collateral</w:t>
            </w:r>
          </w:p>
        </w:tc>
        <w:tc>
          <w:tcPr>
            <w:tcW w:w="0" w:type="auto"/>
            <w:gridSpan w:val="3"/>
            <w:tcBorders>
              <w:top w:val="single" w:sz="8" w:space="0" w:color="000000"/>
            </w:tcBorders>
            <w:tcMar>
              <w:top w:w="0" w:type="dxa"/>
              <w:left w:w="20" w:type="dxa"/>
              <w:bottom w:w="0" w:type="dxa"/>
              <w:right w:w="20" w:type="dxa"/>
            </w:tcMar>
            <w:vAlign w:val="center"/>
            <w:hideMark/>
          </w:tcPr>
          <w:p w14:paraId="4EB92CBE" w14:textId="77777777" w:rsidR="00000000" w:rsidRDefault="00C01C4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0F64D5D" w14:textId="77777777" w:rsidR="00000000" w:rsidRDefault="00C01C43">
            <w:pPr>
              <w:jc w:val="center"/>
              <w:rPr>
                <w:rFonts w:eastAsia="Times New Roman"/>
              </w:rPr>
            </w:pPr>
            <w:r>
              <w:rPr>
                <w:rFonts w:ascii="Arial" w:eastAsia="Times New Roman" w:hAnsi="Arial" w:cs="Arial"/>
                <w:b/>
                <w:bCs/>
                <w:color w:val="000000"/>
                <w:sz w:val="16"/>
                <w:szCs w:val="16"/>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14:paraId="7402C88A" w14:textId="77777777" w:rsidR="00000000" w:rsidRDefault="00C01C4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9D45B95" w14:textId="77777777" w:rsidR="00000000" w:rsidRDefault="00C01C43">
            <w:pPr>
              <w:jc w:val="center"/>
              <w:rPr>
                <w:rFonts w:eastAsia="Times New Roman"/>
              </w:rPr>
            </w:pPr>
            <w:r>
              <w:rPr>
                <w:rFonts w:ascii="Arial" w:eastAsia="Times New Roman" w:hAnsi="Arial" w:cs="Arial"/>
                <w:b/>
                <w:bCs/>
                <w:color w:val="333333"/>
                <w:sz w:val="16"/>
                <w:szCs w:val="16"/>
              </w:rPr>
              <w:t>Net Amounts</w:t>
            </w:r>
          </w:p>
        </w:tc>
      </w:tr>
      <w:tr w:rsidR="00000000" w14:paraId="010D9CB2" w14:textId="77777777">
        <w:trPr>
          <w:divId w:val="1584333162"/>
          <w:trHeight w:val="300"/>
          <w:jc w:val="center"/>
        </w:trPr>
        <w:tc>
          <w:tcPr>
            <w:tcW w:w="0" w:type="auto"/>
            <w:gridSpan w:val="3"/>
            <w:tcMar>
              <w:top w:w="0" w:type="dxa"/>
              <w:left w:w="20" w:type="dxa"/>
              <w:bottom w:w="0" w:type="dxa"/>
              <w:right w:w="20" w:type="dxa"/>
            </w:tcMar>
            <w:vAlign w:val="center"/>
            <w:hideMark/>
          </w:tcPr>
          <w:p w14:paraId="30B7A89E"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10CC735E"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0E7298F2"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5D622D71"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1A76245D"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415DD53C"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47CA2348"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30B85BBF"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2BA47904"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5FC364FE"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66065C9B"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1D1B9B93"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472C1425" w14:textId="77777777" w:rsidR="00000000" w:rsidRDefault="00C01C43">
            <w:pPr>
              <w:rPr>
                <w:rFonts w:eastAsia="Times New Roman"/>
              </w:rPr>
            </w:pPr>
          </w:p>
        </w:tc>
      </w:tr>
      <w:tr w:rsidR="00000000" w14:paraId="30FF8B5B" w14:textId="77777777">
        <w:trPr>
          <w:divId w:val="1584333162"/>
          <w:trHeight w:val="300"/>
          <w:jc w:val="center"/>
        </w:trPr>
        <w:tc>
          <w:tcPr>
            <w:tcW w:w="0" w:type="auto"/>
            <w:gridSpan w:val="3"/>
            <w:tcMar>
              <w:top w:w="0" w:type="dxa"/>
              <w:left w:w="20" w:type="dxa"/>
              <w:bottom w:w="0" w:type="dxa"/>
              <w:right w:w="20" w:type="dxa"/>
            </w:tcMar>
            <w:vAlign w:val="center"/>
            <w:hideMark/>
          </w:tcPr>
          <w:p w14:paraId="0241168F"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160B20C7"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43F53371"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30C349A2"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4EECAA43"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684CA115"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5ECC8D2D"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6850DC6C"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01251CB7"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07CB472A"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1C75CFF5"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6EB7A3BC"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16114E8F" w14:textId="77777777" w:rsidR="00000000" w:rsidRDefault="00C01C43">
            <w:pPr>
              <w:rPr>
                <w:rFonts w:eastAsia="Times New Roman"/>
              </w:rPr>
            </w:pPr>
          </w:p>
        </w:tc>
      </w:tr>
      <w:tr w:rsidR="00000000" w14:paraId="167E308E" w14:textId="77777777">
        <w:trPr>
          <w:divId w:val="1584333162"/>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91FFDE" w14:textId="77777777" w:rsidR="00000000" w:rsidRDefault="00C01C43">
            <w:pPr>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11D15F"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9A0EAA"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3171D7"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E91607"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FEEAFA"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8949E4"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E49E3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95D35D"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DA392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D05B80"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530369"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B6AFAC" w14:textId="77777777" w:rsidR="00000000" w:rsidRDefault="00C01C43">
            <w:pPr>
              <w:rPr>
                <w:rFonts w:eastAsia="Times New Roman"/>
                <w:sz w:val="20"/>
                <w:szCs w:val="20"/>
              </w:rPr>
            </w:pPr>
          </w:p>
        </w:tc>
      </w:tr>
      <w:tr w:rsidR="00000000" w14:paraId="75CC9E32" w14:textId="77777777">
        <w:trPr>
          <w:divId w:val="1584333162"/>
          <w:jc w:val="center"/>
        </w:trPr>
        <w:tc>
          <w:tcPr>
            <w:tcW w:w="0" w:type="auto"/>
            <w:gridSpan w:val="3"/>
            <w:shd w:val="clear" w:color="auto" w:fill="FFFFFF"/>
            <w:tcMar>
              <w:top w:w="30" w:type="dxa"/>
              <w:left w:w="20" w:type="dxa"/>
              <w:bottom w:w="30" w:type="dxa"/>
              <w:right w:w="20" w:type="dxa"/>
            </w:tcMar>
            <w:vAlign w:val="bottom"/>
            <w:hideMark/>
          </w:tcPr>
          <w:p w14:paraId="02196D9D" w14:textId="77777777" w:rsidR="00000000" w:rsidRDefault="00C01C43">
            <w:pPr>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248ED217" w14:textId="77777777" w:rsidR="00000000" w:rsidRDefault="00C01C43">
            <w:pPr>
              <w:rPr>
                <w:rFonts w:eastAsia="Times New Roman"/>
              </w:rPr>
            </w:pPr>
          </w:p>
        </w:tc>
        <w:tc>
          <w:tcPr>
            <w:tcW w:w="0" w:type="auto"/>
            <w:shd w:val="clear" w:color="auto" w:fill="FFFFFF"/>
            <w:tcMar>
              <w:top w:w="30" w:type="dxa"/>
              <w:left w:w="20" w:type="dxa"/>
              <w:bottom w:w="30" w:type="dxa"/>
              <w:right w:w="0" w:type="dxa"/>
            </w:tcMar>
            <w:vAlign w:val="bottom"/>
            <w:hideMark/>
          </w:tcPr>
          <w:p w14:paraId="161E7CB9"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AA390D0" w14:textId="77777777" w:rsidR="00000000" w:rsidRDefault="00C01C43">
            <w:pPr>
              <w:jc w:val="right"/>
              <w:rPr>
                <w:rFonts w:eastAsia="Times New Roman"/>
              </w:rPr>
            </w:pPr>
            <w:r>
              <w:rPr>
                <w:rFonts w:ascii="Arial" w:eastAsia="Times New Roman" w:hAnsi="Arial" w:cs="Arial"/>
                <w:color w:val="000000"/>
                <w:sz w:val="20"/>
                <w:szCs w:val="20"/>
              </w:rPr>
              <w:t>371.0 </w:t>
            </w:r>
          </w:p>
        </w:tc>
        <w:tc>
          <w:tcPr>
            <w:tcW w:w="0" w:type="auto"/>
            <w:shd w:val="clear" w:color="auto" w:fill="FFFFFF"/>
            <w:tcMar>
              <w:top w:w="30" w:type="dxa"/>
              <w:left w:w="0" w:type="dxa"/>
              <w:bottom w:w="30" w:type="dxa"/>
              <w:right w:w="20" w:type="dxa"/>
            </w:tcMar>
            <w:vAlign w:val="bottom"/>
            <w:hideMark/>
          </w:tcPr>
          <w:p w14:paraId="5FF7399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9B212"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E1304F"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1072362" w14:textId="77777777" w:rsidR="00000000" w:rsidRDefault="00C01C43">
            <w:pPr>
              <w:jc w:val="right"/>
              <w:rPr>
                <w:rFonts w:eastAsia="Times New Roman"/>
              </w:rPr>
            </w:pPr>
            <w:r>
              <w:rPr>
                <w:rFonts w:ascii="Arial" w:eastAsia="Times New Roman" w:hAnsi="Arial" w:cs="Arial"/>
                <w:color w:val="000000"/>
                <w:sz w:val="20"/>
                <w:szCs w:val="20"/>
              </w:rPr>
              <w:t>287.1 </w:t>
            </w:r>
          </w:p>
        </w:tc>
        <w:tc>
          <w:tcPr>
            <w:tcW w:w="0" w:type="auto"/>
            <w:shd w:val="clear" w:color="auto" w:fill="FFFFFF"/>
            <w:tcMar>
              <w:top w:w="30" w:type="dxa"/>
              <w:left w:w="0" w:type="dxa"/>
              <w:bottom w:w="30" w:type="dxa"/>
              <w:right w:w="20" w:type="dxa"/>
            </w:tcMar>
            <w:vAlign w:val="bottom"/>
            <w:hideMark/>
          </w:tcPr>
          <w:p w14:paraId="69E55AE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CB313"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CE9601"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75D5D61" w14:textId="77777777" w:rsidR="00000000" w:rsidRDefault="00C01C43">
            <w:pPr>
              <w:jc w:val="right"/>
              <w:rPr>
                <w:rFonts w:eastAsia="Times New Roman"/>
              </w:rPr>
            </w:pPr>
            <w:r>
              <w:rPr>
                <w:rFonts w:ascii="Arial" w:eastAsia="Times New Roman" w:hAnsi="Arial" w:cs="Arial"/>
                <w:color w:val="000000"/>
                <w:sz w:val="20"/>
                <w:szCs w:val="20"/>
              </w:rPr>
              <w:t>83.9 </w:t>
            </w:r>
          </w:p>
        </w:tc>
        <w:tc>
          <w:tcPr>
            <w:tcW w:w="0" w:type="auto"/>
            <w:shd w:val="clear" w:color="auto" w:fill="FFFFFF"/>
            <w:tcMar>
              <w:top w:w="30" w:type="dxa"/>
              <w:left w:w="0" w:type="dxa"/>
              <w:bottom w:w="30" w:type="dxa"/>
              <w:right w:w="20" w:type="dxa"/>
            </w:tcMar>
            <w:vAlign w:val="bottom"/>
            <w:hideMark/>
          </w:tcPr>
          <w:p w14:paraId="53D45B3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BBDB98"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E419CF"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ABEC789" w14:textId="77777777" w:rsidR="00000000" w:rsidRDefault="00C01C43">
            <w:pPr>
              <w:jc w:val="right"/>
              <w:rPr>
                <w:rFonts w:eastAsia="Times New Roman"/>
              </w:rPr>
            </w:pPr>
            <w:r>
              <w:rPr>
                <w:rFonts w:ascii="Arial" w:eastAsia="Times New Roman" w:hAnsi="Arial" w:cs="Arial"/>
                <w:color w:val="000000"/>
                <w:sz w:val="20"/>
                <w:szCs w:val="20"/>
              </w:rPr>
              <w:t>1.2 </w:t>
            </w:r>
          </w:p>
        </w:tc>
        <w:tc>
          <w:tcPr>
            <w:tcW w:w="0" w:type="auto"/>
            <w:shd w:val="clear" w:color="auto" w:fill="FFFFFF"/>
            <w:tcMar>
              <w:top w:w="30" w:type="dxa"/>
              <w:left w:w="0" w:type="dxa"/>
              <w:bottom w:w="30" w:type="dxa"/>
              <w:right w:w="20" w:type="dxa"/>
            </w:tcMar>
            <w:vAlign w:val="bottom"/>
            <w:hideMark/>
          </w:tcPr>
          <w:p w14:paraId="23F9822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1D7AC"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FBBB759"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F75D7AD"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46DFFBE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00159"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D075CB"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743CB01" w14:textId="77777777" w:rsidR="00000000" w:rsidRDefault="00C01C43">
            <w:pPr>
              <w:jc w:val="right"/>
              <w:rPr>
                <w:rFonts w:eastAsia="Times New Roman"/>
              </w:rPr>
            </w:pPr>
            <w:r>
              <w:rPr>
                <w:rFonts w:ascii="Arial" w:eastAsia="Times New Roman" w:hAnsi="Arial" w:cs="Arial"/>
                <w:color w:val="000000"/>
                <w:sz w:val="20"/>
                <w:szCs w:val="20"/>
              </w:rPr>
              <w:t>82.7 </w:t>
            </w:r>
          </w:p>
        </w:tc>
        <w:tc>
          <w:tcPr>
            <w:tcW w:w="0" w:type="auto"/>
            <w:shd w:val="clear" w:color="auto" w:fill="FFFFFF"/>
            <w:tcMar>
              <w:top w:w="30" w:type="dxa"/>
              <w:left w:w="0" w:type="dxa"/>
              <w:bottom w:w="30" w:type="dxa"/>
              <w:right w:w="20" w:type="dxa"/>
            </w:tcMar>
            <w:vAlign w:val="bottom"/>
            <w:hideMark/>
          </w:tcPr>
          <w:p w14:paraId="2ECFD289" w14:textId="77777777" w:rsidR="00000000" w:rsidRDefault="00C01C43">
            <w:pPr>
              <w:jc w:val="right"/>
              <w:rPr>
                <w:rFonts w:eastAsia="Times New Roman"/>
              </w:rPr>
            </w:pPr>
          </w:p>
        </w:tc>
      </w:tr>
      <w:tr w:rsidR="00000000" w14:paraId="6EB5F7AC" w14:textId="77777777">
        <w:trPr>
          <w:divId w:val="1584333162"/>
          <w:jc w:val="center"/>
        </w:trPr>
        <w:tc>
          <w:tcPr>
            <w:tcW w:w="0" w:type="auto"/>
            <w:gridSpan w:val="3"/>
            <w:vAlign w:val="center"/>
            <w:hideMark/>
          </w:tcPr>
          <w:p w14:paraId="45DDC87E" w14:textId="77777777" w:rsidR="00000000" w:rsidRDefault="00C01C43">
            <w:pPr>
              <w:jc w:val="right"/>
              <w:rPr>
                <w:rFonts w:eastAsia="Times New Roman"/>
                <w:sz w:val="20"/>
                <w:szCs w:val="20"/>
              </w:rPr>
            </w:pPr>
          </w:p>
        </w:tc>
        <w:tc>
          <w:tcPr>
            <w:tcW w:w="0" w:type="auto"/>
            <w:gridSpan w:val="3"/>
            <w:vAlign w:val="center"/>
            <w:hideMark/>
          </w:tcPr>
          <w:p w14:paraId="68616C01" w14:textId="77777777" w:rsidR="00000000" w:rsidRDefault="00C01C43">
            <w:pPr>
              <w:rPr>
                <w:rFonts w:eastAsia="Times New Roman"/>
                <w:sz w:val="20"/>
                <w:szCs w:val="20"/>
              </w:rPr>
            </w:pPr>
          </w:p>
        </w:tc>
        <w:tc>
          <w:tcPr>
            <w:tcW w:w="0" w:type="auto"/>
            <w:gridSpan w:val="3"/>
            <w:vAlign w:val="center"/>
            <w:hideMark/>
          </w:tcPr>
          <w:p w14:paraId="7C794138" w14:textId="77777777" w:rsidR="00000000" w:rsidRDefault="00C01C43">
            <w:pPr>
              <w:rPr>
                <w:rFonts w:eastAsia="Times New Roman"/>
                <w:sz w:val="20"/>
                <w:szCs w:val="20"/>
              </w:rPr>
            </w:pPr>
          </w:p>
        </w:tc>
        <w:tc>
          <w:tcPr>
            <w:tcW w:w="0" w:type="auto"/>
            <w:gridSpan w:val="3"/>
            <w:vAlign w:val="center"/>
            <w:hideMark/>
          </w:tcPr>
          <w:p w14:paraId="52C7FFE6" w14:textId="77777777" w:rsidR="00000000" w:rsidRDefault="00C01C43">
            <w:pPr>
              <w:rPr>
                <w:rFonts w:eastAsia="Times New Roman"/>
                <w:sz w:val="20"/>
                <w:szCs w:val="20"/>
              </w:rPr>
            </w:pPr>
          </w:p>
        </w:tc>
        <w:tc>
          <w:tcPr>
            <w:tcW w:w="0" w:type="auto"/>
            <w:gridSpan w:val="3"/>
            <w:vAlign w:val="center"/>
            <w:hideMark/>
          </w:tcPr>
          <w:p w14:paraId="5DB0EC73" w14:textId="77777777" w:rsidR="00000000" w:rsidRDefault="00C01C43">
            <w:pPr>
              <w:rPr>
                <w:rFonts w:eastAsia="Times New Roman"/>
                <w:sz w:val="20"/>
                <w:szCs w:val="20"/>
              </w:rPr>
            </w:pPr>
          </w:p>
        </w:tc>
        <w:tc>
          <w:tcPr>
            <w:tcW w:w="0" w:type="auto"/>
            <w:gridSpan w:val="3"/>
            <w:vAlign w:val="center"/>
            <w:hideMark/>
          </w:tcPr>
          <w:p w14:paraId="676BE612" w14:textId="77777777" w:rsidR="00000000" w:rsidRDefault="00C01C43">
            <w:pPr>
              <w:rPr>
                <w:rFonts w:eastAsia="Times New Roman"/>
                <w:sz w:val="20"/>
                <w:szCs w:val="20"/>
              </w:rPr>
            </w:pPr>
          </w:p>
        </w:tc>
        <w:tc>
          <w:tcPr>
            <w:tcW w:w="0" w:type="auto"/>
            <w:gridSpan w:val="3"/>
            <w:vAlign w:val="center"/>
            <w:hideMark/>
          </w:tcPr>
          <w:p w14:paraId="316628C4" w14:textId="77777777" w:rsidR="00000000" w:rsidRDefault="00C01C43">
            <w:pPr>
              <w:rPr>
                <w:rFonts w:eastAsia="Times New Roman"/>
                <w:sz w:val="20"/>
                <w:szCs w:val="20"/>
              </w:rPr>
            </w:pPr>
          </w:p>
        </w:tc>
        <w:tc>
          <w:tcPr>
            <w:tcW w:w="0" w:type="auto"/>
            <w:gridSpan w:val="3"/>
            <w:vAlign w:val="center"/>
            <w:hideMark/>
          </w:tcPr>
          <w:p w14:paraId="3736B415" w14:textId="77777777" w:rsidR="00000000" w:rsidRDefault="00C01C43">
            <w:pPr>
              <w:rPr>
                <w:rFonts w:eastAsia="Times New Roman"/>
                <w:sz w:val="20"/>
                <w:szCs w:val="20"/>
              </w:rPr>
            </w:pPr>
          </w:p>
        </w:tc>
        <w:tc>
          <w:tcPr>
            <w:tcW w:w="0" w:type="auto"/>
            <w:gridSpan w:val="3"/>
            <w:vAlign w:val="center"/>
            <w:hideMark/>
          </w:tcPr>
          <w:p w14:paraId="48A74B0B" w14:textId="77777777" w:rsidR="00000000" w:rsidRDefault="00C01C43">
            <w:pPr>
              <w:rPr>
                <w:rFonts w:eastAsia="Times New Roman"/>
                <w:sz w:val="20"/>
                <w:szCs w:val="20"/>
              </w:rPr>
            </w:pPr>
          </w:p>
        </w:tc>
        <w:tc>
          <w:tcPr>
            <w:tcW w:w="0" w:type="auto"/>
            <w:gridSpan w:val="3"/>
            <w:vAlign w:val="center"/>
            <w:hideMark/>
          </w:tcPr>
          <w:p w14:paraId="54F6AE6D" w14:textId="77777777" w:rsidR="00000000" w:rsidRDefault="00C01C43">
            <w:pPr>
              <w:rPr>
                <w:rFonts w:eastAsia="Times New Roman"/>
                <w:sz w:val="20"/>
                <w:szCs w:val="20"/>
              </w:rPr>
            </w:pPr>
          </w:p>
        </w:tc>
        <w:tc>
          <w:tcPr>
            <w:tcW w:w="0" w:type="auto"/>
            <w:gridSpan w:val="3"/>
            <w:vAlign w:val="center"/>
            <w:hideMark/>
          </w:tcPr>
          <w:p w14:paraId="168E65BD" w14:textId="77777777" w:rsidR="00000000" w:rsidRDefault="00C01C43">
            <w:pPr>
              <w:rPr>
                <w:rFonts w:eastAsia="Times New Roman"/>
                <w:sz w:val="20"/>
                <w:szCs w:val="20"/>
              </w:rPr>
            </w:pPr>
          </w:p>
        </w:tc>
        <w:tc>
          <w:tcPr>
            <w:tcW w:w="0" w:type="auto"/>
            <w:gridSpan w:val="3"/>
            <w:vAlign w:val="center"/>
            <w:hideMark/>
          </w:tcPr>
          <w:p w14:paraId="6FE1CAD7" w14:textId="77777777" w:rsidR="00000000" w:rsidRDefault="00C01C43">
            <w:pPr>
              <w:rPr>
                <w:rFonts w:eastAsia="Times New Roman"/>
                <w:sz w:val="20"/>
                <w:szCs w:val="20"/>
              </w:rPr>
            </w:pPr>
          </w:p>
        </w:tc>
        <w:tc>
          <w:tcPr>
            <w:tcW w:w="0" w:type="auto"/>
            <w:gridSpan w:val="3"/>
            <w:vAlign w:val="center"/>
            <w:hideMark/>
          </w:tcPr>
          <w:p w14:paraId="442F8960" w14:textId="77777777" w:rsidR="00000000" w:rsidRDefault="00C01C43">
            <w:pPr>
              <w:rPr>
                <w:rFonts w:eastAsia="Times New Roman"/>
                <w:sz w:val="20"/>
                <w:szCs w:val="20"/>
              </w:rPr>
            </w:pPr>
          </w:p>
        </w:tc>
      </w:tr>
      <w:tr w:rsidR="00000000" w14:paraId="1620BFEF" w14:textId="77777777">
        <w:trPr>
          <w:divId w:val="1584333162"/>
          <w:jc w:val="center"/>
        </w:trPr>
        <w:tc>
          <w:tcPr>
            <w:tcW w:w="0" w:type="auto"/>
            <w:gridSpan w:val="3"/>
            <w:shd w:val="clear" w:color="auto" w:fill="CCEEFF"/>
            <w:tcMar>
              <w:top w:w="30" w:type="dxa"/>
              <w:left w:w="20" w:type="dxa"/>
              <w:bottom w:w="30" w:type="dxa"/>
              <w:right w:w="20" w:type="dxa"/>
            </w:tcMar>
            <w:vAlign w:val="bottom"/>
            <w:hideMark/>
          </w:tcPr>
          <w:p w14:paraId="55EB6C7B" w14:textId="77777777" w:rsidR="00000000" w:rsidRDefault="00C01C43">
            <w:pPr>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43AD9335"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F54100" w14:textId="77777777" w:rsidR="00000000" w:rsidRDefault="00C01C43">
            <w:pPr>
              <w:jc w:val="right"/>
              <w:rPr>
                <w:rFonts w:eastAsia="Times New Roman"/>
              </w:rPr>
            </w:pPr>
            <w:r>
              <w:rPr>
                <w:rFonts w:ascii="Arial" w:eastAsia="Times New Roman" w:hAnsi="Arial" w:cs="Arial"/>
                <w:color w:val="000000"/>
                <w:sz w:val="20"/>
                <w:szCs w:val="20"/>
              </w:rPr>
              <w:t>7.5 </w:t>
            </w:r>
          </w:p>
        </w:tc>
        <w:tc>
          <w:tcPr>
            <w:tcW w:w="0" w:type="auto"/>
            <w:shd w:val="clear" w:color="auto" w:fill="CCEEFF"/>
            <w:tcMar>
              <w:top w:w="30" w:type="dxa"/>
              <w:left w:w="0" w:type="dxa"/>
              <w:bottom w:w="30" w:type="dxa"/>
              <w:right w:w="20" w:type="dxa"/>
            </w:tcMar>
            <w:vAlign w:val="bottom"/>
            <w:hideMark/>
          </w:tcPr>
          <w:p w14:paraId="7FCB9AA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F8EA0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372E5E" w14:textId="77777777" w:rsidR="00000000" w:rsidRDefault="00C01C43">
            <w:pPr>
              <w:jc w:val="right"/>
              <w:rPr>
                <w:rFonts w:eastAsia="Times New Roman"/>
              </w:rPr>
            </w:pPr>
            <w:r>
              <w:rPr>
                <w:rFonts w:ascii="Arial" w:eastAsia="Times New Roman" w:hAnsi="Arial" w:cs="Arial"/>
                <w:color w:val="000000"/>
                <w:sz w:val="20"/>
                <w:szCs w:val="20"/>
              </w:rPr>
              <w:t>7.5 </w:t>
            </w:r>
          </w:p>
        </w:tc>
        <w:tc>
          <w:tcPr>
            <w:tcW w:w="0" w:type="auto"/>
            <w:shd w:val="clear" w:color="auto" w:fill="CCEEFF"/>
            <w:tcMar>
              <w:top w:w="30" w:type="dxa"/>
              <w:left w:w="0" w:type="dxa"/>
              <w:bottom w:w="30" w:type="dxa"/>
              <w:right w:w="20" w:type="dxa"/>
            </w:tcMar>
            <w:vAlign w:val="bottom"/>
            <w:hideMark/>
          </w:tcPr>
          <w:p w14:paraId="67FA907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85B1B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FEF2E6"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28B9375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D2A5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9E6A15"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5658619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6013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8A008F"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7445CC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A7BDD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2ADDDD"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18E2B53" w14:textId="77777777" w:rsidR="00000000" w:rsidRDefault="00C01C43">
            <w:pPr>
              <w:jc w:val="right"/>
              <w:rPr>
                <w:rFonts w:eastAsia="Times New Roman"/>
              </w:rPr>
            </w:pPr>
          </w:p>
        </w:tc>
      </w:tr>
      <w:tr w:rsidR="00000000" w14:paraId="3C188DD9" w14:textId="77777777">
        <w:trPr>
          <w:divId w:val="1584333162"/>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16FF0D2" w14:textId="77777777" w:rsidR="00000000" w:rsidRDefault="00C01C43">
            <w:pPr>
              <w:rPr>
                <w:rFonts w:eastAsia="Times New Roman"/>
              </w:rPr>
            </w:pPr>
            <w:r>
              <w:rPr>
                <w:rFonts w:ascii="Arial" w:eastAsia="Times New Roman" w:hAnsi="Arial" w:cs="Arial"/>
                <w:color w:val="000000"/>
                <w:sz w:val="20"/>
                <w:szCs w:val="20"/>
              </w:rPr>
              <w:t>Total assets at fair value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765638" w14:textId="77777777" w:rsidR="00000000" w:rsidRDefault="00C01C4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D6897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63BD52" w14:textId="77777777" w:rsidR="00000000" w:rsidRDefault="00C01C43">
            <w:pPr>
              <w:jc w:val="right"/>
              <w:rPr>
                <w:rFonts w:eastAsia="Times New Roman"/>
              </w:rPr>
            </w:pPr>
            <w:r>
              <w:rPr>
                <w:rFonts w:ascii="Arial" w:eastAsia="Times New Roman" w:hAnsi="Arial" w:cs="Arial"/>
                <w:color w:val="000000"/>
                <w:sz w:val="20"/>
                <w:szCs w:val="20"/>
              </w:rPr>
              <w:t>378.5 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62C3A2"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5F81DAD"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A97716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E66A7D" w14:textId="77777777" w:rsidR="00000000" w:rsidRDefault="00C01C43">
            <w:pPr>
              <w:jc w:val="right"/>
              <w:rPr>
                <w:rFonts w:eastAsia="Times New Roman"/>
              </w:rPr>
            </w:pPr>
            <w:r>
              <w:rPr>
                <w:rFonts w:ascii="Arial" w:eastAsia="Times New Roman" w:hAnsi="Arial" w:cs="Arial"/>
                <w:color w:val="000000"/>
                <w:sz w:val="20"/>
                <w:szCs w:val="20"/>
              </w:rPr>
              <w:t>294.6 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9010BB"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DEAF2D"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EF311A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F86E36" w14:textId="77777777" w:rsidR="00000000" w:rsidRDefault="00C01C43">
            <w:pPr>
              <w:jc w:val="right"/>
              <w:rPr>
                <w:rFonts w:eastAsia="Times New Roman"/>
              </w:rPr>
            </w:pPr>
            <w:r>
              <w:rPr>
                <w:rFonts w:ascii="Arial" w:eastAsia="Times New Roman" w:hAnsi="Arial" w:cs="Arial"/>
                <w:color w:val="000000"/>
                <w:sz w:val="20"/>
                <w:szCs w:val="20"/>
              </w:rPr>
              <w:t>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A8D8D9"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E93BE66"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FC000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29B1158" w14:textId="77777777" w:rsidR="00000000" w:rsidRDefault="00C01C43">
            <w:pPr>
              <w:jc w:val="right"/>
              <w:rPr>
                <w:rFonts w:eastAsia="Times New Roman"/>
              </w:rPr>
            </w:pPr>
            <w:r>
              <w:rPr>
                <w:rFonts w:ascii="Arial" w:eastAsia="Times New Roman" w:hAnsi="Arial" w:cs="Arial"/>
                <w:color w:val="000000"/>
                <w:sz w:val="20"/>
                <w:szCs w:val="20"/>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F54B43"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A553190"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15B548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C78D27"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7EC22B"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EBE3E1"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921D0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670A422" w14:textId="77777777" w:rsidR="00000000" w:rsidRDefault="00C01C43">
            <w:pPr>
              <w:jc w:val="right"/>
              <w:rPr>
                <w:rFonts w:eastAsia="Times New Roman"/>
              </w:rPr>
            </w:pPr>
            <w:r>
              <w:rPr>
                <w:rFonts w:ascii="Arial" w:eastAsia="Times New Roman" w:hAnsi="Arial" w:cs="Arial"/>
                <w:color w:val="000000"/>
                <w:sz w:val="20"/>
                <w:szCs w:val="20"/>
              </w:rPr>
              <w:t>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55793A" w14:textId="77777777" w:rsidR="00000000" w:rsidRDefault="00C01C43">
            <w:pPr>
              <w:jc w:val="right"/>
              <w:rPr>
                <w:rFonts w:eastAsia="Times New Roman"/>
              </w:rPr>
            </w:pPr>
          </w:p>
        </w:tc>
      </w:tr>
      <w:tr w:rsidR="00000000" w14:paraId="082DBEB5" w14:textId="77777777">
        <w:trPr>
          <w:divId w:val="1584333162"/>
          <w:trHeight w:val="300"/>
          <w:jc w:val="center"/>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5068757" w14:textId="77777777" w:rsidR="00000000" w:rsidRDefault="00C01C43">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682CF5A"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35972C1"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99445C2"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844EFAE"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7ABB5A3"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63F65F"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2EF7148"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6D997AC"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9C6405"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EB5F90B"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620040D"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5480D2A" w14:textId="77777777" w:rsidR="00000000" w:rsidRDefault="00C01C43">
            <w:pPr>
              <w:rPr>
                <w:rFonts w:eastAsia="Times New Roman"/>
                <w:sz w:val="20"/>
                <w:szCs w:val="20"/>
              </w:rPr>
            </w:pPr>
          </w:p>
        </w:tc>
      </w:tr>
      <w:tr w:rsidR="00000000" w14:paraId="73684CEF" w14:textId="77777777">
        <w:trPr>
          <w:divId w:val="1584333162"/>
          <w:jc w:val="center"/>
        </w:trPr>
        <w:tc>
          <w:tcPr>
            <w:tcW w:w="0" w:type="auto"/>
            <w:gridSpan w:val="3"/>
            <w:shd w:val="clear" w:color="auto" w:fill="FFFFFF"/>
            <w:tcMar>
              <w:top w:w="30" w:type="dxa"/>
              <w:left w:w="20" w:type="dxa"/>
              <w:bottom w:w="30" w:type="dxa"/>
              <w:right w:w="20" w:type="dxa"/>
            </w:tcMar>
            <w:vAlign w:val="bottom"/>
            <w:hideMark/>
          </w:tcPr>
          <w:p w14:paraId="5DF9CCF1" w14:textId="77777777" w:rsidR="00000000" w:rsidRDefault="00C01C43">
            <w:pPr>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53381350" w14:textId="77777777" w:rsidR="00000000" w:rsidRDefault="00C01C43">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49D522"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823081"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8B6C59"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C887F9"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1515D3"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F32C9A"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02C778"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AB10EC"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B50EC5"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0457A9"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A3BBCC" w14:textId="77777777" w:rsidR="00000000" w:rsidRDefault="00C01C43">
            <w:pPr>
              <w:rPr>
                <w:rFonts w:eastAsia="Times New Roman"/>
                <w:sz w:val="20"/>
                <w:szCs w:val="20"/>
              </w:rPr>
            </w:pPr>
          </w:p>
        </w:tc>
      </w:tr>
      <w:tr w:rsidR="00000000" w14:paraId="46B1B0AD" w14:textId="77777777">
        <w:trPr>
          <w:divId w:val="1584333162"/>
          <w:jc w:val="center"/>
        </w:trPr>
        <w:tc>
          <w:tcPr>
            <w:tcW w:w="0" w:type="auto"/>
            <w:gridSpan w:val="3"/>
            <w:shd w:val="clear" w:color="auto" w:fill="CCEEFF"/>
            <w:tcMar>
              <w:top w:w="30" w:type="dxa"/>
              <w:left w:w="20" w:type="dxa"/>
              <w:bottom w:w="30" w:type="dxa"/>
              <w:right w:w="20" w:type="dxa"/>
            </w:tcMar>
            <w:vAlign w:val="bottom"/>
            <w:hideMark/>
          </w:tcPr>
          <w:p w14:paraId="035C6623" w14:textId="77777777" w:rsidR="00000000" w:rsidRDefault="00C01C43">
            <w:pPr>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CCEEFF"/>
            <w:tcMar>
              <w:top w:w="0" w:type="dxa"/>
              <w:left w:w="20" w:type="dxa"/>
              <w:bottom w:w="0" w:type="dxa"/>
              <w:right w:w="20" w:type="dxa"/>
            </w:tcMar>
            <w:vAlign w:val="center"/>
            <w:hideMark/>
          </w:tcPr>
          <w:p w14:paraId="0AC70331" w14:textId="77777777" w:rsidR="00000000" w:rsidRDefault="00C01C43">
            <w:pPr>
              <w:rPr>
                <w:rFonts w:eastAsia="Times New Roman"/>
              </w:rPr>
            </w:pPr>
          </w:p>
        </w:tc>
        <w:tc>
          <w:tcPr>
            <w:tcW w:w="0" w:type="auto"/>
            <w:shd w:val="clear" w:color="auto" w:fill="CCEEFF"/>
            <w:tcMar>
              <w:top w:w="30" w:type="dxa"/>
              <w:left w:w="20" w:type="dxa"/>
              <w:bottom w:w="30" w:type="dxa"/>
              <w:right w:w="0" w:type="dxa"/>
            </w:tcMar>
            <w:vAlign w:val="bottom"/>
            <w:hideMark/>
          </w:tcPr>
          <w:p w14:paraId="0FD2244E"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0BC76BFA" w14:textId="77777777" w:rsidR="00000000" w:rsidRDefault="00C01C43">
            <w:pPr>
              <w:jc w:val="right"/>
              <w:rPr>
                <w:rFonts w:eastAsia="Times New Roman"/>
              </w:rPr>
            </w:pPr>
            <w:r>
              <w:rPr>
                <w:rFonts w:ascii="Arial" w:eastAsia="Times New Roman" w:hAnsi="Arial" w:cs="Arial"/>
                <w:color w:val="000000"/>
                <w:sz w:val="20"/>
                <w:szCs w:val="20"/>
              </w:rPr>
              <w:t>326.0 </w:t>
            </w:r>
          </w:p>
        </w:tc>
        <w:tc>
          <w:tcPr>
            <w:tcW w:w="0" w:type="auto"/>
            <w:shd w:val="clear" w:color="auto" w:fill="CCEEFF"/>
            <w:tcMar>
              <w:top w:w="30" w:type="dxa"/>
              <w:left w:w="0" w:type="dxa"/>
              <w:bottom w:w="30" w:type="dxa"/>
              <w:right w:w="20" w:type="dxa"/>
            </w:tcMar>
            <w:vAlign w:val="bottom"/>
            <w:hideMark/>
          </w:tcPr>
          <w:p w14:paraId="7C860CA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A0D476"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0392B3"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A1FC314" w14:textId="77777777" w:rsidR="00000000" w:rsidRDefault="00C01C43">
            <w:pPr>
              <w:jc w:val="right"/>
              <w:rPr>
                <w:rFonts w:eastAsia="Times New Roman"/>
              </w:rPr>
            </w:pPr>
            <w:r>
              <w:rPr>
                <w:rFonts w:ascii="Arial" w:eastAsia="Times New Roman" w:hAnsi="Arial" w:cs="Arial"/>
                <w:color w:val="000000"/>
                <w:sz w:val="20"/>
                <w:szCs w:val="20"/>
              </w:rPr>
              <w:t>287.1 </w:t>
            </w:r>
          </w:p>
        </w:tc>
        <w:tc>
          <w:tcPr>
            <w:tcW w:w="0" w:type="auto"/>
            <w:shd w:val="clear" w:color="auto" w:fill="CCEEFF"/>
            <w:tcMar>
              <w:top w:w="30" w:type="dxa"/>
              <w:left w:w="0" w:type="dxa"/>
              <w:bottom w:w="30" w:type="dxa"/>
              <w:right w:w="20" w:type="dxa"/>
            </w:tcMar>
            <w:vAlign w:val="bottom"/>
            <w:hideMark/>
          </w:tcPr>
          <w:p w14:paraId="3F8BBF3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34735B"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A3A4EFD"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9F50D29" w14:textId="77777777" w:rsidR="00000000" w:rsidRDefault="00C01C43">
            <w:pPr>
              <w:jc w:val="right"/>
              <w:rPr>
                <w:rFonts w:eastAsia="Times New Roman"/>
              </w:rPr>
            </w:pPr>
            <w:r>
              <w:rPr>
                <w:rFonts w:ascii="Arial" w:eastAsia="Times New Roman" w:hAnsi="Arial" w:cs="Arial"/>
                <w:color w:val="000000"/>
                <w:sz w:val="20"/>
                <w:szCs w:val="20"/>
              </w:rPr>
              <w:t>38.9 </w:t>
            </w:r>
          </w:p>
        </w:tc>
        <w:tc>
          <w:tcPr>
            <w:tcW w:w="0" w:type="auto"/>
            <w:shd w:val="clear" w:color="auto" w:fill="CCEEFF"/>
            <w:tcMar>
              <w:top w:w="30" w:type="dxa"/>
              <w:left w:w="0" w:type="dxa"/>
              <w:bottom w:w="30" w:type="dxa"/>
              <w:right w:w="20" w:type="dxa"/>
            </w:tcMar>
            <w:vAlign w:val="bottom"/>
            <w:hideMark/>
          </w:tcPr>
          <w:p w14:paraId="0906C22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5306FE"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401A4A"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D3D3E75" w14:textId="77777777" w:rsidR="00000000" w:rsidRDefault="00C01C43">
            <w:pPr>
              <w:jc w:val="right"/>
              <w:rPr>
                <w:rFonts w:eastAsia="Times New Roman"/>
              </w:rPr>
            </w:pPr>
            <w:r>
              <w:rPr>
                <w:rFonts w:ascii="Arial" w:eastAsia="Times New Roman" w:hAnsi="Arial" w:cs="Arial"/>
                <w:color w:val="000000"/>
                <w:sz w:val="20"/>
                <w:szCs w:val="20"/>
              </w:rPr>
              <w:t>2.3 </w:t>
            </w:r>
          </w:p>
        </w:tc>
        <w:tc>
          <w:tcPr>
            <w:tcW w:w="0" w:type="auto"/>
            <w:shd w:val="clear" w:color="auto" w:fill="CCEEFF"/>
            <w:tcMar>
              <w:top w:w="30" w:type="dxa"/>
              <w:left w:w="0" w:type="dxa"/>
              <w:bottom w:w="30" w:type="dxa"/>
              <w:right w:w="20" w:type="dxa"/>
            </w:tcMar>
            <w:vAlign w:val="bottom"/>
            <w:hideMark/>
          </w:tcPr>
          <w:p w14:paraId="4191E37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0890D"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268760"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24242493"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99BE5C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CBF7D7"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EFAB15"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1082EC0B" w14:textId="77777777" w:rsidR="00000000" w:rsidRDefault="00C01C43">
            <w:pPr>
              <w:jc w:val="right"/>
              <w:rPr>
                <w:rFonts w:eastAsia="Times New Roman"/>
              </w:rPr>
            </w:pPr>
            <w:r>
              <w:rPr>
                <w:rFonts w:ascii="Arial" w:eastAsia="Times New Roman" w:hAnsi="Arial" w:cs="Arial"/>
                <w:color w:val="000000"/>
                <w:sz w:val="20"/>
                <w:szCs w:val="20"/>
              </w:rPr>
              <w:t>36.6 </w:t>
            </w:r>
          </w:p>
        </w:tc>
        <w:tc>
          <w:tcPr>
            <w:tcW w:w="0" w:type="auto"/>
            <w:shd w:val="clear" w:color="auto" w:fill="CCEEFF"/>
            <w:tcMar>
              <w:top w:w="30" w:type="dxa"/>
              <w:left w:w="0" w:type="dxa"/>
              <w:bottom w:w="30" w:type="dxa"/>
              <w:right w:w="20" w:type="dxa"/>
            </w:tcMar>
            <w:vAlign w:val="bottom"/>
            <w:hideMark/>
          </w:tcPr>
          <w:p w14:paraId="09A62A4E" w14:textId="77777777" w:rsidR="00000000" w:rsidRDefault="00C01C43">
            <w:pPr>
              <w:jc w:val="right"/>
              <w:rPr>
                <w:rFonts w:eastAsia="Times New Roman"/>
              </w:rPr>
            </w:pPr>
          </w:p>
        </w:tc>
      </w:tr>
      <w:tr w:rsidR="00000000" w14:paraId="7B61B95A" w14:textId="77777777">
        <w:trPr>
          <w:divId w:val="1584333162"/>
          <w:jc w:val="center"/>
        </w:trPr>
        <w:tc>
          <w:tcPr>
            <w:tcW w:w="0" w:type="auto"/>
            <w:gridSpan w:val="3"/>
            <w:shd w:val="clear" w:color="auto" w:fill="FFFFFF"/>
            <w:tcMar>
              <w:top w:w="30" w:type="dxa"/>
              <w:left w:w="20" w:type="dxa"/>
              <w:bottom w:w="30" w:type="dxa"/>
              <w:right w:w="20" w:type="dxa"/>
            </w:tcMar>
            <w:vAlign w:val="bottom"/>
            <w:hideMark/>
          </w:tcPr>
          <w:p w14:paraId="29D3BB7C" w14:textId="77777777" w:rsidR="00000000" w:rsidRDefault="00C01C43">
            <w:pPr>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FFFFFF"/>
            <w:tcMar>
              <w:top w:w="0" w:type="dxa"/>
              <w:left w:w="20" w:type="dxa"/>
              <w:bottom w:w="0" w:type="dxa"/>
              <w:right w:w="20" w:type="dxa"/>
            </w:tcMar>
            <w:vAlign w:val="center"/>
            <w:hideMark/>
          </w:tcPr>
          <w:p w14:paraId="3ACC4755"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D96610" w14:textId="77777777" w:rsidR="00000000" w:rsidRDefault="00C01C43">
            <w:pPr>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14:paraId="342D5A0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31C0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B60FF5"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48EE95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9B4E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BE9C2C" w14:textId="77777777" w:rsidR="00000000" w:rsidRDefault="00C01C43">
            <w:pPr>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14:paraId="537A270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8896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FC9F17"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6D7031A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E075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DCAAFC"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5098749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BDA63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9D5768" w14:textId="77777777" w:rsidR="00000000" w:rsidRDefault="00C01C43">
            <w:pPr>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14:paraId="382EEDB3" w14:textId="77777777" w:rsidR="00000000" w:rsidRDefault="00C01C43">
            <w:pPr>
              <w:jc w:val="right"/>
              <w:rPr>
                <w:rFonts w:eastAsia="Times New Roman"/>
              </w:rPr>
            </w:pPr>
          </w:p>
        </w:tc>
      </w:tr>
      <w:tr w:rsidR="00000000" w14:paraId="6B6B89BC" w14:textId="77777777">
        <w:trPr>
          <w:divId w:val="1584333162"/>
          <w:jc w:val="center"/>
        </w:trPr>
        <w:tc>
          <w:tcPr>
            <w:tcW w:w="0" w:type="auto"/>
            <w:gridSpan w:val="3"/>
            <w:shd w:val="clear" w:color="auto" w:fill="CCEEFF"/>
            <w:tcMar>
              <w:top w:w="30" w:type="dxa"/>
              <w:left w:w="20" w:type="dxa"/>
              <w:bottom w:w="30" w:type="dxa"/>
              <w:right w:w="20" w:type="dxa"/>
            </w:tcMar>
            <w:vAlign w:val="bottom"/>
            <w:hideMark/>
          </w:tcPr>
          <w:p w14:paraId="6F109CEA" w14:textId="77777777" w:rsidR="00000000" w:rsidRDefault="00C01C43">
            <w:pPr>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6B60BA83"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E01704" w14:textId="77777777" w:rsidR="00000000" w:rsidRDefault="00C01C43">
            <w:pPr>
              <w:jc w:val="right"/>
              <w:rPr>
                <w:rFonts w:eastAsia="Times New Roman"/>
              </w:rPr>
            </w:pPr>
            <w:r>
              <w:rPr>
                <w:rFonts w:ascii="Arial" w:eastAsia="Times New Roman" w:hAnsi="Arial" w:cs="Arial"/>
                <w:color w:val="000000"/>
                <w:sz w:val="20"/>
                <w:szCs w:val="20"/>
              </w:rPr>
              <w:t>19.8 </w:t>
            </w:r>
          </w:p>
        </w:tc>
        <w:tc>
          <w:tcPr>
            <w:tcW w:w="0" w:type="auto"/>
            <w:shd w:val="clear" w:color="auto" w:fill="CCEEFF"/>
            <w:tcMar>
              <w:top w:w="30" w:type="dxa"/>
              <w:left w:w="0" w:type="dxa"/>
              <w:bottom w:w="30" w:type="dxa"/>
              <w:right w:w="20" w:type="dxa"/>
            </w:tcMar>
            <w:vAlign w:val="bottom"/>
            <w:hideMark/>
          </w:tcPr>
          <w:p w14:paraId="47DFF62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3203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26D278" w14:textId="77777777" w:rsidR="00000000" w:rsidRDefault="00C01C43">
            <w:pPr>
              <w:jc w:val="right"/>
              <w:rPr>
                <w:rFonts w:eastAsia="Times New Roman"/>
              </w:rPr>
            </w:pPr>
            <w:r>
              <w:rPr>
                <w:rFonts w:ascii="Arial" w:eastAsia="Times New Roman" w:hAnsi="Arial" w:cs="Arial"/>
                <w:color w:val="000000"/>
                <w:sz w:val="20"/>
                <w:szCs w:val="20"/>
              </w:rPr>
              <w:t>7.5 </w:t>
            </w:r>
          </w:p>
        </w:tc>
        <w:tc>
          <w:tcPr>
            <w:tcW w:w="0" w:type="auto"/>
            <w:shd w:val="clear" w:color="auto" w:fill="CCEEFF"/>
            <w:tcMar>
              <w:top w:w="30" w:type="dxa"/>
              <w:left w:w="0" w:type="dxa"/>
              <w:bottom w:w="30" w:type="dxa"/>
              <w:right w:w="20" w:type="dxa"/>
            </w:tcMar>
            <w:vAlign w:val="bottom"/>
            <w:hideMark/>
          </w:tcPr>
          <w:p w14:paraId="6B64F0F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D872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B7B9F7" w14:textId="77777777" w:rsidR="00000000" w:rsidRDefault="00C01C43">
            <w:pPr>
              <w:jc w:val="right"/>
              <w:rPr>
                <w:rFonts w:eastAsia="Times New Roman"/>
              </w:rPr>
            </w:pPr>
            <w:r>
              <w:rPr>
                <w:rFonts w:ascii="Arial" w:eastAsia="Times New Roman" w:hAnsi="Arial" w:cs="Arial"/>
                <w:color w:val="000000"/>
                <w:sz w:val="20"/>
                <w:szCs w:val="20"/>
              </w:rPr>
              <w:t>12.3 </w:t>
            </w:r>
          </w:p>
        </w:tc>
        <w:tc>
          <w:tcPr>
            <w:tcW w:w="0" w:type="auto"/>
            <w:shd w:val="clear" w:color="auto" w:fill="CCEEFF"/>
            <w:tcMar>
              <w:top w:w="30" w:type="dxa"/>
              <w:left w:w="0" w:type="dxa"/>
              <w:bottom w:w="30" w:type="dxa"/>
              <w:right w:w="20" w:type="dxa"/>
            </w:tcMar>
            <w:vAlign w:val="bottom"/>
            <w:hideMark/>
          </w:tcPr>
          <w:p w14:paraId="0F6612C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BDC5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70292E"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1E8991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44BC0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ED26E4"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AF9B8F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39C82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C053A4" w14:textId="77777777" w:rsidR="00000000" w:rsidRDefault="00C01C43">
            <w:pPr>
              <w:jc w:val="right"/>
              <w:rPr>
                <w:rFonts w:eastAsia="Times New Roman"/>
              </w:rPr>
            </w:pPr>
            <w:r>
              <w:rPr>
                <w:rFonts w:ascii="Arial" w:eastAsia="Times New Roman" w:hAnsi="Arial" w:cs="Arial"/>
                <w:color w:val="000000"/>
                <w:sz w:val="20"/>
                <w:szCs w:val="20"/>
              </w:rPr>
              <w:t>12.3 </w:t>
            </w:r>
          </w:p>
        </w:tc>
        <w:tc>
          <w:tcPr>
            <w:tcW w:w="0" w:type="auto"/>
            <w:shd w:val="clear" w:color="auto" w:fill="CCEEFF"/>
            <w:tcMar>
              <w:top w:w="30" w:type="dxa"/>
              <w:left w:w="0" w:type="dxa"/>
              <w:bottom w:w="30" w:type="dxa"/>
              <w:right w:w="20" w:type="dxa"/>
            </w:tcMar>
            <w:vAlign w:val="bottom"/>
            <w:hideMark/>
          </w:tcPr>
          <w:p w14:paraId="75557B63" w14:textId="77777777" w:rsidR="00000000" w:rsidRDefault="00C01C43">
            <w:pPr>
              <w:jc w:val="right"/>
              <w:rPr>
                <w:rFonts w:eastAsia="Times New Roman"/>
              </w:rPr>
            </w:pPr>
          </w:p>
        </w:tc>
      </w:tr>
      <w:tr w:rsidR="00000000" w14:paraId="505B601F" w14:textId="77777777">
        <w:trPr>
          <w:divId w:val="1584333162"/>
          <w:jc w:val="center"/>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178FEC68" w14:textId="77777777" w:rsidR="00000000" w:rsidRDefault="00C01C43">
            <w:pPr>
              <w:rPr>
                <w:rFonts w:eastAsia="Times New Roman"/>
              </w:rPr>
            </w:pPr>
            <w:r>
              <w:rPr>
                <w:rFonts w:ascii="Arial" w:eastAsia="Times New Roman" w:hAnsi="Arial" w:cs="Arial"/>
                <w:color w:val="000000"/>
                <w:sz w:val="20"/>
                <w:szCs w:val="20"/>
              </w:rPr>
              <w:t>Total liabilities at fair value</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76D160B" w14:textId="77777777" w:rsidR="00000000" w:rsidRDefault="00C01C4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F369A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2A0F34" w14:textId="77777777" w:rsidR="00000000" w:rsidRDefault="00C01C43">
            <w:pPr>
              <w:jc w:val="right"/>
              <w:rPr>
                <w:rFonts w:eastAsia="Times New Roman"/>
              </w:rPr>
            </w:pPr>
            <w:r>
              <w:rPr>
                <w:rFonts w:ascii="Arial" w:eastAsia="Times New Roman" w:hAnsi="Arial" w:cs="Arial"/>
                <w:color w:val="000000"/>
                <w:sz w:val="20"/>
                <w:szCs w:val="20"/>
              </w:rPr>
              <w:t>349.5 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961361"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3727A1B"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C3400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27C9E7F" w14:textId="77777777" w:rsidR="00000000" w:rsidRDefault="00C01C43">
            <w:pPr>
              <w:jc w:val="right"/>
              <w:rPr>
                <w:rFonts w:eastAsia="Times New Roman"/>
              </w:rPr>
            </w:pPr>
            <w:r>
              <w:rPr>
                <w:rFonts w:ascii="Arial" w:eastAsia="Times New Roman" w:hAnsi="Arial" w:cs="Arial"/>
                <w:color w:val="000000"/>
                <w:sz w:val="20"/>
                <w:szCs w:val="20"/>
              </w:rPr>
              <w:t>294.6 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D91FF8"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1AC188F"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36D78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F7F183" w14:textId="77777777" w:rsidR="00000000" w:rsidRDefault="00C01C43">
            <w:pPr>
              <w:jc w:val="right"/>
              <w:rPr>
                <w:rFonts w:eastAsia="Times New Roman"/>
              </w:rPr>
            </w:pPr>
            <w:r>
              <w:rPr>
                <w:rFonts w:ascii="Arial" w:eastAsia="Times New Roman" w:hAnsi="Arial" w:cs="Arial"/>
                <w:color w:val="000000"/>
                <w:sz w:val="20"/>
                <w:szCs w:val="20"/>
              </w:rPr>
              <w:t>54.9 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F9158A"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4BC3F01"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C9C41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75293C" w14:textId="77777777" w:rsidR="00000000" w:rsidRDefault="00C01C43">
            <w:pPr>
              <w:jc w:val="right"/>
              <w:rPr>
                <w:rFonts w:eastAsia="Times New Roman"/>
              </w:rPr>
            </w:pPr>
            <w:r>
              <w:rPr>
                <w:rFonts w:ascii="Arial" w:eastAsia="Times New Roman" w:hAnsi="Arial" w:cs="Arial"/>
                <w:color w:val="000000"/>
                <w:sz w:val="20"/>
                <w:szCs w:val="20"/>
              </w:rPr>
              <w:t>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8BBAC13"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2C54778"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553961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B1E5D8"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CB621E"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E7FD9CA"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D2D96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EAEEAE" w14:textId="77777777" w:rsidR="00000000" w:rsidRDefault="00C01C43">
            <w:pPr>
              <w:jc w:val="right"/>
              <w:rPr>
                <w:rFonts w:eastAsia="Times New Roman"/>
              </w:rPr>
            </w:pPr>
            <w:r>
              <w:rPr>
                <w:rFonts w:ascii="Arial" w:eastAsia="Times New Roman" w:hAnsi="Arial" w:cs="Arial"/>
                <w:color w:val="000000"/>
                <w:sz w:val="20"/>
                <w:szCs w:val="20"/>
              </w:rPr>
              <w:t>52.6 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D34DC6" w14:textId="77777777" w:rsidR="00000000" w:rsidRDefault="00C01C43">
            <w:pPr>
              <w:jc w:val="right"/>
              <w:rPr>
                <w:rFonts w:eastAsia="Times New Roman"/>
              </w:rPr>
            </w:pPr>
          </w:p>
        </w:tc>
      </w:tr>
    </w:tbl>
    <w:tbl>
      <w:tblPr>
        <w:tblW w:w="4970" w:type="pct"/>
        <w:jc w:val="center"/>
        <w:tblCellMar>
          <w:top w:w="15" w:type="dxa"/>
          <w:left w:w="15" w:type="dxa"/>
          <w:bottom w:w="15" w:type="dxa"/>
          <w:right w:w="15" w:type="dxa"/>
        </w:tblCellMar>
        <w:tblLook w:val="04A0" w:firstRow="1" w:lastRow="0" w:firstColumn="1" w:lastColumn="0" w:noHBand="0" w:noVBand="1"/>
      </w:tblPr>
      <w:tblGrid>
        <w:gridCol w:w="144"/>
        <w:gridCol w:w="1898"/>
        <w:gridCol w:w="144"/>
        <w:gridCol w:w="144"/>
        <w:gridCol w:w="144"/>
        <w:gridCol w:w="144"/>
        <w:gridCol w:w="144"/>
        <w:gridCol w:w="927"/>
        <w:gridCol w:w="144"/>
        <w:gridCol w:w="144"/>
        <w:gridCol w:w="144"/>
        <w:gridCol w:w="144"/>
        <w:gridCol w:w="144"/>
        <w:gridCol w:w="637"/>
        <w:gridCol w:w="144"/>
        <w:gridCol w:w="144"/>
        <w:gridCol w:w="144"/>
        <w:gridCol w:w="144"/>
        <w:gridCol w:w="144"/>
        <w:gridCol w:w="843"/>
        <w:gridCol w:w="144"/>
        <w:gridCol w:w="144"/>
        <w:gridCol w:w="144"/>
        <w:gridCol w:w="144"/>
        <w:gridCol w:w="144"/>
        <w:gridCol w:w="794"/>
        <w:gridCol w:w="144"/>
        <w:gridCol w:w="144"/>
        <w:gridCol w:w="144"/>
        <w:gridCol w:w="144"/>
        <w:gridCol w:w="144"/>
        <w:gridCol w:w="782"/>
        <w:gridCol w:w="144"/>
        <w:gridCol w:w="144"/>
        <w:gridCol w:w="144"/>
        <w:gridCol w:w="144"/>
        <w:gridCol w:w="144"/>
        <w:gridCol w:w="795"/>
        <w:gridCol w:w="144"/>
      </w:tblGrid>
      <w:tr w:rsidR="00000000" w14:paraId="0DA8F264" w14:textId="77777777">
        <w:trPr>
          <w:jc w:val="center"/>
        </w:trPr>
        <w:tc>
          <w:tcPr>
            <w:tcW w:w="50" w:type="pct"/>
            <w:vAlign w:val="center"/>
            <w:hideMark/>
          </w:tcPr>
          <w:p w14:paraId="5C837222" w14:textId="77777777" w:rsidR="00000000" w:rsidRDefault="00C01C43">
            <w:pPr>
              <w:jc w:val="center"/>
              <w:rPr>
                <w:rFonts w:eastAsia="Times New Roman"/>
              </w:rPr>
            </w:pPr>
          </w:p>
        </w:tc>
        <w:tc>
          <w:tcPr>
            <w:tcW w:w="1150" w:type="pct"/>
            <w:vAlign w:val="center"/>
            <w:hideMark/>
          </w:tcPr>
          <w:p w14:paraId="39BE5945" w14:textId="77777777" w:rsidR="00000000" w:rsidRDefault="00C01C43">
            <w:pPr>
              <w:rPr>
                <w:rFonts w:eastAsia="Times New Roman"/>
                <w:sz w:val="20"/>
                <w:szCs w:val="20"/>
              </w:rPr>
            </w:pPr>
          </w:p>
        </w:tc>
        <w:tc>
          <w:tcPr>
            <w:tcW w:w="5" w:type="pct"/>
            <w:vAlign w:val="center"/>
            <w:hideMark/>
          </w:tcPr>
          <w:p w14:paraId="56737A84" w14:textId="77777777" w:rsidR="00000000" w:rsidRDefault="00C01C43">
            <w:pPr>
              <w:rPr>
                <w:rFonts w:eastAsia="Times New Roman"/>
                <w:sz w:val="20"/>
                <w:szCs w:val="20"/>
              </w:rPr>
            </w:pPr>
          </w:p>
        </w:tc>
        <w:tc>
          <w:tcPr>
            <w:tcW w:w="5" w:type="pct"/>
            <w:vAlign w:val="center"/>
            <w:hideMark/>
          </w:tcPr>
          <w:p w14:paraId="272FFA9D" w14:textId="77777777" w:rsidR="00000000" w:rsidRDefault="00C01C43">
            <w:pPr>
              <w:rPr>
                <w:rFonts w:eastAsia="Times New Roman"/>
                <w:sz w:val="20"/>
                <w:szCs w:val="20"/>
              </w:rPr>
            </w:pPr>
          </w:p>
        </w:tc>
        <w:tc>
          <w:tcPr>
            <w:tcW w:w="85" w:type="pct"/>
            <w:vAlign w:val="center"/>
            <w:hideMark/>
          </w:tcPr>
          <w:p w14:paraId="76AE18A5" w14:textId="77777777" w:rsidR="00000000" w:rsidRDefault="00C01C43">
            <w:pPr>
              <w:rPr>
                <w:rFonts w:eastAsia="Times New Roman"/>
                <w:sz w:val="20"/>
                <w:szCs w:val="20"/>
              </w:rPr>
            </w:pPr>
          </w:p>
        </w:tc>
        <w:tc>
          <w:tcPr>
            <w:tcW w:w="5" w:type="pct"/>
            <w:vAlign w:val="center"/>
            <w:hideMark/>
          </w:tcPr>
          <w:p w14:paraId="0FF47A50" w14:textId="77777777" w:rsidR="00000000" w:rsidRDefault="00C01C43">
            <w:pPr>
              <w:rPr>
                <w:rFonts w:eastAsia="Times New Roman"/>
                <w:sz w:val="20"/>
                <w:szCs w:val="20"/>
              </w:rPr>
            </w:pPr>
          </w:p>
        </w:tc>
        <w:tc>
          <w:tcPr>
            <w:tcW w:w="50" w:type="pct"/>
            <w:vAlign w:val="center"/>
            <w:hideMark/>
          </w:tcPr>
          <w:p w14:paraId="31051905" w14:textId="77777777" w:rsidR="00000000" w:rsidRDefault="00C01C43">
            <w:pPr>
              <w:rPr>
                <w:rFonts w:eastAsia="Times New Roman"/>
                <w:sz w:val="20"/>
                <w:szCs w:val="20"/>
              </w:rPr>
            </w:pPr>
          </w:p>
        </w:tc>
        <w:tc>
          <w:tcPr>
            <w:tcW w:w="562" w:type="pct"/>
            <w:vAlign w:val="center"/>
            <w:hideMark/>
          </w:tcPr>
          <w:p w14:paraId="2B9D9302" w14:textId="77777777" w:rsidR="00000000" w:rsidRDefault="00C01C43">
            <w:pPr>
              <w:rPr>
                <w:rFonts w:eastAsia="Times New Roman"/>
                <w:sz w:val="20"/>
                <w:szCs w:val="20"/>
              </w:rPr>
            </w:pPr>
          </w:p>
        </w:tc>
        <w:tc>
          <w:tcPr>
            <w:tcW w:w="5" w:type="pct"/>
            <w:vAlign w:val="center"/>
            <w:hideMark/>
          </w:tcPr>
          <w:p w14:paraId="571D846C" w14:textId="77777777" w:rsidR="00000000" w:rsidRDefault="00C01C43">
            <w:pPr>
              <w:rPr>
                <w:rFonts w:eastAsia="Times New Roman"/>
                <w:sz w:val="20"/>
                <w:szCs w:val="20"/>
              </w:rPr>
            </w:pPr>
          </w:p>
        </w:tc>
        <w:tc>
          <w:tcPr>
            <w:tcW w:w="5" w:type="pct"/>
            <w:vAlign w:val="center"/>
            <w:hideMark/>
          </w:tcPr>
          <w:p w14:paraId="226E1521" w14:textId="77777777" w:rsidR="00000000" w:rsidRDefault="00C01C43">
            <w:pPr>
              <w:rPr>
                <w:rFonts w:eastAsia="Times New Roman"/>
                <w:sz w:val="20"/>
                <w:szCs w:val="20"/>
              </w:rPr>
            </w:pPr>
          </w:p>
        </w:tc>
        <w:tc>
          <w:tcPr>
            <w:tcW w:w="78" w:type="pct"/>
            <w:vAlign w:val="center"/>
            <w:hideMark/>
          </w:tcPr>
          <w:p w14:paraId="742D4A0F" w14:textId="77777777" w:rsidR="00000000" w:rsidRDefault="00C01C43">
            <w:pPr>
              <w:rPr>
                <w:rFonts w:eastAsia="Times New Roman"/>
                <w:sz w:val="20"/>
                <w:szCs w:val="20"/>
              </w:rPr>
            </w:pPr>
          </w:p>
        </w:tc>
        <w:tc>
          <w:tcPr>
            <w:tcW w:w="5" w:type="pct"/>
            <w:vAlign w:val="center"/>
            <w:hideMark/>
          </w:tcPr>
          <w:p w14:paraId="087F0EB3" w14:textId="77777777" w:rsidR="00000000" w:rsidRDefault="00C01C43">
            <w:pPr>
              <w:rPr>
                <w:rFonts w:eastAsia="Times New Roman"/>
                <w:sz w:val="20"/>
                <w:szCs w:val="20"/>
              </w:rPr>
            </w:pPr>
          </w:p>
        </w:tc>
        <w:tc>
          <w:tcPr>
            <w:tcW w:w="50" w:type="pct"/>
            <w:vAlign w:val="center"/>
            <w:hideMark/>
          </w:tcPr>
          <w:p w14:paraId="0D639636" w14:textId="77777777" w:rsidR="00000000" w:rsidRDefault="00C01C43">
            <w:pPr>
              <w:rPr>
                <w:rFonts w:eastAsia="Times New Roman"/>
                <w:sz w:val="20"/>
                <w:szCs w:val="20"/>
              </w:rPr>
            </w:pPr>
          </w:p>
        </w:tc>
        <w:tc>
          <w:tcPr>
            <w:tcW w:w="386" w:type="pct"/>
            <w:vAlign w:val="center"/>
            <w:hideMark/>
          </w:tcPr>
          <w:p w14:paraId="40865D66" w14:textId="77777777" w:rsidR="00000000" w:rsidRDefault="00C01C43">
            <w:pPr>
              <w:rPr>
                <w:rFonts w:eastAsia="Times New Roman"/>
                <w:sz w:val="20"/>
                <w:szCs w:val="20"/>
              </w:rPr>
            </w:pPr>
          </w:p>
        </w:tc>
        <w:tc>
          <w:tcPr>
            <w:tcW w:w="5" w:type="pct"/>
            <w:vAlign w:val="center"/>
            <w:hideMark/>
          </w:tcPr>
          <w:p w14:paraId="7DB9EC57" w14:textId="77777777" w:rsidR="00000000" w:rsidRDefault="00C01C43">
            <w:pPr>
              <w:rPr>
                <w:rFonts w:eastAsia="Times New Roman"/>
                <w:sz w:val="20"/>
                <w:szCs w:val="20"/>
              </w:rPr>
            </w:pPr>
          </w:p>
        </w:tc>
        <w:tc>
          <w:tcPr>
            <w:tcW w:w="5" w:type="pct"/>
            <w:vAlign w:val="center"/>
            <w:hideMark/>
          </w:tcPr>
          <w:p w14:paraId="60ACC116" w14:textId="77777777" w:rsidR="00000000" w:rsidRDefault="00C01C43">
            <w:pPr>
              <w:rPr>
                <w:rFonts w:eastAsia="Times New Roman"/>
                <w:sz w:val="20"/>
                <w:szCs w:val="20"/>
              </w:rPr>
            </w:pPr>
          </w:p>
        </w:tc>
        <w:tc>
          <w:tcPr>
            <w:tcW w:w="85" w:type="pct"/>
            <w:vAlign w:val="center"/>
            <w:hideMark/>
          </w:tcPr>
          <w:p w14:paraId="5E785004" w14:textId="77777777" w:rsidR="00000000" w:rsidRDefault="00C01C43">
            <w:pPr>
              <w:rPr>
                <w:rFonts w:eastAsia="Times New Roman"/>
                <w:sz w:val="20"/>
                <w:szCs w:val="20"/>
              </w:rPr>
            </w:pPr>
          </w:p>
        </w:tc>
        <w:tc>
          <w:tcPr>
            <w:tcW w:w="5" w:type="pct"/>
            <w:vAlign w:val="center"/>
            <w:hideMark/>
          </w:tcPr>
          <w:p w14:paraId="48A2A04A" w14:textId="77777777" w:rsidR="00000000" w:rsidRDefault="00C01C43">
            <w:pPr>
              <w:rPr>
                <w:rFonts w:eastAsia="Times New Roman"/>
                <w:sz w:val="20"/>
                <w:szCs w:val="20"/>
              </w:rPr>
            </w:pPr>
          </w:p>
        </w:tc>
        <w:tc>
          <w:tcPr>
            <w:tcW w:w="50" w:type="pct"/>
            <w:vAlign w:val="center"/>
            <w:hideMark/>
          </w:tcPr>
          <w:p w14:paraId="21EC13DF" w14:textId="77777777" w:rsidR="00000000" w:rsidRDefault="00C01C43">
            <w:pPr>
              <w:rPr>
                <w:rFonts w:eastAsia="Times New Roman"/>
                <w:sz w:val="20"/>
                <w:szCs w:val="20"/>
              </w:rPr>
            </w:pPr>
          </w:p>
        </w:tc>
        <w:tc>
          <w:tcPr>
            <w:tcW w:w="511" w:type="pct"/>
            <w:vAlign w:val="center"/>
            <w:hideMark/>
          </w:tcPr>
          <w:p w14:paraId="78C31572" w14:textId="77777777" w:rsidR="00000000" w:rsidRDefault="00C01C43">
            <w:pPr>
              <w:rPr>
                <w:rFonts w:eastAsia="Times New Roman"/>
                <w:sz w:val="20"/>
                <w:szCs w:val="20"/>
              </w:rPr>
            </w:pPr>
          </w:p>
        </w:tc>
        <w:tc>
          <w:tcPr>
            <w:tcW w:w="5" w:type="pct"/>
            <w:vAlign w:val="center"/>
            <w:hideMark/>
          </w:tcPr>
          <w:p w14:paraId="6F1AA288" w14:textId="77777777" w:rsidR="00000000" w:rsidRDefault="00C01C43">
            <w:pPr>
              <w:rPr>
                <w:rFonts w:eastAsia="Times New Roman"/>
                <w:sz w:val="20"/>
                <w:szCs w:val="20"/>
              </w:rPr>
            </w:pPr>
          </w:p>
        </w:tc>
        <w:tc>
          <w:tcPr>
            <w:tcW w:w="5" w:type="pct"/>
            <w:vAlign w:val="center"/>
            <w:hideMark/>
          </w:tcPr>
          <w:p w14:paraId="6BDA3FCD" w14:textId="77777777" w:rsidR="00000000" w:rsidRDefault="00C01C43">
            <w:pPr>
              <w:rPr>
                <w:rFonts w:eastAsia="Times New Roman"/>
                <w:sz w:val="20"/>
                <w:szCs w:val="20"/>
              </w:rPr>
            </w:pPr>
          </w:p>
        </w:tc>
        <w:tc>
          <w:tcPr>
            <w:tcW w:w="85" w:type="pct"/>
            <w:vAlign w:val="center"/>
            <w:hideMark/>
          </w:tcPr>
          <w:p w14:paraId="2ECE9A2E" w14:textId="77777777" w:rsidR="00000000" w:rsidRDefault="00C01C43">
            <w:pPr>
              <w:rPr>
                <w:rFonts w:eastAsia="Times New Roman"/>
                <w:sz w:val="20"/>
                <w:szCs w:val="20"/>
              </w:rPr>
            </w:pPr>
          </w:p>
        </w:tc>
        <w:tc>
          <w:tcPr>
            <w:tcW w:w="5" w:type="pct"/>
            <w:vAlign w:val="center"/>
            <w:hideMark/>
          </w:tcPr>
          <w:p w14:paraId="46FD902E" w14:textId="77777777" w:rsidR="00000000" w:rsidRDefault="00C01C43">
            <w:pPr>
              <w:rPr>
                <w:rFonts w:eastAsia="Times New Roman"/>
                <w:sz w:val="20"/>
                <w:szCs w:val="20"/>
              </w:rPr>
            </w:pPr>
          </w:p>
        </w:tc>
        <w:tc>
          <w:tcPr>
            <w:tcW w:w="50" w:type="pct"/>
            <w:vAlign w:val="center"/>
            <w:hideMark/>
          </w:tcPr>
          <w:p w14:paraId="08911AC4" w14:textId="77777777" w:rsidR="00000000" w:rsidRDefault="00C01C43">
            <w:pPr>
              <w:rPr>
                <w:rFonts w:eastAsia="Times New Roman"/>
                <w:sz w:val="20"/>
                <w:szCs w:val="20"/>
              </w:rPr>
            </w:pPr>
          </w:p>
        </w:tc>
        <w:tc>
          <w:tcPr>
            <w:tcW w:w="481" w:type="pct"/>
            <w:vAlign w:val="center"/>
            <w:hideMark/>
          </w:tcPr>
          <w:p w14:paraId="41BC93D1" w14:textId="77777777" w:rsidR="00000000" w:rsidRDefault="00C01C43">
            <w:pPr>
              <w:rPr>
                <w:rFonts w:eastAsia="Times New Roman"/>
                <w:sz w:val="20"/>
                <w:szCs w:val="20"/>
              </w:rPr>
            </w:pPr>
          </w:p>
        </w:tc>
        <w:tc>
          <w:tcPr>
            <w:tcW w:w="5" w:type="pct"/>
            <w:vAlign w:val="center"/>
            <w:hideMark/>
          </w:tcPr>
          <w:p w14:paraId="7A7F7EC1" w14:textId="77777777" w:rsidR="00000000" w:rsidRDefault="00C01C43">
            <w:pPr>
              <w:rPr>
                <w:rFonts w:eastAsia="Times New Roman"/>
                <w:sz w:val="20"/>
                <w:szCs w:val="20"/>
              </w:rPr>
            </w:pPr>
          </w:p>
        </w:tc>
        <w:tc>
          <w:tcPr>
            <w:tcW w:w="5" w:type="pct"/>
            <w:vAlign w:val="center"/>
            <w:hideMark/>
          </w:tcPr>
          <w:p w14:paraId="082EBD69" w14:textId="77777777" w:rsidR="00000000" w:rsidRDefault="00C01C43">
            <w:pPr>
              <w:rPr>
                <w:rFonts w:eastAsia="Times New Roman"/>
                <w:sz w:val="20"/>
                <w:szCs w:val="20"/>
              </w:rPr>
            </w:pPr>
          </w:p>
        </w:tc>
        <w:tc>
          <w:tcPr>
            <w:tcW w:w="85" w:type="pct"/>
            <w:vAlign w:val="center"/>
            <w:hideMark/>
          </w:tcPr>
          <w:p w14:paraId="04250C09" w14:textId="77777777" w:rsidR="00000000" w:rsidRDefault="00C01C43">
            <w:pPr>
              <w:rPr>
                <w:rFonts w:eastAsia="Times New Roman"/>
                <w:sz w:val="20"/>
                <w:szCs w:val="20"/>
              </w:rPr>
            </w:pPr>
          </w:p>
        </w:tc>
        <w:tc>
          <w:tcPr>
            <w:tcW w:w="5" w:type="pct"/>
            <w:vAlign w:val="center"/>
            <w:hideMark/>
          </w:tcPr>
          <w:p w14:paraId="1C4B732A" w14:textId="77777777" w:rsidR="00000000" w:rsidRDefault="00C01C43">
            <w:pPr>
              <w:rPr>
                <w:rFonts w:eastAsia="Times New Roman"/>
                <w:sz w:val="20"/>
                <w:szCs w:val="20"/>
              </w:rPr>
            </w:pPr>
          </w:p>
        </w:tc>
        <w:tc>
          <w:tcPr>
            <w:tcW w:w="50" w:type="pct"/>
            <w:vAlign w:val="center"/>
            <w:hideMark/>
          </w:tcPr>
          <w:p w14:paraId="158DC716" w14:textId="77777777" w:rsidR="00000000" w:rsidRDefault="00C01C43">
            <w:pPr>
              <w:rPr>
                <w:rFonts w:eastAsia="Times New Roman"/>
                <w:sz w:val="20"/>
                <w:szCs w:val="20"/>
              </w:rPr>
            </w:pPr>
          </w:p>
        </w:tc>
        <w:tc>
          <w:tcPr>
            <w:tcW w:w="474" w:type="pct"/>
            <w:vAlign w:val="center"/>
            <w:hideMark/>
          </w:tcPr>
          <w:p w14:paraId="7B1B4CA3" w14:textId="77777777" w:rsidR="00000000" w:rsidRDefault="00C01C43">
            <w:pPr>
              <w:rPr>
                <w:rFonts w:eastAsia="Times New Roman"/>
                <w:sz w:val="20"/>
                <w:szCs w:val="20"/>
              </w:rPr>
            </w:pPr>
          </w:p>
        </w:tc>
        <w:tc>
          <w:tcPr>
            <w:tcW w:w="5" w:type="pct"/>
            <w:vAlign w:val="center"/>
            <w:hideMark/>
          </w:tcPr>
          <w:p w14:paraId="61580B83" w14:textId="77777777" w:rsidR="00000000" w:rsidRDefault="00C01C43">
            <w:pPr>
              <w:rPr>
                <w:rFonts w:eastAsia="Times New Roman"/>
                <w:sz w:val="20"/>
                <w:szCs w:val="20"/>
              </w:rPr>
            </w:pPr>
          </w:p>
        </w:tc>
        <w:tc>
          <w:tcPr>
            <w:tcW w:w="5" w:type="pct"/>
            <w:vAlign w:val="center"/>
            <w:hideMark/>
          </w:tcPr>
          <w:p w14:paraId="09BE9C00" w14:textId="77777777" w:rsidR="00000000" w:rsidRDefault="00C01C43">
            <w:pPr>
              <w:rPr>
                <w:rFonts w:eastAsia="Times New Roman"/>
                <w:sz w:val="20"/>
                <w:szCs w:val="20"/>
              </w:rPr>
            </w:pPr>
          </w:p>
        </w:tc>
        <w:tc>
          <w:tcPr>
            <w:tcW w:w="85" w:type="pct"/>
            <w:vAlign w:val="center"/>
            <w:hideMark/>
          </w:tcPr>
          <w:p w14:paraId="707365B1" w14:textId="77777777" w:rsidR="00000000" w:rsidRDefault="00C01C43">
            <w:pPr>
              <w:rPr>
                <w:rFonts w:eastAsia="Times New Roman"/>
                <w:sz w:val="20"/>
                <w:szCs w:val="20"/>
              </w:rPr>
            </w:pPr>
          </w:p>
        </w:tc>
        <w:tc>
          <w:tcPr>
            <w:tcW w:w="5" w:type="pct"/>
            <w:vAlign w:val="center"/>
            <w:hideMark/>
          </w:tcPr>
          <w:p w14:paraId="16113243" w14:textId="77777777" w:rsidR="00000000" w:rsidRDefault="00C01C43">
            <w:pPr>
              <w:rPr>
                <w:rFonts w:eastAsia="Times New Roman"/>
                <w:sz w:val="20"/>
                <w:szCs w:val="20"/>
              </w:rPr>
            </w:pPr>
          </w:p>
        </w:tc>
        <w:tc>
          <w:tcPr>
            <w:tcW w:w="50" w:type="pct"/>
            <w:vAlign w:val="center"/>
            <w:hideMark/>
          </w:tcPr>
          <w:p w14:paraId="2CC1EAAA" w14:textId="77777777" w:rsidR="00000000" w:rsidRDefault="00C01C43">
            <w:pPr>
              <w:rPr>
                <w:rFonts w:eastAsia="Times New Roman"/>
                <w:sz w:val="20"/>
                <w:szCs w:val="20"/>
              </w:rPr>
            </w:pPr>
          </w:p>
        </w:tc>
        <w:tc>
          <w:tcPr>
            <w:tcW w:w="482" w:type="pct"/>
            <w:vAlign w:val="center"/>
            <w:hideMark/>
          </w:tcPr>
          <w:p w14:paraId="265449AF" w14:textId="77777777" w:rsidR="00000000" w:rsidRDefault="00C01C43">
            <w:pPr>
              <w:rPr>
                <w:rFonts w:eastAsia="Times New Roman"/>
                <w:sz w:val="20"/>
                <w:szCs w:val="20"/>
              </w:rPr>
            </w:pPr>
          </w:p>
        </w:tc>
        <w:tc>
          <w:tcPr>
            <w:tcW w:w="5" w:type="pct"/>
            <w:vAlign w:val="center"/>
            <w:hideMark/>
          </w:tcPr>
          <w:p w14:paraId="0A9B94D2" w14:textId="77777777" w:rsidR="00000000" w:rsidRDefault="00C01C43">
            <w:pPr>
              <w:rPr>
                <w:rFonts w:eastAsia="Times New Roman"/>
                <w:sz w:val="20"/>
                <w:szCs w:val="20"/>
              </w:rPr>
            </w:pPr>
          </w:p>
        </w:tc>
      </w:tr>
      <w:tr w:rsidR="00000000" w14:paraId="57C60186" w14:textId="77777777">
        <w:trPr>
          <w:jc w:val="center"/>
        </w:trPr>
        <w:tc>
          <w:tcPr>
            <w:tcW w:w="0" w:type="auto"/>
            <w:gridSpan w:val="3"/>
            <w:tcMar>
              <w:top w:w="0" w:type="dxa"/>
              <w:left w:w="20" w:type="dxa"/>
              <w:bottom w:w="0" w:type="dxa"/>
              <w:right w:w="20" w:type="dxa"/>
            </w:tcMar>
            <w:vAlign w:val="center"/>
            <w:hideMark/>
          </w:tcPr>
          <w:p w14:paraId="25679F5A" w14:textId="77777777" w:rsidR="00000000" w:rsidRDefault="00C01C43">
            <w:pPr>
              <w:rPr>
                <w:rFonts w:eastAsia="Times New Roman"/>
                <w:sz w:val="20"/>
                <w:szCs w:val="20"/>
              </w:rPr>
            </w:pPr>
          </w:p>
        </w:tc>
        <w:tc>
          <w:tcPr>
            <w:tcW w:w="0" w:type="auto"/>
            <w:gridSpan w:val="36"/>
            <w:tcMar>
              <w:top w:w="30" w:type="dxa"/>
              <w:left w:w="20" w:type="dxa"/>
              <w:bottom w:w="30" w:type="dxa"/>
              <w:right w:w="20" w:type="dxa"/>
            </w:tcMar>
            <w:vAlign w:val="bottom"/>
            <w:hideMark/>
          </w:tcPr>
          <w:p w14:paraId="1358FBF1" w14:textId="77777777" w:rsidR="00000000" w:rsidRDefault="00C01C43">
            <w:pPr>
              <w:jc w:val="center"/>
              <w:rPr>
                <w:rFonts w:eastAsia="Times New Roman"/>
              </w:rPr>
            </w:pPr>
            <w:r>
              <w:rPr>
                <w:rFonts w:ascii="Arial" w:eastAsia="Times New Roman" w:hAnsi="Arial" w:cs="Arial"/>
                <w:b/>
                <w:bCs/>
                <w:color w:val="000000"/>
                <w:sz w:val="16"/>
                <w:szCs w:val="16"/>
              </w:rPr>
              <w:t>Fair Value as of December 31, 2019</w:t>
            </w:r>
          </w:p>
        </w:tc>
      </w:tr>
      <w:tr w:rsidR="00000000" w14:paraId="7BB44603" w14:textId="77777777">
        <w:trPr>
          <w:trHeight w:val="300"/>
          <w:jc w:val="center"/>
        </w:trPr>
        <w:tc>
          <w:tcPr>
            <w:tcW w:w="0" w:type="auto"/>
            <w:gridSpan w:val="3"/>
            <w:tcMar>
              <w:top w:w="0" w:type="dxa"/>
              <w:left w:w="20" w:type="dxa"/>
              <w:bottom w:w="0" w:type="dxa"/>
              <w:right w:w="20" w:type="dxa"/>
            </w:tcMar>
            <w:vAlign w:val="center"/>
            <w:hideMark/>
          </w:tcPr>
          <w:p w14:paraId="62355BA0" w14:textId="77777777" w:rsidR="00000000" w:rsidRDefault="00C01C43">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409032F" w14:textId="77777777" w:rsidR="00000000" w:rsidRDefault="00C01C43">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8CBF7CA" w14:textId="77777777" w:rsidR="00000000" w:rsidRDefault="00C01C43">
            <w:pPr>
              <w:jc w:val="center"/>
              <w:rPr>
                <w:rFonts w:eastAsia="Times New Roman"/>
              </w:rPr>
            </w:pPr>
            <w:r>
              <w:rPr>
                <w:rFonts w:ascii="Arial" w:eastAsia="Times New Roman" w:hAnsi="Arial" w:cs="Arial"/>
                <w:b/>
                <w:bCs/>
                <w:color w:val="000000"/>
                <w:sz w:val="16"/>
                <w:szCs w:val="16"/>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14:paraId="23EDF8CB" w14:textId="77777777" w:rsidR="00000000" w:rsidRDefault="00C01C4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B6E599C" w14:textId="77777777" w:rsidR="00000000" w:rsidRDefault="00C01C43">
            <w:pPr>
              <w:jc w:val="center"/>
              <w:rPr>
                <w:rFonts w:eastAsia="Times New Roman"/>
              </w:rPr>
            </w:pPr>
            <w:r>
              <w:rPr>
                <w:rFonts w:ascii="Arial" w:eastAsia="Times New Roman" w:hAnsi="Arial" w:cs="Arial"/>
                <w:b/>
                <w:bCs/>
                <w:color w:val="000000"/>
                <w:sz w:val="16"/>
                <w:szCs w:val="16"/>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14:paraId="5370BC04" w14:textId="77777777" w:rsidR="00000000" w:rsidRDefault="00C01C4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6E9D985" w14:textId="77777777" w:rsidR="00000000" w:rsidRDefault="00C01C43">
            <w:pPr>
              <w:jc w:val="center"/>
              <w:rPr>
                <w:rFonts w:eastAsia="Times New Roman"/>
              </w:rPr>
            </w:pPr>
            <w:r>
              <w:rPr>
                <w:rFonts w:ascii="Arial" w:eastAsia="Times New Roman" w:hAnsi="Arial" w:cs="Arial"/>
                <w:b/>
                <w:bCs/>
                <w:color w:val="333333"/>
                <w:sz w:val="16"/>
                <w:szCs w:val="16"/>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14:paraId="744A84A7" w14:textId="77777777" w:rsidR="00000000" w:rsidRDefault="00C01C4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9CFE37E" w14:textId="77777777" w:rsidR="00000000" w:rsidRDefault="00C01C43">
            <w:pPr>
              <w:jc w:val="center"/>
              <w:rPr>
                <w:rFonts w:eastAsia="Times New Roman"/>
              </w:rPr>
            </w:pPr>
            <w:r>
              <w:rPr>
                <w:rFonts w:ascii="Arial" w:eastAsia="Times New Roman" w:hAnsi="Arial" w:cs="Arial"/>
                <w:b/>
                <w:bCs/>
                <w:color w:val="000000"/>
                <w:sz w:val="16"/>
                <w:szCs w:val="16"/>
              </w:rPr>
              <w:t>Cash Collateral</w:t>
            </w:r>
          </w:p>
        </w:tc>
        <w:tc>
          <w:tcPr>
            <w:tcW w:w="0" w:type="auto"/>
            <w:gridSpan w:val="3"/>
            <w:tcBorders>
              <w:top w:val="single" w:sz="8" w:space="0" w:color="000000"/>
            </w:tcBorders>
            <w:tcMar>
              <w:top w:w="0" w:type="dxa"/>
              <w:left w:w="20" w:type="dxa"/>
              <w:bottom w:w="0" w:type="dxa"/>
              <w:right w:w="20" w:type="dxa"/>
            </w:tcMar>
            <w:vAlign w:val="center"/>
            <w:hideMark/>
          </w:tcPr>
          <w:p w14:paraId="6757371B" w14:textId="77777777" w:rsidR="00000000" w:rsidRDefault="00C01C4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7E9FAF3" w14:textId="77777777" w:rsidR="00000000" w:rsidRDefault="00C01C43">
            <w:pPr>
              <w:jc w:val="center"/>
              <w:rPr>
                <w:rFonts w:eastAsia="Times New Roman"/>
              </w:rPr>
            </w:pPr>
            <w:r>
              <w:rPr>
                <w:rFonts w:ascii="Arial" w:eastAsia="Times New Roman" w:hAnsi="Arial" w:cs="Arial"/>
                <w:b/>
                <w:bCs/>
                <w:color w:val="000000"/>
                <w:sz w:val="16"/>
                <w:szCs w:val="16"/>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14:paraId="064D0496" w14:textId="77777777" w:rsidR="00000000" w:rsidRDefault="00C01C4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3B5ACD5" w14:textId="77777777" w:rsidR="00000000" w:rsidRDefault="00C01C43">
            <w:pPr>
              <w:jc w:val="center"/>
              <w:rPr>
                <w:rFonts w:eastAsia="Times New Roman"/>
              </w:rPr>
            </w:pPr>
            <w:r>
              <w:rPr>
                <w:rFonts w:ascii="Arial" w:eastAsia="Times New Roman" w:hAnsi="Arial" w:cs="Arial"/>
                <w:b/>
                <w:bCs/>
                <w:color w:val="333333"/>
                <w:sz w:val="16"/>
                <w:szCs w:val="16"/>
              </w:rPr>
              <w:t>Net Amounts</w:t>
            </w:r>
          </w:p>
        </w:tc>
      </w:tr>
      <w:tr w:rsidR="00000000" w14:paraId="7327C7DD" w14:textId="77777777">
        <w:trPr>
          <w:trHeight w:val="300"/>
          <w:jc w:val="center"/>
        </w:trPr>
        <w:tc>
          <w:tcPr>
            <w:tcW w:w="0" w:type="auto"/>
            <w:gridSpan w:val="3"/>
            <w:tcMar>
              <w:top w:w="0" w:type="dxa"/>
              <w:left w:w="20" w:type="dxa"/>
              <w:bottom w:w="0" w:type="dxa"/>
              <w:right w:w="20" w:type="dxa"/>
            </w:tcMar>
            <w:vAlign w:val="center"/>
            <w:hideMark/>
          </w:tcPr>
          <w:p w14:paraId="4DEECABD"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5CE492FE"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47E80E6A"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2C7DC0D1"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6F5AD043"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09F49F57"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08918FF8"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534CDBE2"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469C4F2F"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75968EFE"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2BF8AD12"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7E145CAF"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6E349AE9" w14:textId="77777777" w:rsidR="00000000" w:rsidRDefault="00C01C43">
            <w:pPr>
              <w:rPr>
                <w:rFonts w:eastAsia="Times New Roman"/>
              </w:rPr>
            </w:pPr>
          </w:p>
        </w:tc>
      </w:tr>
      <w:tr w:rsidR="00000000" w14:paraId="1A04B22D" w14:textId="77777777">
        <w:trPr>
          <w:trHeight w:val="300"/>
          <w:jc w:val="center"/>
        </w:trPr>
        <w:tc>
          <w:tcPr>
            <w:tcW w:w="0" w:type="auto"/>
            <w:gridSpan w:val="3"/>
            <w:tcMar>
              <w:top w:w="0" w:type="dxa"/>
              <w:left w:w="20" w:type="dxa"/>
              <w:bottom w:w="0" w:type="dxa"/>
              <w:right w:w="20" w:type="dxa"/>
            </w:tcMar>
            <w:vAlign w:val="center"/>
            <w:hideMark/>
          </w:tcPr>
          <w:p w14:paraId="582B66CA"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141336D1"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402AA4D3"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3F0215A2"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4E04BFAB"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2739D877"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713222CC"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2B6DD696"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2FCDF051"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0A891345"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47B4E840"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023EC335" w14:textId="77777777" w:rsidR="00000000" w:rsidRDefault="00C01C43">
            <w:pPr>
              <w:rPr>
                <w:rFonts w:eastAsia="Times New Roman"/>
                <w:sz w:val="20"/>
                <w:szCs w:val="20"/>
              </w:rPr>
            </w:pPr>
          </w:p>
        </w:tc>
        <w:tc>
          <w:tcPr>
            <w:tcW w:w="0" w:type="auto"/>
            <w:gridSpan w:val="3"/>
            <w:vMerge/>
            <w:tcBorders>
              <w:top w:val="single" w:sz="8" w:space="0" w:color="000000"/>
            </w:tcBorders>
            <w:vAlign w:val="center"/>
            <w:hideMark/>
          </w:tcPr>
          <w:p w14:paraId="3CD38792" w14:textId="77777777" w:rsidR="00000000" w:rsidRDefault="00C01C43">
            <w:pPr>
              <w:rPr>
                <w:rFonts w:eastAsia="Times New Roman"/>
              </w:rPr>
            </w:pPr>
          </w:p>
        </w:tc>
      </w:tr>
      <w:tr w:rsidR="00000000" w14:paraId="4A0950F9"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34336D" w14:textId="77777777" w:rsidR="00000000" w:rsidRDefault="00C01C43">
            <w:pPr>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A5B697"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5A781B"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BE4E98"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D9EC3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46FEE0"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ACA081"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96597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F40E84"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DDAC55"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28EC35"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FA70FD"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CD7B8B" w14:textId="77777777" w:rsidR="00000000" w:rsidRDefault="00C01C43">
            <w:pPr>
              <w:rPr>
                <w:rFonts w:eastAsia="Times New Roman"/>
                <w:sz w:val="20"/>
                <w:szCs w:val="20"/>
              </w:rPr>
            </w:pPr>
          </w:p>
        </w:tc>
      </w:tr>
      <w:tr w:rsidR="00000000" w14:paraId="60651188" w14:textId="77777777">
        <w:trPr>
          <w:jc w:val="center"/>
        </w:trPr>
        <w:tc>
          <w:tcPr>
            <w:tcW w:w="0" w:type="auto"/>
            <w:gridSpan w:val="3"/>
            <w:shd w:val="clear" w:color="auto" w:fill="FFFFFF"/>
            <w:tcMar>
              <w:top w:w="30" w:type="dxa"/>
              <w:left w:w="20" w:type="dxa"/>
              <w:bottom w:w="30" w:type="dxa"/>
              <w:right w:w="20" w:type="dxa"/>
            </w:tcMar>
            <w:vAlign w:val="bottom"/>
            <w:hideMark/>
          </w:tcPr>
          <w:p w14:paraId="62743340" w14:textId="77777777" w:rsidR="00000000" w:rsidRDefault="00C01C43">
            <w:pPr>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1EDF1371" w14:textId="77777777" w:rsidR="00000000" w:rsidRDefault="00C01C43">
            <w:pPr>
              <w:rPr>
                <w:rFonts w:eastAsia="Times New Roman"/>
              </w:rPr>
            </w:pPr>
          </w:p>
        </w:tc>
        <w:tc>
          <w:tcPr>
            <w:tcW w:w="0" w:type="auto"/>
            <w:shd w:val="clear" w:color="auto" w:fill="FFFFFF"/>
            <w:tcMar>
              <w:top w:w="30" w:type="dxa"/>
              <w:left w:w="20" w:type="dxa"/>
              <w:bottom w:w="30" w:type="dxa"/>
              <w:right w:w="0" w:type="dxa"/>
            </w:tcMar>
            <w:vAlign w:val="bottom"/>
            <w:hideMark/>
          </w:tcPr>
          <w:p w14:paraId="6EF98CD2"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69C4C05" w14:textId="77777777" w:rsidR="00000000" w:rsidRDefault="00C01C43">
            <w:pPr>
              <w:jc w:val="right"/>
              <w:rPr>
                <w:rFonts w:eastAsia="Times New Roman"/>
              </w:rPr>
            </w:pPr>
            <w:r>
              <w:rPr>
                <w:rFonts w:ascii="Arial" w:eastAsia="Times New Roman" w:hAnsi="Arial" w:cs="Arial"/>
                <w:color w:val="000000"/>
                <w:sz w:val="20"/>
                <w:szCs w:val="20"/>
              </w:rPr>
              <w:t>259.0 </w:t>
            </w:r>
          </w:p>
        </w:tc>
        <w:tc>
          <w:tcPr>
            <w:tcW w:w="0" w:type="auto"/>
            <w:shd w:val="clear" w:color="auto" w:fill="FFFFFF"/>
            <w:tcMar>
              <w:top w:w="30" w:type="dxa"/>
              <w:left w:w="0" w:type="dxa"/>
              <w:bottom w:w="30" w:type="dxa"/>
              <w:right w:w="20" w:type="dxa"/>
            </w:tcMar>
            <w:vAlign w:val="bottom"/>
            <w:hideMark/>
          </w:tcPr>
          <w:p w14:paraId="651D663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E6EBFA"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F79ECD"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293F52B" w14:textId="77777777" w:rsidR="00000000" w:rsidRDefault="00C01C43">
            <w:pPr>
              <w:jc w:val="right"/>
              <w:rPr>
                <w:rFonts w:eastAsia="Times New Roman"/>
              </w:rPr>
            </w:pPr>
            <w:r>
              <w:rPr>
                <w:rFonts w:ascii="Arial" w:eastAsia="Times New Roman" w:hAnsi="Arial" w:cs="Arial"/>
                <w:color w:val="000000"/>
                <w:sz w:val="20"/>
                <w:szCs w:val="20"/>
              </w:rPr>
              <w:t>130.0 </w:t>
            </w:r>
          </w:p>
        </w:tc>
        <w:tc>
          <w:tcPr>
            <w:tcW w:w="0" w:type="auto"/>
            <w:shd w:val="clear" w:color="auto" w:fill="FFFFFF"/>
            <w:tcMar>
              <w:top w:w="30" w:type="dxa"/>
              <w:left w:w="0" w:type="dxa"/>
              <w:bottom w:w="30" w:type="dxa"/>
              <w:right w:w="20" w:type="dxa"/>
            </w:tcMar>
            <w:vAlign w:val="bottom"/>
            <w:hideMark/>
          </w:tcPr>
          <w:p w14:paraId="01312C2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783448"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7A83A4"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3192156" w14:textId="77777777" w:rsidR="00000000" w:rsidRDefault="00C01C43">
            <w:pPr>
              <w:jc w:val="right"/>
              <w:rPr>
                <w:rFonts w:eastAsia="Times New Roman"/>
              </w:rPr>
            </w:pPr>
            <w:r>
              <w:rPr>
                <w:rFonts w:ascii="Arial" w:eastAsia="Times New Roman" w:hAnsi="Arial" w:cs="Arial"/>
                <w:color w:val="000000"/>
                <w:sz w:val="20"/>
                <w:szCs w:val="20"/>
              </w:rPr>
              <w:t>129.0 </w:t>
            </w:r>
          </w:p>
        </w:tc>
        <w:tc>
          <w:tcPr>
            <w:tcW w:w="0" w:type="auto"/>
            <w:shd w:val="clear" w:color="auto" w:fill="FFFFFF"/>
            <w:tcMar>
              <w:top w:w="30" w:type="dxa"/>
              <w:left w:w="0" w:type="dxa"/>
              <w:bottom w:w="30" w:type="dxa"/>
              <w:right w:w="20" w:type="dxa"/>
            </w:tcMar>
            <w:vAlign w:val="bottom"/>
            <w:hideMark/>
          </w:tcPr>
          <w:p w14:paraId="5620DC9F"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CADAE"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5FD7F4"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1ECB37C"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50AE820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F022F"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C3B565"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A12A1E2"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57D92BC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722300"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B5946F"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B0C5392" w14:textId="77777777" w:rsidR="00000000" w:rsidRDefault="00C01C43">
            <w:pPr>
              <w:jc w:val="right"/>
              <w:rPr>
                <w:rFonts w:eastAsia="Times New Roman"/>
              </w:rPr>
            </w:pPr>
            <w:r>
              <w:rPr>
                <w:rFonts w:ascii="Arial" w:eastAsia="Times New Roman" w:hAnsi="Arial" w:cs="Arial"/>
                <w:color w:val="000000"/>
                <w:sz w:val="20"/>
                <w:szCs w:val="20"/>
              </w:rPr>
              <w:t>129.0 </w:t>
            </w:r>
          </w:p>
        </w:tc>
        <w:tc>
          <w:tcPr>
            <w:tcW w:w="0" w:type="auto"/>
            <w:shd w:val="clear" w:color="auto" w:fill="FFFFFF"/>
            <w:tcMar>
              <w:top w:w="30" w:type="dxa"/>
              <w:left w:w="0" w:type="dxa"/>
              <w:bottom w:w="30" w:type="dxa"/>
              <w:right w:w="20" w:type="dxa"/>
            </w:tcMar>
            <w:vAlign w:val="bottom"/>
            <w:hideMark/>
          </w:tcPr>
          <w:p w14:paraId="42EEDB6F" w14:textId="77777777" w:rsidR="00000000" w:rsidRDefault="00C01C43">
            <w:pPr>
              <w:jc w:val="right"/>
              <w:rPr>
                <w:rFonts w:eastAsia="Times New Roman"/>
              </w:rPr>
            </w:pPr>
          </w:p>
        </w:tc>
      </w:tr>
      <w:tr w:rsidR="00000000" w14:paraId="1E6CFCAA" w14:textId="77777777">
        <w:trPr>
          <w:jc w:val="center"/>
        </w:trPr>
        <w:tc>
          <w:tcPr>
            <w:tcW w:w="0" w:type="auto"/>
            <w:gridSpan w:val="3"/>
            <w:shd w:val="clear" w:color="auto" w:fill="CCEEFF"/>
            <w:tcMar>
              <w:top w:w="30" w:type="dxa"/>
              <w:left w:w="20" w:type="dxa"/>
              <w:bottom w:w="30" w:type="dxa"/>
              <w:right w:w="20" w:type="dxa"/>
            </w:tcMar>
            <w:vAlign w:val="bottom"/>
            <w:hideMark/>
          </w:tcPr>
          <w:p w14:paraId="205E70F0" w14:textId="77777777" w:rsidR="00000000" w:rsidRDefault="00C01C43">
            <w:pPr>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621F7B8E"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D3E4A7" w14:textId="77777777" w:rsidR="00000000" w:rsidRDefault="00C01C43">
            <w:pPr>
              <w:jc w:val="right"/>
              <w:rPr>
                <w:rFonts w:eastAsia="Times New Roman"/>
              </w:rPr>
            </w:pPr>
            <w:r>
              <w:rPr>
                <w:rFonts w:ascii="Arial" w:eastAsia="Times New Roman" w:hAnsi="Arial" w:cs="Arial"/>
                <w:color w:val="000000"/>
                <w:sz w:val="20"/>
                <w:szCs w:val="20"/>
              </w:rPr>
              <w:t>2.0 </w:t>
            </w:r>
          </w:p>
        </w:tc>
        <w:tc>
          <w:tcPr>
            <w:tcW w:w="0" w:type="auto"/>
            <w:shd w:val="clear" w:color="auto" w:fill="CCEEFF"/>
            <w:tcMar>
              <w:top w:w="30" w:type="dxa"/>
              <w:left w:w="0" w:type="dxa"/>
              <w:bottom w:w="30" w:type="dxa"/>
              <w:right w:w="20" w:type="dxa"/>
            </w:tcMar>
            <w:vAlign w:val="bottom"/>
            <w:hideMark/>
          </w:tcPr>
          <w:p w14:paraId="17F7D45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A59F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790C7A" w14:textId="77777777" w:rsidR="00000000" w:rsidRDefault="00C01C43">
            <w:pPr>
              <w:jc w:val="right"/>
              <w:rPr>
                <w:rFonts w:eastAsia="Times New Roman"/>
              </w:rPr>
            </w:pPr>
            <w:r>
              <w:rPr>
                <w:rFonts w:ascii="Arial" w:eastAsia="Times New Roman" w:hAnsi="Arial" w:cs="Arial"/>
                <w:color w:val="000000"/>
                <w:sz w:val="20"/>
                <w:szCs w:val="20"/>
              </w:rPr>
              <w:t>1.0 </w:t>
            </w:r>
          </w:p>
        </w:tc>
        <w:tc>
          <w:tcPr>
            <w:tcW w:w="0" w:type="auto"/>
            <w:shd w:val="clear" w:color="auto" w:fill="CCEEFF"/>
            <w:tcMar>
              <w:top w:w="30" w:type="dxa"/>
              <w:left w:w="0" w:type="dxa"/>
              <w:bottom w:w="30" w:type="dxa"/>
              <w:right w:w="20" w:type="dxa"/>
            </w:tcMar>
            <w:vAlign w:val="bottom"/>
            <w:hideMark/>
          </w:tcPr>
          <w:p w14:paraId="2BE0785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7486A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5E9C98" w14:textId="77777777" w:rsidR="00000000" w:rsidRDefault="00C01C43">
            <w:pPr>
              <w:jc w:val="right"/>
              <w:rPr>
                <w:rFonts w:eastAsia="Times New Roman"/>
              </w:rPr>
            </w:pPr>
            <w:r>
              <w:rPr>
                <w:rFonts w:ascii="Arial" w:eastAsia="Times New Roman" w:hAnsi="Arial" w:cs="Arial"/>
                <w:color w:val="000000"/>
                <w:sz w:val="20"/>
                <w:szCs w:val="20"/>
              </w:rPr>
              <w:t>1.0 </w:t>
            </w:r>
          </w:p>
        </w:tc>
        <w:tc>
          <w:tcPr>
            <w:tcW w:w="0" w:type="auto"/>
            <w:shd w:val="clear" w:color="auto" w:fill="CCEEFF"/>
            <w:tcMar>
              <w:top w:w="30" w:type="dxa"/>
              <w:left w:w="0" w:type="dxa"/>
              <w:bottom w:w="30" w:type="dxa"/>
              <w:right w:w="20" w:type="dxa"/>
            </w:tcMar>
            <w:vAlign w:val="bottom"/>
            <w:hideMark/>
          </w:tcPr>
          <w:p w14:paraId="7AAA4A9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C2E63"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8C7A55"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23DFE2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4BC79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3549F1"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C628B1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E40A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831DF7" w14:textId="77777777" w:rsidR="00000000" w:rsidRDefault="00C01C43">
            <w:pPr>
              <w:jc w:val="right"/>
              <w:rPr>
                <w:rFonts w:eastAsia="Times New Roman"/>
              </w:rPr>
            </w:pPr>
            <w:r>
              <w:rPr>
                <w:rFonts w:ascii="Arial" w:eastAsia="Times New Roman" w:hAnsi="Arial" w:cs="Arial"/>
                <w:color w:val="000000"/>
                <w:sz w:val="20"/>
                <w:szCs w:val="20"/>
              </w:rPr>
              <w:t>1.0 </w:t>
            </w:r>
          </w:p>
        </w:tc>
        <w:tc>
          <w:tcPr>
            <w:tcW w:w="0" w:type="auto"/>
            <w:shd w:val="clear" w:color="auto" w:fill="CCEEFF"/>
            <w:tcMar>
              <w:top w:w="30" w:type="dxa"/>
              <w:left w:w="0" w:type="dxa"/>
              <w:bottom w:w="30" w:type="dxa"/>
              <w:right w:w="20" w:type="dxa"/>
            </w:tcMar>
            <w:vAlign w:val="bottom"/>
            <w:hideMark/>
          </w:tcPr>
          <w:p w14:paraId="1221314C" w14:textId="77777777" w:rsidR="00000000" w:rsidRDefault="00C01C43">
            <w:pPr>
              <w:jc w:val="right"/>
              <w:rPr>
                <w:rFonts w:eastAsia="Times New Roman"/>
              </w:rPr>
            </w:pPr>
          </w:p>
        </w:tc>
      </w:tr>
      <w:tr w:rsidR="00000000" w14:paraId="38748A9F" w14:textId="77777777">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625C73E" w14:textId="77777777" w:rsidR="00000000" w:rsidRDefault="00C01C43">
            <w:pPr>
              <w:rPr>
                <w:rFonts w:eastAsia="Times New Roman"/>
              </w:rPr>
            </w:pPr>
            <w:r>
              <w:rPr>
                <w:rFonts w:ascii="Arial" w:eastAsia="Times New Roman" w:hAnsi="Arial" w:cs="Arial"/>
                <w:color w:val="000000"/>
                <w:sz w:val="20"/>
                <w:szCs w:val="20"/>
              </w:rPr>
              <w:t>Total assets at fair value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598C4A" w14:textId="77777777" w:rsidR="00000000" w:rsidRDefault="00C01C4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67A28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D34FB1" w14:textId="77777777" w:rsidR="00000000" w:rsidRDefault="00C01C43">
            <w:pPr>
              <w:jc w:val="right"/>
              <w:rPr>
                <w:rFonts w:eastAsia="Times New Roman"/>
              </w:rPr>
            </w:pPr>
            <w:r>
              <w:rPr>
                <w:rFonts w:ascii="Arial" w:eastAsia="Times New Roman" w:hAnsi="Arial" w:cs="Arial"/>
                <w:color w:val="000000"/>
                <w:sz w:val="20"/>
                <w:szCs w:val="20"/>
              </w:rPr>
              <w:t>261.1 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A515B0"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B3DD95A"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C8386B"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296233" w14:textId="77777777" w:rsidR="00000000" w:rsidRDefault="00C01C43">
            <w:pPr>
              <w:jc w:val="right"/>
              <w:rPr>
                <w:rFonts w:eastAsia="Times New Roman"/>
              </w:rPr>
            </w:pPr>
            <w:r>
              <w:rPr>
                <w:rFonts w:ascii="Arial" w:eastAsia="Times New Roman" w:hAnsi="Arial" w:cs="Arial"/>
                <w:color w:val="000000"/>
                <w:sz w:val="20"/>
                <w:szCs w:val="20"/>
              </w:rPr>
              <w:t>131.1 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A905C8"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74FBFE4"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9817FC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107326" w14:textId="77777777" w:rsidR="00000000" w:rsidRDefault="00C01C43">
            <w:pPr>
              <w:jc w:val="right"/>
              <w:rPr>
                <w:rFonts w:eastAsia="Times New Roman"/>
              </w:rPr>
            </w:pPr>
            <w:r>
              <w:rPr>
                <w:rFonts w:ascii="Arial" w:eastAsia="Times New Roman" w:hAnsi="Arial" w:cs="Arial"/>
                <w:color w:val="000000"/>
                <w:sz w:val="20"/>
                <w:szCs w:val="20"/>
              </w:rPr>
              <w:t>130.0 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1E61EE"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A9FBB4E"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CE182F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6B1414"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EE19E3"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63CC0A"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4978CC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5006C69"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4BC1DF"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597E06"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44895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D54B9CC" w14:textId="77777777" w:rsidR="00000000" w:rsidRDefault="00C01C43">
            <w:pPr>
              <w:jc w:val="right"/>
              <w:rPr>
                <w:rFonts w:eastAsia="Times New Roman"/>
              </w:rPr>
            </w:pPr>
            <w:r>
              <w:rPr>
                <w:rFonts w:ascii="Arial" w:eastAsia="Times New Roman" w:hAnsi="Arial" w:cs="Arial"/>
                <w:color w:val="000000"/>
                <w:sz w:val="20"/>
                <w:szCs w:val="20"/>
              </w:rPr>
              <w:t>130.0 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68AAFD" w14:textId="77777777" w:rsidR="00000000" w:rsidRDefault="00C01C43">
            <w:pPr>
              <w:jc w:val="right"/>
              <w:rPr>
                <w:rFonts w:eastAsia="Times New Roman"/>
              </w:rPr>
            </w:pPr>
          </w:p>
        </w:tc>
      </w:tr>
      <w:tr w:rsidR="00000000" w14:paraId="715D99B3" w14:textId="77777777">
        <w:trPr>
          <w:trHeight w:val="300"/>
          <w:jc w:val="center"/>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F6C003" w14:textId="77777777" w:rsidR="00000000" w:rsidRDefault="00C01C43">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A313385"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C923589"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1C6F6E"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EBC4AC"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E4E20A"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FC04E29"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F833B09"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7C8E54"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6CFFFC"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9A54DBA"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5A3909D"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EEFD225" w14:textId="77777777" w:rsidR="00000000" w:rsidRDefault="00C01C43">
            <w:pPr>
              <w:rPr>
                <w:rFonts w:eastAsia="Times New Roman"/>
                <w:sz w:val="20"/>
                <w:szCs w:val="20"/>
              </w:rPr>
            </w:pPr>
          </w:p>
        </w:tc>
      </w:tr>
      <w:tr w:rsidR="00000000" w14:paraId="02E794AC" w14:textId="77777777">
        <w:trPr>
          <w:jc w:val="center"/>
        </w:trPr>
        <w:tc>
          <w:tcPr>
            <w:tcW w:w="0" w:type="auto"/>
            <w:gridSpan w:val="3"/>
            <w:shd w:val="clear" w:color="auto" w:fill="FFFFFF"/>
            <w:tcMar>
              <w:top w:w="30" w:type="dxa"/>
              <w:left w:w="20" w:type="dxa"/>
              <w:bottom w:w="30" w:type="dxa"/>
              <w:right w:w="20" w:type="dxa"/>
            </w:tcMar>
            <w:vAlign w:val="bottom"/>
            <w:hideMark/>
          </w:tcPr>
          <w:p w14:paraId="2EDE5413" w14:textId="77777777" w:rsidR="00000000" w:rsidRDefault="00C01C43">
            <w:pPr>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224C340C" w14:textId="77777777" w:rsidR="00000000" w:rsidRDefault="00C01C43">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756D59"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F0E9FE"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4D7604"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B52888"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E0C245"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89BB3D"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E0FBC2"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273131"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971E68"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76747E" w14:textId="77777777" w:rsidR="00000000" w:rsidRDefault="00C01C4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5FD126" w14:textId="77777777" w:rsidR="00000000" w:rsidRDefault="00C01C43">
            <w:pPr>
              <w:rPr>
                <w:rFonts w:eastAsia="Times New Roman"/>
                <w:sz w:val="20"/>
                <w:szCs w:val="20"/>
              </w:rPr>
            </w:pPr>
          </w:p>
        </w:tc>
      </w:tr>
      <w:tr w:rsidR="00000000" w14:paraId="7B4F9669" w14:textId="77777777">
        <w:trPr>
          <w:jc w:val="center"/>
        </w:trPr>
        <w:tc>
          <w:tcPr>
            <w:tcW w:w="0" w:type="auto"/>
            <w:gridSpan w:val="3"/>
            <w:shd w:val="clear" w:color="auto" w:fill="CCEEFF"/>
            <w:tcMar>
              <w:top w:w="30" w:type="dxa"/>
              <w:left w:w="20" w:type="dxa"/>
              <w:bottom w:w="30" w:type="dxa"/>
              <w:right w:w="20" w:type="dxa"/>
            </w:tcMar>
            <w:vAlign w:val="bottom"/>
            <w:hideMark/>
          </w:tcPr>
          <w:p w14:paraId="093F3353" w14:textId="77777777" w:rsidR="00000000" w:rsidRDefault="00C01C43">
            <w:pPr>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CCEEFF"/>
            <w:tcMar>
              <w:top w:w="0" w:type="dxa"/>
              <w:left w:w="20" w:type="dxa"/>
              <w:bottom w:w="0" w:type="dxa"/>
              <w:right w:w="20" w:type="dxa"/>
            </w:tcMar>
            <w:vAlign w:val="center"/>
            <w:hideMark/>
          </w:tcPr>
          <w:p w14:paraId="58A0AA68" w14:textId="77777777" w:rsidR="00000000" w:rsidRDefault="00C01C43">
            <w:pPr>
              <w:rPr>
                <w:rFonts w:eastAsia="Times New Roman"/>
              </w:rPr>
            </w:pPr>
          </w:p>
        </w:tc>
        <w:tc>
          <w:tcPr>
            <w:tcW w:w="0" w:type="auto"/>
            <w:shd w:val="clear" w:color="auto" w:fill="CCEEFF"/>
            <w:tcMar>
              <w:top w:w="30" w:type="dxa"/>
              <w:left w:w="20" w:type="dxa"/>
              <w:bottom w:w="30" w:type="dxa"/>
              <w:right w:w="0" w:type="dxa"/>
            </w:tcMar>
            <w:vAlign w:val="bottom"/>
            <w:hideMark/>
          </w:tcPr>
          <w:p w14:paraId="26B62B8B"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5B140E6" w14:textId="77777777" w:rsidR="00000000" w:rsidRDefault="00C01C43">
            <w:pPr>
              <w:jc w:val="right"/>
              <w:rPr>
                <w:rFonts w:eastAsia="Times New Roman"/>
              </w:rPr>
            </w:pPr>
            <w:r>
              <w:rPr>
                <w:rFonts w:ascii="Arial" w:eastAsia="Times New Roman" w:hAnsi="Arial" w:cs="Arial"/>
                <w:color w:val="000000"/>
                <w:sz w:val="20"/>
                <w:szCs w:val="20"/>
              </w:rPr>
              <w:t>255.0 </w:t>
            </w:r>
          </w:p>
        </w:tc>
        <w:tc>
          <w:tcPr>
            <w:tcW w:w="0" w:type="auto"/>
            <w:shd w:val="clear" w:color="auto" w:fill="CCEEFF"/>
            <w:tcMar>
              <w:top w:w="30" w:type="dxa"/>
              <w:left w:w="0" w:type="dxa"/>
              <w:bottom w:w="30" w:type="dxa"/>
              <w:right w:w="20" w:type="dxa"/>
            </w:tcMar>
            <w:vAlign w:val="bottom"/>
            <w:hideMark/>
          </w:tcPr>
          <w:p w14:paraId="6C13836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A4198C"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74ECB3"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65A94486" w14:textId="77777777" w:rsidR="00000000" w:rsidRDefault="00C01C43">
            <w:pPr>
              <w:jc w:val="right"/>
              <w:rPr>
                <w:rFonts w:eastAsia="Times New Roman"/>
              </w:rPr>
            </w:pPr>
            <w:r>
              <w:rPr>
                <w:rFonts w:ascii="Arial" w:eastAsia="Times New Roman" w:hAnsi="Arial" w:cs="Arial"/>
                <w:color w:val="000000"/>
                <w:sz w:val="20"/>
                <w:szCs w:val="20"/>
              </w:rPr>
              <w:t>130.0 </w:t>
            </w:r>
          </w:p>
        </w:tc>
        <w:tc>
          <w:tcPr>
            <w:tcW w:w="0" w:type="auto"/>
            <w:shd w:val="clear" w:color="auto" w:fill="CCEEFF"/>
            <w:tcMar>
              <w:top w:w="30" w:type="dxa"/>
              <w:left w:w="0" w:type="dxa"/>
              <w:bottom w:w="30" w:type="dxa"/>
              <w:right w:w="20" w:type="dxa"/>
            </w:tcMar>
            <w:vAlign w:val="bottom"/>
            <w:hideMark/>
          </w:tcPr>
          <w:p w14:paraId="29B6BD0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F2C35"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CFC598"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14DC37FB" w14:textId="77777777" w:rsidR="00000000" w:rsidRDefault="00C01C43">
            <w:pPr>
              <w:jc w:val="right"/>
              <w:rPr>
                <w:rFonts w:eastAsia="Times New Roman"/>
              </w:rPr>
            </w:pPr>
            <w:r>
              <w:rPr>
                <w:rFonts w:ascii="Arial" w:eastAsia="Times New Roman" w:hAnsi="Arial" w:cs="Arial"/>
                <w:color w:val="000000"/>
                <w:sz w:val="20"/>
                <w:szCs w:val="20"/>
              </w:rPr>
              <w:t>125.0 </w:t>
            </w:r>
          </w:p>
        </w:tc>
        <w:tc>
          <w:tcPr>
            <w:tcW w:w="0" w:type="auto"/>
            <w:shd w:val="clear" w:color="auto" w:fill="CCEEFF"/>
            <w:tcMar>
              <w:top w:w="30" w:type="dxa"/>
              <w:left w:w="0" w:type="dxa"/>
              <w:bottom w:w="30" w:type="dxa"/>
              <w:right w:w="20" w:type="dxa"/>
            </w:tcMar>
            <w:vAlign w:val="bottom"/>
            <w:hideMark/>
          </w:tcPr>
          <w:p w14:paraId="5F5C50E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89B03"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7FADE9"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7D3FAC2B" w14:textId="77777777" w:rsidR="00000000" w:rsidRDefault="00C01C43">
            <w:pPr>
              <w:jc w:val="right"/>
              <w:rPr>
                <w:rFonts w:eastAsia="Times New Roman"/>
              </w:rPr>
            </w:pPr>
            <w:r>
              <w:rPr>
                <w:rFonts w:ascii="Arial" w:eastAsia="Times New Roman" w:hAnsi="Arial" w:cs="Arial"/>
                <w:color w:val="000000"/>
                <w:sz w:val="20"/>
                <w:szCs w:val="20"/>
              </w:rPr>
              <w:t>29.3 </w:t>
            </w:r>
          </w:p>
        </w:tc>
        <w:tc>
          <w:tcPr>
            <w:tcW w:w="0" w:type="auto"/>
            <w:shd w:val="clear" w:color="auto" w:fill="CCEEFF"/>
            <w:tcMar>
              <w:top w:w="30" w:type="dxa"/>
              <w:left w:w="0" w:type="dxa"/>
              <w:bottom w:w="30" w:type="dxa"/>
              <w:right w:w="20" w:type="dxa"/>
            </w:tcMar>
            <w:vAlign w:val="bottom"/>
            <w:hideMark/>
          </w:tcPr>
          <w:p w14:paraId="0EBCD66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8D1F3"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1B5682"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76D27D2F"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4196A9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BCA4C"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2CA777"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2B21629D" w14:textId="77777777" w:rsidR="00000000" w:rsidRDefault="00C01C43">
            <w:pPr>
              <w:jc w:val="right"/>
              <w:rPr>
                <w:rFonts w:eastAsia="Times New Roman"/>
              </w:rPr>
            </w:pPr>
            <w:r>
              <w:rPr>
                <w:rFonts w:ascii="Arial" w:eastAsia="Times New Roman" w:hAnsi="Arial" w:cs="Arial"/>
                <w:color w:val="000000"/>
                <w:sz w:val="20"/>
                <w:szCs w:val="20"/>
              </w:rPr>
              <w:t>95.7 </w:t>
            </w:r>
          </w:p>
        </w:tc>
        <w:tc>
          <w:tcPr>
            <w:tcW w:w="0" w:type="auto"/>
            <w:shd w:val="clear" w:color="auto" w:fill="CCEEFF"/>
            <w:tcMar>
              <w:top w:w="30" w:type="dxa"/>
              <w:left w:w="0" w:type="dxa"/>
              <w:bottom w:w="30" w:type="dxa"/>
              <w:right w:w="20" w:type="dxa"/>
            </w:tcMar>
            <w:vAlign w:val="bottom"/>
            <w:hideMark/>
          </w:tcPr>
          <w:p w14:paraId="3AD0E78B" w14:textId="77777777" w:rsidR="00000000" w:rsidRDefault="00C01C43">
            <w:pPr>
              <w:jc w:val="right"/>
              <w:rPr>
                <w:rFonts w:eastAsia="Times New Roman"/>
              </w:rPr>
            </w:pPr>
          </w:p>
        </w:tc>
      </w:tr>
      <w:tr w:rsidR="00000000" w14:paraId="60E51755" w14:textId="77777777">
        <w:trPr>
          <w:jc w:val="center"/>
        </w:trPr>
        <w:tc>
          <w:tcPr>
            <w:tcW w:w="0" w:type="auto"/>
            <w:gridSpan w:val="3"/>
            <w:shd w:val="clear" w:color="auto" w:fill="FFFFFF"/>
            <w:tcMar>
              <w:top w:w="30" w:type="dxa"/>
              <w:left w:w="20" w:type="dxa"/>
              <w:bottom w:w="30" w:type="dxa"/>
              <w:right w:w="20" w:type="dxa"/>
            </w:tcMar>
            <w:vAlign w:val="bottom"/>
            <w:hideMark/>
          </w:tcPr>
          <w:p w14:paraId="374A2EF5" w14:textId="77777777" w:rsidR="00000000" w:rsidRDefault="00C01C43">
            <w:pPr>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14:paraId="33F84DBD"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CB123E" w14:textId="77777777" w:rsidR="00000000" w:rsidRDefault="00C01C43">
            <w:pPr>
              <w:jc w:val="right"/>
              <w:rPr>
                <w:rFonts w:eastAsia="Times New Roman"/>
              </w:rPr>
            </w:pPr>
            <w:r>
              <w:rPr>
                <w:rFonts w:ascii="Arial" w:eastAsia="Times New Roman" w:hAnsi="Arial" w:cs="Arial"/>
                <w:color w:val="000000"/>
                <w:sz w:val="20"/>
                <w:szCs w:val="20"/>
              </w:rPr>
              <w:t>11.6 </w:t>
            </w:r>
          </w:p>
        </w:tc>
        <w:tc>
          <w:tcPr>
            <w:tcW w:w="0" w:type="auto"/>
            <w:shd w:val="clear" w:color="auto" w:fill="FFFFFF"/>
            <w:tcMar>
              <w:top w:w="30" w:type="dxa"/>
              <w:left w:w="0" w:type="dxa"/>
              <w:bottom w:w="30" w:type="dxa"/>
              <w:right w:w="20" w:type="dxa"/>
            </w:tcMar>
            <w:vAlign w:val="bottom"/>
            <w:hideMark/>
          </w:tcPr>
          <w:p w14:paraId="2487B26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D4307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5472FD" w14:textId="77777777" w:rsidR="00000000" w:rsidRDefault="00C01C43">
            <w:pPr>
              <w:jc w:val="right"/>
              <w:rPr>
                <w:rFonts w:eastAsia="Times New Roman"/>
              </w:rPr>
            </w:pPr>
            <w:r>
              <w:rPr>
                <w:rFonts w:ascii="Arial" w:eastAsia="Times New Roman" w:hAnsi="Arial" w:cs="Arial"/>
                <w:color w:val="000000"/>
                <w:sz w:val="20"/>
                <w:szCs w:val="20"/>
              </w:rPr>
              <w:t>1.0 </w:t>
            </w:r>
          </w:p>
        </w:tc>
        <w:tc>
          <w:tcPr>
            <w:tcW w:w="0" w:type="auto"/>
            <w:shd w:val="clear" w:color="auto" w:fill="FFFFFF"/>
            <w:tcMar>
              <w:top w:w="30" w:type="dxa"/>
              <w:left w:w="0" w:type="dxa"/>
              <w:bottom w:w="30" w:type="dxa"/>
              <w:right w:w="20" w:type="dxa"/>
            </w:tcMar>
            <w:vAlign w:val="bottom"/>
            <w:hideMark/>
          </w:tcPr>
          <w:p w14:paraId="51CC365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E818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CCCA0D" w14:textId="77777777" w:rsidR="00000000" w:rsidRDefault="00C01C43">
            <w:pPr>
              <w:jc w:val="right"/>
              <w:rPr>
                <w:rFonts w:eastAsia="Times New Roman"/>
              </w:rPr>
            </w:pPr>
            <w:r>
              <w:rPr>
                <w:rFonts w:ascii="Arial" w:eastAsia="Times New Roman" w:hAnsi="Arial" w:cs="Arial"/>
                <w:color w:val="000000"/>
                <w:sz w:val="20"/>
                <w:szCs w:val="20"/>
              </w:rPr>
              <w:t>10.5 </w:t>
            </w:r>
          </w:p>
        </w:tc>
        <w:tc>
          <w:tcPr>
            <w:tcW w:w="0" w:type="auto"/>
            <w:shd w:val="clear" w:color="auto" w:fill="FFFFFF"/>
            <w:tcMar>
              <w:top w:w="30" w:type="dxa"/>
              <w:left w:w="0" w:type="dxa"/>
              <w:bottom w:w="30" w:type="dxa"/>
              <w:right w:w="20" w:type="dxa"/>
            </w:tcMar>
            <w:vAlign w:val="bottom"/>
            <w:hideMark/>
          </w:tcPr>
          <w:p w14:paraId="237027AC"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AEA7E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6B5DFE"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D01D1C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8DC4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88C4ED"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7CF7861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E04A4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8EF796" w14:textId="77777777" w:rsidR="00000000" w:rsidRDefault="00C01C43">
            <w:pPr>
              <w:jc w:val="right"/>
              <w:rPr>
                <w:rFonts w:eastAsia="Times New Roman"/>
              </w:rPr>
            </w:pPr>
            <w:r>
              <w:rPr>
                <w:rFonts w:ascii="Arial" w:eastAsia="Times New Roman" w:hAnsi="Arial" w:cs="Arial"/>
                <w:color w:val="000000"/>
                <w:sz w:val="20"/>
                <w:szCs w:val="20"/>
              </w:rPr>
              <w:t>10.5 </w:t>
            </w:r>
          </w:p>
        </w:tc>
        <w:tc>
          <w:tcPr>
            <w:tcW w:w="0" w:type="auto"/>
            <w:shd w:val="clear" w:color="auto" w:fill="FFFFFF"/>
            <w:tcMar>
              <w:top w:w="30" w:type="dxa"/>
              <w:left w:w="0" w:type="dxa"/>
              <w:bottom w:w="30" w:type="dxa"/>
              <w:right w:w="20" w:type="dxa"/>
            </w:tcMar>
            <w:vAlign w:val="bottom"/>
            <w:hideMark/>
          </w:tcPr>
          <w:p w14:paraId="30BD1540" w14:textId="77777777" w:rsidR="00000000" w:rsidRDefault="00C01C43">
            <w:pPr>
              <w:jc w:val="right"/>
              <w:rPr>
                <w:rFonts w:eastAsia="Times New Roman"/>
              </w:rPr>
            </w:pPr>
          </w:p>
        </w:tc>
      </w:tr>
      <w:tr w:rsidR="00000000" w14:paraId="65CB16BE" w14:textId="77777777">
        <w:trPr>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4FBD04F9" w14:textId="77777777" w:rsidR="00000000" w:rsidRDefault="00C01C43">
            <w:pPr>
              <w:rPr>
                <w:rFonts w:eastAsia="Times New Roman"/>
              </w:rPr>
            </w:pPr>
            <w:r>
              <w:rPr>
                <w:rFonts w:ascii="Arial" w:eastAsia="Times New Roman" w:hAnsi="Arial" w:cs="Arial"/>
                <w:color w:val="000000"/>
                <w:sz w:val="20"/>
                <w:szCs w:val="20"/>
              </w:rPr>
              <w:t>Total liabilities at fair value</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174B048" w14:textId="77777777" w:rsidR="00000000" w:rsidRDefault="00C01C4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9B7C3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FA384E" w14:textId="77777777" w:rsidR="00000000" w:rsidRDefault="00C01C43">
            <w:pPr>
              <w:jc w:val="right"/>
              <w:rPr>
                <w:rFonts w:eastAsia="Times New Roman"/>
              </w:rPr>
            </w:pPr>
            <w:r>
              <w:rPr>
                <w:rFonts w:ascii="Arial" w:eastAsia="Times New Roman" w:hAnsi="Arial" w:cs="Arial"/>
                <w:color w:val="000000"/>
                <w:sz w:val="20"/>
                <w:szCs w:val="20"/>
              </w:rPr>
              <w:t>266.6 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4EE3C0"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284074E"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190AE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C462BC" w14:textId="77777777" w:rsidR="00000000" w:rsidRDefault="00C01C43">
            <w:pPr>
              <w:jc w:val="right"/>
              <w:rPr>
                <w:rFonts w:eastAsia="Times New Roman"/>
              </w:rPr>
            </w:pPr>
            <w:r>
              <w:rPr>
                <w:rFonts w:ascii="Arial" w:eastAsia="Times New Roman" w:hAnsi="Arial" w:cs="Arial"/>
                <w:color w:val="000000"/>
                <w:sz w:val="20"/>
                <w:szCs w:val="20"/>
              </w:rPr>
              <w:t>131.1 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0CBB2F"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175E1B3"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6071E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FDCDA2" w14:textId="77777777" w:rsidR="00000000" w:rsidRDefault="00C01C43">
            <w:pPr>
              <w:jc w:val="right"/>
              <w:rPr>
                <w:rFonts w:eastAsia="Times New Roman"/>
              </w:rPr>
            </w:pPr>
            <w:r>
              <w:rPr>
                <w:rFonts w:ascii="Arial" w:eastAsia="Times New Roman" w:hAnsi="Arial" w:cs="Arial"/>
                <w:color w:val="000000"/>
                <w:sz w:val="20"/>
                <w:szCs w:val="20"/>
              </w:rPr>
              <w:t>135.5 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C69439"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C31166A"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35B3D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40A542" w14:textId="77777777" w:rsidR="00000000" w:rsidRDefault="00C01C43">
            <w:pPr>
              <w:jc w:val="right"/>
              <w:rPr>
                <w:rFonts w:eastAsia="Times New Roman"/>
              </w:rPr>
            </w:pPr>
            <w:r>
              <w:rPr>
                <w:rFonts w:ascii="Arial" w:eastAsia="Times New Roman" w:hAnsi="Arial" w:cs="Arial"/>
                <w:color w:val="000000"/>
                <w:sz w:val="20"/>
                <w:szCs w:val="20"/>
              </w:rPr>
              <w:t>29.3 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109556"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F3E0592"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68794B"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02287C" w14:textId="77777777" w:rsidR="00000000" w:rsidRDefault="00C01C4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D7E8CD"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70ACC74"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45238A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547FEA" w14:textId="77777777" w:rsidR="00000000" w:rsidRDefault="00C01C43">
            <w:pPr>
              <w:jc w:val="right"/>
              <w:rPr>
                <w:rFonts w:eastAsia="Times New Roman"/>
              </w:rPr>
            </w:pPr>
            <w:r>
              <w:rPr>
                <w:rFonts w:ascii="Arial" w:eastAsia="Times New Roman" w:hAnsi="Arial" w:cs="Arial"/>
                <w:color w:val="000000"/>
                <w:sz w:val="20"/>
                <w:szCs w:val="20"/>
              </w:rPr>
              <w:t>106.3 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BC09A7" w14:textId="77777777" w:rsidR="00000000" w:rsidRDefault="00C01C43">
            <w:pPr>
              <w:jc w:val="right"/>
              <w:rPr>
                <w:rFonts w:eastAsia="Times New Roman"/>
              </w:rPr>
            </w:pPr>
          </w:p>
        </w:tc>
      </w:tr>
    </w:tbl>
    <w:p w14:paraId="3B347760" w14:textId="77777777" w:rsidR="00000000" w:rsidRDefault="00C01C43">
      <w:pPr>
        <w:jc w:val="both"/>
        <w:divId w:val="1771390914"/>
        <w:rPr>
          <w:rFonts w:eastAsia="Times New Roman"/>
        </w:rPr>
      </w:pPr>
      <w:r>
        <w:rPr>
          <w:rFonts w:ascii="Arial" w:eastAsia="Times New Roman" w:hAnsi="Arial" w:cs="Arial"/>
          <w:color w:val="000000"/>
          <w:sz w:val="20"/>
          <w:szCs w:val="20"/>
        </w:rPr>
        <w:t>At December 31, 2020 and 2019, we did not present any amounts gross within our Consolidated Balance Sheet where we had the right of setoff.</w:t>
      </w:r>
    </w:p>
    <w:p w14:paraId="66D47D7B" w14:textId="77777777" w:rsidR="00000000" w:rsidRDefault="00C01C43">
      <w:pPr>
        <w:jc w:val="both"/>
        <w:divId w:val="88548073"/>
        <w:rPr>
          <w:rFonts w:eastAsia="Times New Roman"/>
        </w:rPr>
      </w:pPr>
      <w:r>
        <w:rPr>
          <w:rFonts w:ascii="Arial" w:eastAsia="Times New Roman" w:hAnsi="Arial" w:cs="Arial"/>
          <w:b/>
          <w:bCs/>
          <w:color w:val="000000"/>
          <w:sz w:val="20"/>
          <w:szCs w:val="20"/>
        </w:rPr>
        <w:t>Concentration of Credit Risk</w:t>
      </w:r>
    </w:p>
    <w:p w14:paraId="00DECF33" w14:textId="77777777" w:rsidR="00000000" w:rsidRDefault="00C01C43">
      <w:pPr>
        <w:jc w:val="both"/>
        <w:rPr>
          <w:rFonts w:eastAsia="Times New Roman"/>
        </w:rPr>
      </w:pPr>
      <w:r>
        <w:rPr>
          <w:rFonts w:ascii="Arial" w:eastAsia="Times New Roman" w:hAnsi="Arial" w:cs="Arial"/>
          <w:color w:val="000000"/>
          <w:sz w:val="20"/>
          <w:szCs w:val="20"/>
        </w:rPr>
        <w:t>The individual over-the-counte</w:t>
      </w:r>
      <w:r>
        <w:rPr>
          <w:rFonts w:ascii="Arial" w:eastAsia="Times New Roman" w:hAnsi="Arial" w:cs="Arial"/>
          <w:color w:val="000000"/>
          <w:sz w:val="20"/>
          <w:szCs w:val="20"/>
        </w:rPr>
        <w:t>r ("OTC") counterparty exposure is managed within predetermined credit limits. It includes the use of cash-call margins when appropriate, thereby reducing the risk of significant nonperformance. At December 31, 2020, none of our OTC counterparties represen</w:t>
      </w:r>
      <w:r>
        <w:rPr>
          <w:rFonts w:ascii="Arial" w:eastAsia="Times New Roman" w:hAnsi="Arial" w:cs="Arial"/>
          <w:color w:val="000000"/>
          <w:sz w:val="20"/>
          <w:szCs w:val="20"/>
        </w:rPr>
        <w:t>ted over 10% of our total credit exposure to OTC derivative counterparties.</w:t>
      </w:r>
    </w:p>
    <w:p w14:paraId="7EBF8023" w14:textId="77777777" w:rsidR="00000000" w:rsidRDefault="00C01C43">
      <w:pPr>
        <w:jc w:val="both"/>
        <w:rPr>
          <w:rFonts w:eastAsia="Times New Roman"/>
        </w:rPr>
      </w:pPr>
    </w:p>
    <w:p w14:paraId="13A3A9CB" w14:textId="77777777" w:rsidR="00000000" w:rsidRDefault="00C01C43">
      <w:pPr>
        <w:jc w:val="center"/>
        <w:divId w:val="1754349441"/>
        <w:rPr>
          <w:rFonts w:eastAsia="Times New Roman"/>
        </w:rPr>
      </w:pPr>
      <w:r>
        <w:rPr>
          <w:rFonts w:ascii="Arial" w:eastAsia="Times New Roman" w:hAnsi="Arial" w:cs="Arial"/>
          <w:color w:val="000000"/>
          <w:sz w:val="16"/>
          <w:szCs w:val="16"/>
        </w:rPr>
        <w:t>84</w:t>
      </w:r>
    </w:p>
    <w:p w14:paraId="08B57F21" w14:textId="77777777" w:rsidR="00000000" w:rsidRDefault="00C01C43">
      <w:pPr>
        <w:rPr>
          <w:rFonts w:eastAsia="Times New Roman"/>
        </w:rPr>
      </w:pPr>
      <w:r>
        <w:rPr>
          <w:rFonts w:eastAsia="Times New Roman"/>
        </w:rPr>
        <w:pict w14:anchorId="03197976">
          <v:rect id="_x0000_i1113" style="width:0;height:1.5pt" o:hralign="center" o:hrstd="t" o:hr="t" fillcolor="#a0a0a0" stroked="f"/>
        </w:pict>
      </w:r>
    </w:p>
    <w:p w14:paraId="35DAD92D" w14:textId="77777777" w:rsidR="00000000" w:rsidRDefault="00C01C43">
      <w:pPr>
        <w:divId w:val="1295674054"/>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27CA5210" w14:textId="77777777" w:rsidR="00000000" w:rsidRDefault="00C01C43">
      <w:pPr>
        <w:jc w:val="both"/>
        <w:divId w:val="1460798806"/>
        <w:rPr>
          <w:rFonts w:eastAsia="Times New Roman"/>
        </w:rPr>
      </w:pPr>
      <w:r>
        <w:rPr>
          <w:rFonts w:ascii="Arial" w:eastAsia="Times New Roman" w:hAnsi="Arial" w:cs="Arial"/>
          <w:b/>
          <w:bCs/>
          <w:color w:val="000000"/>
          <w:sz w:val="20"/>
          <w:szCs w:val="20"/>
        </w:rPr>
        <w:t>Nonrecurring Fair Value Measurements</w:t>
      </w:r>
    </w:p>
    <w:p w14:paraId="17BB0AEE" w14:textId="77777777" w:rsidR="00000000" w:rsidRDefault="00C01C43">
      <w:pPr>
        <w:jc w:val="both"/>
        <w:divId w:val="907303617"/>
        <w:rPr>
          <w:rFonts w:eastAsia="Times New Roman"/>
        </w:rPr>
      </w:pPr>
      <w:r>
        <w:rPr>
          <w:rFonts w:ascii="Arial" w:eastAsia="Times New Roman" w:hAnsi="Arial" w:cs="Arial"/>
          <w:color w:val="000000"/>
          <w:sz w:val="20"/>
          <w:szCs w:val="20"/>
        </w:rPr>
        <w:t>In addition to assets and liabilities that are recorded at fair value on a recurring basis, during the four</w:t>
      </w:r>
      <w:r>
        <w:rPr>
          <w:rFonts w:ascii="Arial" w:eastAsia="Times New Roman" w:hAnsi="Arial" w:cs="Arial"/>
          <w:color w:val="000000"/>
          <w:sz w:val="20"/>
          <w:szCs w:val="20"/>
        </w:rPr>
        <w:t>th quarter, we measured and recorded at fair value an equity method investment as a result of an other-than-temporary impairment. In calculating fair value, we used a combination of an income and market approach. Under the market approach, we used a select</w:t>
      </w:r>
      <w:r>
        <w:rPr>
          <w:rFonts w:ascii="Arial" w:eastAsia="Times New Roman" w:hAnsi="Arial" w:cs="Arial"/>
          <w:color w:val="000000"/>
          <w:sz w:val="20"/>
          <w:szCs w:val="20"/>
        </w:rPr>
        <w:t>ion of global companies that compares with the investment. Under the income approach, we used estimated future cash flows based on information available to us. Due to the significance of unobservable inputs, the measurement is categorized in Level 3. The f</w:t>
      </w:r>
      <w:r>
        <w:rPr>
          <w:rFonts w:ascii="Arial" w:eastAsia="Times New Roman" w:hAnsi="Arial" w:cs="Arial"/>
          <w:color w:val="000000"/>
          <w:sz w:val="20"/>
          <w:szCs w:val="20"/>
        </w:rPr>
        <w:t>air values of nonrecurring assets or liabilities measured using Level 3 inputs were not material at December 31, 2020 and 2019, respectively.</w:t>
      </w:r>
    </w:p>
    <w:p w14:paraId="7D9EFB23" w14:textId="77777777" w:rsidR="00000000" w:rsidRDefault="00C01C43">
      <w:pPr>
        <w:divId w:val="790561014"/>
        <w:rPr>
          <w:rFonts w:eastAsia="Times New Roman"/>
        </w:rPr>
      </w:pPr>
    </w:p>
    <w:p w14:paraId="57157423" w14:textId="77777777" w:rsidR="00000000" w:rsidRDefault="00C01C43">
      <w:pPr>
        <w:jc w:val="both"/>
        <w:divId w:val="1517038466"/>
        <w:rPr>
          <w:rFonts w:eastAsia="Times New Roman"/>
        </w:rPr>
      </w:pPr>
      <w:r>
        <w:rPr>
          <w:rFonts w:ascii="Arial" w:eastAsia="Times New Roman" w:hAnsi="Arial" w:cs="Arial"/>
          <w:b/>
          <w:bCs/>
          <w:color w:val="000000"/>
          <w:sz w:val="20"/>
          <w:szCs w:val="20"/>
        </w:rPr>
        <w:t>13. Business Segments, Geographic Information and Major Customers</w:t>
      </w:r>
    </w:p>
    <w:p w14:paraId="6D153775" w14:textId="77777777" w:rsidR="00000000" w:rsidRDefault="00C01C43">
      <w:pPr>
        <w:jc w:val="both"/>
        <w:divId w:val="1074888399"/>
        <w:rPr>
          <w:rFonts w:eastAsia="Times New Roman"/>
        </w:rPr>
      </w:pPr>
      <w:r>
        <w:rPr>
          <w:rFonts w:ascii="Arial" w:eastAsia="Times New Roman" w:hAnsi="Arial" w:cs="Arial"/>
          <w:b/>
          <w:bCs/>
          <w:color w:val="000000"/>
          <w:sz w:val="20"/>
          <w:szCs w:val="20"/>
        </w:rPr>
        <w:t>Business Segments</w:t>
      </w:r>
    </w:p>
    <w:p w14:paraId="61FD6E0D" w14:textId="77777777" w:rsidR="00000000" w:rsidRDefault="00C01C43">
      <w:pPr>
        <w:jc w:val="both"/>
        <w:rPr>
          <w:rFonts w:eastAsia="Times New Roman"/>
        </w:rPr>
      </w:pPr>
      <w:r>
        <w:rPr>
          <w:rFonts w:ascii="Arial" w:eastAsia="Times New Roman" w:hAnsi="Arial" w:cs="Arial"/>
          <w:color w:val="000000"/>
          <w:sz w:val="20"/>
          <w:szCs w:val="20"/>
        </w:rPr>
        <w:t>We operate in three reportab</w:t>
      </w:r>
      <w:r>
        <w:rPr>
          <w:rFonts w:ascii="Arial" w:eastAsia="Times New Roman" w:hAnsi="Arial" w:cs="Arial"/>
          <w:color w:val="000000"/>
          <w:sz w:val="20"/>
          <w:szCs w:val="20"/>
        </w:rPr>
        <w:t xml:space="preserve">le segments consisting of aviation, land and marine. Corporate expenses are allocated to the segments based on usage, where possible, or on other factors according to the nature of the activity. Our operating segments are determined based on the different </w:t>
      </w:r>
      <w:r>
        <w:rPr>
          <w:rFonts w:ascii="Arial" w:eastAsia="Times New Roman" w:hAnsi="Arial" w:cs="Arial"/>
          <w:color w:val="000000"/>
          <w:sz w:val="20"/>
          <w:szCs w:val="20"/>
        </w:rPr>
        <w:t>markets in which we provide products and services, which are defined primarily by the customers and the products and services provided to those customers. Accordingly, our aviation, land and marine segments are organized based on the specific markets their</w:t>
      </w:r>
      <w:r>
        <w:rPr>
          <w:rFonts w:ascii="Arial" w:eastAsia="Times New Roman" w:hAnsi="Arial" w:cs="Arial"/>
          <w:color w:val="000000"/>
          <w:sz w:val="20"/>
          <w:szCs w:val="20"/>
        </w:rPr>
        <w:t xml:space="preserve"> functional business components serve, which are primarily businesses and governmental customers operating in those respective markets.</w:t>
      </w:r>
    </w:p>
    <w:p w14:paraId="5273CDF3" w14:textId="77777777" w:rsidR="00000000" w:rsidRDefault="00C01C43">
      <w:pPr>
        <w:ind w:firstLine="720"/>
        <w:divId w:val="116799234"/>
        <w:rPr>
          <w:rFonts w:eastAsia="Times New Roman"/>
        </w:rPr>
      </w:pPr>
    </w:p>
    <w:p w14:paraId="3FB0CC54" w14:textId="77777777" w:rsidR="00000000" w:rsidRDefault="00C01C43">
      <w:pPr>
        <w:jc w:val="both"/>
        <w:rPr>
          <w:rFonts w:eastAsia="Times New Roman"/>
        </w:rPr>
      </w:pPr>
      <w:r>
        <w:rPr>
          <w:rFonts w:ascii="Arial" w:eastAsia="Times New Roman" w:hAnsi="Arial" w:cs="Arial"/>
          <w:color w:val="000000"/>
          <w:sz w:val="20"/>
          <w:szCs w:val="20"/>
        </w:rPr>
        <w:t>In our aviation segment, we offer fuel and related products and services to major commercial airlines, second and thir</w:t>
      </w:r>
      <w:r>
        <w:rPr>
          <w:rFonts w:ascii="Arial" w:eastAsia="Times New Roman" w:hAnsi="Arial" w:cs="Arial"/>
          <w:color w:val="000000"/>
          <w:sz w:val="20"/>
          <w:szCs w:val="20"/>
        </w:rPr>
        <w:t>d-tier airlines, cargo carriers, regional and low cost carriers, airports, fixed based operators, corporate fleets, fractional operators, private aircraft. In addition, we supply products and services to U.S. and foreign government, intergovernmental and m</w:t>
      </w:r>
      <w:r>
        <w:rPr>
          <w:rFonts w:ascii="Arial" w:eastAsia="Times New Roman" w:hAnsi="Arial" w:cs="Arial"/>
          <w:color w:val="000000"/>
          <w:sz w:val="20"/>
          <w:szCs w:val="20"/>
        </w:rPr>
        <w:t>ilitary customers, such as the North Atlantic Treaty Organization ("NATO") and the U.S. Defense Logistics Agency.</w:t>
      </w:r>
    </w:p>
    <w:p w14:paraId="7C9B7F50" w14:textId="77777777" w:rsidR="00000000" w:rsidRDefault="00C01C43">
      <w:pPr>
        <w:ind w:firstLine="360"/>
        <w:jc w:val="both"/>
        <w:rPr>
          <w:rFonts w:eastAsia="Times New Roman"/>
        </w:rPr>
      </w:pPr>
    </w:p>
    <w:p w14:paraId="7470273B" w14:textId="77777777" w:rsidR="00000000" w:rsidRDefault="00C01C43">
      <w:pPr>
        <w:jc w:val="both"/>
        <w:rPr>
          <w:rFonts w:eastAsia="Times New Roman"/>
        </w:rPr>
      </w:pPr>
      <w:r>
        <w:rPr>
          <w:rFonts w:ascii="Arial" w:eastAsia="Times New Roman" w:hAnsi="Arial" w:cs="Arial"/>
          <w:color w:val="000000"/>
          <w:sz w:val="20"/>
          <w:szCs w:val="20"/>
        </w:rPr>
        <w:t>In our land segment, we offer fuel, lubricants, power and natural gas solutions through World Kinect, our global energy management brand, ou</w:t>
      </w:r>
      <w:r>
        <w:rPr>
          <w:rFonts w:ascii="Arial" w:eastAsia="Times New Roman" w:hAnsi="Arial" w:cs="Arial"/>
          <w:color w:val="000000"/>
          <w:sz w:val="20"/>
          <w:szCs w:val="20"/>
        </w:rPr>
        <w:t>r energy management services platform, and related products and services to customers including petroleum distributors operating in the land transportation market, retail petroleum operators, and industrial, commercial, residential and government customers</w:t>
      </w:r>
      <w:r>
        <w:rPr>
          <w:rFonts w:ascii="Arial" w:eastAsia="Times New Roman" w:hAnsi="Arial" w:cs="Arial"/>
          <w:color w:val="000000"/>
          <w:sz w:val="20"/>
          <w:szCs w:val="20"/>
        </w:rPr>
        <w:t>.</w:t>
      </w:r>
    </w:p>
    <w:p w14:paraId="0D9DF65A" w14:textId="77777777" w:rsidR="00000000" w:rsidRDefault="00C01C43">
      <w:pPr>
        <w:ind w:firstLine="360"/>
        <w:jc w:val="both"/>
        <w:rPr>
          <w:rFonts w:eastAsia="Times New Roman"/>
        </w:rPr>
      </w:pPr>
    </w:p>
    <w:p w14:paraId="00008E2D" w14:textId="77777777" w:rsidR="00000000" w:rsidRDefault="00C01C43">
      <w:pPr>
        <w:jc w:val="both"/>
        <w:rPr>
          <w:rFonts w:eastAsia="Times New Roman"/>
        </w:rPr>
      </w:pPr>
      <w:r>
        <w:rPr>
          <w:rFonts w:ascii="Arial" w:eastAsia="Times New Roman" w:hAnsi="Arial" w:cs="Arial"/>
          <w:color w:val="000000"/>
          <w:sz w:val="20"/>
          <w:szCs w:val="20"/>
        </w:rPr>
        <w:t>Our marine segment product and service offerings include fuel, lubricants and related products and services to a broad base of customers, including international container and tanker fleets, commercial cruise lines, yachts and time charter operators, o</w:t>
      </w:r>
      <w:r>
        <w:rPr>
          <w:rFonts w:ascii="Arial" w:eastAsia="Times New Roman" w:hAnsi="Arial" w:cs="Arial"/>
          <w:color w:val="000000"/>
          <w:sz w:val="20"/>
          <w:szCs w:val="20"/>
        </w:rPr>
        <w:t xml:space="preserve">ffshore rig owners and operators, the U.S. and foreign governments as well as other fuel suppliers. </w:t>
      </w:r>
    </w:p>
    <w:p w14:paraId="305AFFA8" w14:textId="77777777" w:rsidR="00000000" w:rsidRDefault="00C01C43">
      <w:pPr>
        <w:ind w:firstLine="360"/>
        <w:jc w:val="both"/>
        <w:rPr>
          <w:rFonts w:eastAsia="Times New Roman"/>
        </w:rPr>
      </w:pPr>
    </w:p>
    <w:p w14:paraId="2E0EA96C" w14:textId="77777777" w:rsidR="00000000" w:rsidRDefault="00C01C43">
      <w:pPr>
        <w:jc w:val="both"/>
        <w:rPr>
          <w:rFonts w:eastAsia="Times New Roman"/>
        </w:rPr>
      </w:pPr>
      <w:r>
        <w:rPr>
          <w:rFonts w:ascii="Arial" w:eastAsia="Times New Roman" w:hAnsi="Arial" w:cs="Arial"/>
          <w:color w:val="000000"/>
          <w:sz w:val="20"/>
          <w:szCs w:val="20"/>
        </w:rPr>
        <w:t>Within each of our segments, we may enter into derivative contracts to mitigate the risk of market price fluctuations and also to offer our customers fue</w:t>
      </w:r>
      <w:r>
        <w:rPr>
          <w:rFonts w:ascii="Arial" w:eastAsia="Times New Roman" w:hAnsi="Arial" w:cs="Arial"/>
          <w:color w:val="000000"/>
          <w:sz w:val="20"/>
          <w:szCs w:val="20"/>
        </w:rPr>
        <w:t>l pricing alternatives to meet their needs.</w:t>
      </w:r>
    </w:p>
    <w:p w14:paraId="03867040" w14:textId="77777777" w:rsidR="00000000" w:rsidRDefault="00C01C43">
      <w:pPr>
        <w:divId w:val="1420365092"/>
        <w:rPr>
          <w:rFonts w:eastAsia="Times New Roman"/>
        </w:rPr>
      </w:pPr>
    </w:p>
    <w:p w14:paraId="578CFCD3" w14:textId="77777777" w:rsidR="00000000" w:rsidRDefault="00C01C43">
      <w:pPr>
        <w:jc w:val="center"/>
        <w:divId w:val="658534181"/>
        <w:rPr>
          <w:rFonts w:eastAsia="Times New Roman"/>
        </w:rPr>
      </w:pPr>
      <w:r>
        <w:rPr>
          <w:rFonts w:ascii="Arial" w:eastAsia="Times New Roman" w:hAnsi="Arial" w:cs="Arial"/>
          <w:color w:val="000000"/>
          <w:sz w:val="16"/>
          <w:szCs w:val="16"/>
        </w:rPr>
        <w:t>85</w:t>
      </w:r>
    </w:p>
    <w:p w14:paraId="56CBFF9F" w14:textId="77777777" w:rsidR="00000000" w:rsidRDefault="00C01C43">
      <w:pPr>
        <w:rPr>
          <w:rFonts w:eastAsia="Times New Roman"/>
        </w:rPr>
      </w:pPr>
      <w:r>
        <w:rPr>
          <w:rFonts w:eastAsia="Times New Roman"/>
        </w:rPr>
        <w:pict w14:anchorId="03554417">
          <v:rect id="_x0000_i1114" style="width:0;height:1.5pt" o:hralign="center" o:hrstd="t" o:hr="t" fillcolor="#a0a0a0" stroked="f"/>
        </w:pict>
      </w:r>
    </w:p>
    <w:p w14:paraId="6B1A4FD9" w14:textId="77777777" w:rsidR="00000000" w:rsidRDefault="00C01C43">
      <w:pPr>
        <w:divId w:val="1081676695"/>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6B7636E8" w14:textId="77777777" w:rsidR="00000000" w:rsidRDefault="00C01C43">
      <w:pPr>
        <w:jc w:val="both"/>
        <w:divId w:val="366805363"/>
        <w:rPr>
          <w:rFonts w:eastAsia="Times New Roman"/>
        </w:rPr>
      </w:pPr>
      <w:r>
        <w:rPr>
          <w:rFonts w:ascii="Arial" w:eastAsia="Times New Roman" w:hAnsi="Arial" w:cs="Arial"/>
          <w:color w:val="000000"/>
          <w:sz w:val="20"/>
          <w:szCs w:val="20"/>
        </w:rPr>
        <w:t>Information concerning our revenue, gross profit and income from operations by segment is as f</w:t>
      </w:r>
      <w:r>
        <w:rPr>
          <w:rFonts w:ascii="Arial" w:eastAsia="Times New Roman" w:hAnsi="Arial" w:cs="Arial"/>
          <w:color w:val="000000"/>
          <w:sz w:val="20"/>
          <w:szCs w:val="20"/>
        </w:rPr>
        <w:t>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981"/>
        <w:gridCol w:w="37"/>
        <w:gridCol w:w="132"/>
        <w:gridCol w:w="835"/>
        <w:gridCol w:w="36"/>
        <w:gridCol w:w="36"/>
        <w:gridCol w:w="36"/>
        <w:gridCol w:w="36"/>
        <w:gridCol w:w="132"/>
        <w:gridCol w:w="835"/>
        <w:gridCol w:w="36"/>
        <w:gridCol w:w="36"/>
        <w:gridCol w:w="36"/>
        <w:gridCol w:w="36"/>
        <w:gridCol w:w="132"/>
        <w:gridCol w:w="835"/>
        <w:gridCol w:w="36"/>
      </w:tblGrid>
      <w:tr w:rsidR="00000000" w14:paraId="462DE9BF" w14:textId="77777777">
        <w:trPr>
          <w:divId w:val="583761494"/>
        </w:trPr>
        <w:tc>
          <w:tcPr>
            <w:tcW w:w="50" w:type="pct"/>
            <w:vAlign w:val="center"/>
            <w:hideMark/>
          </w:tcPr>
          <w:p w14:paraId="312564E2" w14:textId="77777777" w:rsidR="00000000" w:rsidRDefault="00C01C43">
            <w:pPr>
              <w:jc w:val="both"/>
              <w:rPr>
                <w:rFonts w:eastAsia="Times New Roman"/>
              </w:rPr>
            </w:pPr>
          </w:p>
        </w:tc>
        <w:tc>
          <w:tcPr>
            <w:tcW w:w="3141" w:type="pct"/>
            <w:vAlign w:val="center"/>
            <w:hideMark/>
          </w:tcPr>
          <w:p w14:paraId="029BFCA9" w14:textId="77777777" w:rsidR="00000000" w:rsidRDefault="00C01C43">
            <w:pPr>
              <w:rPr>
                <w:rFonts w:eastAsia="Times New Roman"/>
                <w:sz w:val="20"/>
                <w:szCs w:val="20"/>
              </w:rPr>
            </w:pPr>
          </w:p>
        </w:tc>
        <w:tc>
          <w:tcPr>
            <w:tcW w:w="5" w:type="pct"/>
            <w:vAlign w:val="center"/>
            <w:hideMark/>
          </w:tcPr>
          <w:p w14:paraId="3538889B" w14:textId="77777777" w:rsidR="00000000" w:rsidRDefault="00C01C43">
            <w:pPr>
              <w:rPr>
                <w:rFonts w:eastAsia="Times New Roman"/>
                <w:sz w:val="20"/>
                <w:szCs w:val="20"/>
              </w:rPr>
            </w:pPr>
          </w:p>
        </w:tc>
        <w:tc>
          <w:tcPr>
            <w:tcW w:w="50" w:type="pct"/>
            <w:vAlign w:val="center"/>
            <w:hideMark/>
          </w:tcPr>
          <w:p w14:paraId="54DD7867" w14:textId="77777777" w:rsidR="00000000" w:rsidRDefault="00C01C43">
            <w:pPr>
              <w:rPr>
                <w:rFonts w:eastAsia="Times New Roman"/>
                <w:sz w:val="20"/>
                <w:szCs w:val="20"/>
              </w:rPr>
            </w:pPr>
          </w:p>
        </w:tc>
        <w:tc>
          <w:tcPr>
            <w:tcW w:w="524" w:type="pct"/>
            <w:vAlign w:val="center"/>
            <w:hideMark/>
          </w:tcPr>
          <w:p w14:paraId="4F60ECF2" w14:textId="77777777" w:rsidR="00000000" w:rsidRDefault="00C01C43">
            <w:pPr>
              <w:rPr>
                <w:rFonts w:eastAsia="Times New Roman"/>
                <w:sz w:val="20"/>
                <w:szCs w:val="20"/>
              </w:rPr>
            </w:pPr>
          </w:p>
        </w:tc>
        <w:tc>
          <w:tcPr>
            <w:tcW w:w="5" w:type="pct"/>
            <w:vAlign w:val="center"/>
            <w:hideMark/>
          </w:tcPr>
          <w:p w14:paraId="546EDE79" w14:textId="77777777" w:rsidR="00000000" w:rsidRDefault="00C01C43">
            <w:pPr>
              <w:rPr>
                <w:rFonts w:eastAsia="Times New Roman"/>
                <w:sz w:val="20"/>
                <w:szCs w:val="20"/>
              </w:rPr>
            </w:pPr>
          </w:p>
        </w:tc>
        <w:tc>
          <w:tcPr>
            <w:tcW w:w="5" w:type="pct"/>
            <w:vAlign w:val="center"/>
            <w:hideMark/>
          </w:tcPr>
          <w:p w14:paraId="3C59AAA3" w14:textId="77777777" w:rsidR="00000000" w:rsidRDefault="00C01C43">
            <w:pPr>
              <w:rPr>
                <w:rFonts w:eastAsia="Times New Roman"/>
                <w:sz w:val="20"/>
                <w:szCs w:val="20"/>
              </w:rPr>
            </w:pPr>
          </w:p>
        </w:tc>
        <w:tc>
          <w:tcPr>
            <w:tcW w:w="26" w:type="pct"/>
            <w:vAlign w:val="center"/>
            <w:hideMark/>
          </w:tcPr>
          <w:p w14:paraId="56F41185" w14:textId="77777777" w:rsidR="00000000" w:rsidRDefault="00C01C43">
            <w:pPr>
              <w:rPr>
                <w:rFonts w:eastAsia="Times New Roman"/>
                <w:sz w:val="20"/>
                <w:szCs w:val="20"/>
              </w:rPr>
            </w:pPr>
          </w:p>
        </w:tc>
        <w:tc>
          <w:tcPr>
            <w:tcW w:w="5" w:type="pct"/>
            <w:vAlign w:val="center"/>
            <w:hideMark/>
          </w:tcPr>
          <w:p w14:paraId="6C510124" w14:textId="77777777" w:rsidR="00000000" w:rsidRDefault="00C01C43">
            <w:pPr>
              <w:rPr>
                <w:rFonts w:eastAsia="Times New Roman"/>
                <w:sz w:val="20"/>
                <w:szCs w:val="20"/>
              </w:rPr>
            </w:pPr>
          </w:p>
        </w:tc>
        <w:tc>
          <w:tcPr>
            <w:tcW w:w="50" w:type="pct"/>
            <w:vAlign w:val="center"/>
            <w:hideMark/>
          </w:tcPr>
          <w:p w14:paraId="7AA5BC82" w14:textId="77777777" w:rsidR="00000000" w:rsidRDefault="00C01C43">
            <w:pPr>
              <w:rPr>
                <w:rFonts w:eastAsia="Times New Roman"/>
                <w:sz w:val="20"/>
                <w:szCs w:val="20"/>
              </w:rPr>
            </w:pPr>
          </w:p>
        </w:tc>
        <w:tc>
          <w:tcPr>
            <w:tcW w:w="538" w:type="pct"/>
            <w:vAlign w:val="center"/>
            <w:hideMark/>
          </w:tcPr>
          <w:p w14:paraId="433DBFF0" w14:textId="77777777" w:rsidR="00000000" w:rsidRDefault="00C01C43">
            <w:pPr>
              <w:rPr>
                <w:rFonts w:eastAsia="Times New Roman"/>
                <w:sz w:val="20"/>
                <w:szCs w:val="20"/>
              </w:rPr>
            </w:pPr>
          </w:p>
        </w:tc>
        <w:tc>
          <w:tcPr>
            <w:tcW w:w="5" w:type="pct"/>
            <w:vAlign w:val="center"/>
            <w:hideMark/>
          </w:tcPr>
          <w:p w14:paraId="32F925A4" w14:textId="77777777" w:rsidR="00000000" w:rsidRDefault="00C01C43">
            <w:pPr>
              <w:rPr>
                <w:rFonts w:eastAsia="Times New Roman"/>
                <w:sz w:val="20"/>
                <w:szCs w:val="20"/>
              </w:rPr>
            </w:pPr>
          </w:p>
        </w:tc>
        <w:tc>
          <w:tcPr>
            <w:tcW w:w="5" w:type="pct"/>
            <w:vAlign w:val="center"/>
            <w:hideMark/>
          </w:tcPr>
          <w:p w14:paraId="1B25DB0C" w14:textId="77777777" w:rsidR="00000000" w:rsidRDefault="00C01C43">
            <w:pPr>
              <w:rPr>
                <w:rFonts w:eastAsia="Times New Roman"/>
                <w:sz w:val="20"/>
                <w:szCs w:val="20"/>
              </w:rPr>
            </w:pPr>
          </w:p>
        </w:tc>
        <w:tc>
          <w:tcPr>
            <w:tcW w:w="26" w:type="pct"/>
            <w:vAlign w:val="center"/>
            <w:hideMark/>
          </w:tcPr>
          <w:p w14:paraId="1651265E" w14:textId="77777777" w:rsidR="00000000" w:rsidRDefault="00C01C43">
            <w:pPr>
              <w:rPr>
                <w:rFonts w:eastAsia="Times New Roman"/>
                <w:sz w:val="20"/>
                <w:szCs w:val="20"/>
              </w:rPr>
            </w:pPr>
          </w:p>
        </w:tc>
        <w:tc>
          <w:tcPr>
            <w:tcW w:w="5" w:type="pct"/>
            <w:vAlign w:val="center"/>
            <w:hideMark/>
          </w:tcPr>
          <w:p w14:paraId="423990CE" w14:textId="77777777" w:rsidR="00000000" w:rsidRDefault="00C01C43">
            <w:pPr>
              <w:rPr>
                <w:rFonts w:eastAsia="Times New Roman"/>
                <w:sz w:val="20"/>
                <w:szCs w:val="20"/>
              </w:rPr>
            </w:pPr>
          </w:p>
        </w:tc>
        <w:tc>
          <w:tcPr>
            <w:tcW w:w="50" w:type="pct"/>
            <w:vAlign w:val="center"/>
            <w:hideMark/>
          </w:tcPr>
          <w:p w14:paraId="35751291" w14:textId="77777777" w:rsidR="00000000" w:rsidRDefault="00C01C43">
            <w:pPr>
              <w:rPr>
                <w:rFonts w:eastAsia="Times New Roman"/>
                <w:sz w:val="20"/>
                <w:szCs w:val="20"/>
              </w:rPr>
            </w:pPr>
          </w:p>
        </w:tc>
        <w:tc>
          <w:tcPr>
            <w:tcW w:w="502" w:type="pct"/>
            <w:vAlign w:val="center"/>
            <w:hideMark/>
          </w:tcPr>
          <w:p w14:paraId="67561572" w14:textId="77777777" w:rsidR="00000000" w:rsidRDefault="00C01C43">
            <w:pPr>
              <w:rPr>
                <w:rFonts w:eastAsia="Times New Roman"/>
                <w:sz w:val="20"/>
                <w:szCs w:val="20"/>
              </w:rPr>
            </w:pPr>
          </w:p>
        </w:tc>
        <w:tc>
          <w:tcPr>
            <w:tcW w:w="5" w:type="pct"/>
            <w:vAlign w:val="center"/>
            <w:hideMark/>
          </w:tcPr>
          <w:p w14:paraId="6C81AF45" w14:textId="77777777" w:rsidR="00000000" w:rsidRDefault="00C01C43">
            <w:pPr>
              <w:rPr>
                <w:rFonts w:eastAsia="Times New Roman"/>
                <w:sz w:val="20"/>
                <w:szCs w:val="20"/>
              </w:rPr>
            </w:pPr>
          </w:p>
        </w:tc>
      </w:tr>
      <w:tr w:rsidR="00000000" w14:paraId="4FE18587" w14:textId="77777777">
        <w:trPr>
          <w:divId w:val="583761494"/>
        </w:trPr>
        <w:tc>
          <w:tcPr>
            <w:tcW w:w="0" w:type="auto"/>
            <w:gridSpan w:val="3"/>
            <w:tcMar>
              <w:top w:w="0" w:type="dxa"/>
              <w:left w:w="20" w:type="dxa"/>
              <w:bottom w:w="0" w:type="dxa"/>
              <w:right w:w="20" w:type="dxa"/>
            </w:tcMar>
            <w:vAlign w:val="center"/>
            <w:hideMark/>
          </w:tcPr>
          <w:p w14:paraId="6A6D0BA4" w14:textId="77777777" w:rsidR="00000000" w:rsidRDefault="00C01C43">
            <w:pPr>
              <w:rPr>
                <w:rFonts w:eastAsia="Times New Roman"/>
                <w:sz w:val="20"/>
                <w:szCs w:val="20"/>
              </w:rPr>
            </w:pPr>
          </w:p>
        </w:tc>
        <w:tc>
          <w:tcPr>
            <w:tcW w:w="0" w:type="auto"/>
            <w:gridSpan w:val="15"/>
            <w:tcMar>
              <w:top w:w="30" w:type="dxa"/>
              <w:left w:w="20" w:type="dxa"/>
              <w:bottom w:w="30" w:type="dxa"/>
              <w:right w:w="20" w:type="dxa"/>
            </w:tcMar>
            <w:vAlign w:val="bottom"/>
            <w:hideMark/>
          </w:tcPr>
          <w:p w14:paraId="746488D0" w14:textId="77777777" w:rsidR="00000000" w:rsidRDefault="00C01C43">
            <w:pPr>
              <w:jc w:val="center"/>
              <w:rPr>
                <w:rFonts w:eastAsia="Times New Roman"/>
              </w:rPr>
            </w:pPr>
            <w:r>
              <w:rPr>
                <w:rFonts w:ascii="Arial" w:eastAsia="Times New Roman" w:hAnsi="Arial" w:cs="Arial"/>
                <w:b/>
                <w:bCs/>
                <w:color w:val="000000"/>
                <w:sz w:val="16"/>
                <w:szCs w:val="16"/>
              </w:rPr>
              <w:t>For the Year Ended December 31,</w:t>
            </w:r>
          </w:p>
        </w:tc>
      </w:tr>
      <w:tr w:rsidR="00000000" w14:paraId="0F801133" w14:textId="77777777">
        <w:trPr>
          <w:divId w:val="583761494"/>
        </w:trPr>
        <w:tc>
          <w:tcPr>
            <w:tcW w:w="0" w:type="auto"/>
            <w:gridSpan w:val="3"/>
            <w:tcMar>
              <w:top w:w="0" w:type="dxa"/>
              <w:left w:w="20" w:type="dxa"/>
              <w:bottom w:w="0" w:type="dxa"/>
              <w:right w:w="20" w:type="dxa"/>
            </w:tcMar>
            <w:vAlign w:val="center"/>
            <w:hideMark/>
          </w:tcPr>
          <w:p w14:paraId="19CC7086"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058E69"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73521CC"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5E45CE"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77A8E09A"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BD5C06"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049D8259" w14:textId="77777777">
        <w:trPr>
          <w:divId w:val="58376149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F207BCA" w14:textId="77777777" w:rsidR="00000000" w:rsidRDefault="00C01C43">
            <w:pPr>
              <w:rPr>
                <w:rFonts w:eastAsia="Times New Roman"/>
              </w:rPr>
            </w:pPr>
            <w:r>
              <w:rPr>
                <w:rFonts w:ascii="Arial" w:eastAsia="Times New Roman" w:hAnsi="Arial" w:cs="Arial"/>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39B8F1"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78D71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E113AF"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BCD121"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AFAD71" w14:textId="77777777" w:rsidR="00000000" w:rsidRDefault="00C01C43">
            <w:pPr>
              <w:rPr>
                <w:rFonts w:eastAsia="Times New Roman"/>
                <w:sz w:val="20"/>
                <w:szCs w:val="20"/>
              </w:rPr>
            </w:pPr>
          </w:p>
        </w:tc>
      </w:tr>
      <w:tr w:rsidR="00000000" w14:paraId="7764CED3" w14:textId="77777777">
        <w:trPr>
          <w:divId w:val="583761494"/>
        </w:trPr>
        <w:tc>
          <w:tcPr>
            <w:tcW w:w="0" w:type="auto"/>
            <w:gridSpan w:val="3"/>
            <w:shd w:val="clear" w:color="auto" w:fill="FFFFFF"/>
            <w:tcMar>
              <w:top w:w="30" w:type="dxa"/>
              <w:left w:w="20" w:type="dxa"/>
              <w:bottom w:w="30" w:type="dxa"/>
              <w:right w:w="20" w:type="dxa"/>
            </w:tcMar>
            <w:vAlign w:val="bottom"/>
            <w:hideMark/>
          </w:tcPr>
          <w:p w14:paraId="299E4FF3" w14:textId="77777777" w:rsidR="00000000" w:rsidRDefault="00C01C43">
            <w:pPr>
              <w:rPr>
                <w:rFonts w:eastAsia="Times New Roman"/>
              </w:rPr>
            </w:pPr>
            <w:r>
              <w:rPr>
                <w:rFonts w:ascii="Arial" w:eastAsia="Times New Roman" w:hAnsi="Arial" w:cs="Arial"/>
                <w:color w:val="000000"/>
                <w:sz w:val="20"/>
                <w:szCs w:val="20"/>
              </w:rPr>
              <w:t>Aviation segment</w:t>
            </w:r>
          </w:p>
        </w:tc>
        <w:tc>
          <w:tcPr>
            <w:tcW w:w="0" w:type="auto"/>
            <w:shd w:val="clear" w:color="auto" w:fill="FFFFFF"/>
            <w:tcMar>
              <w:top w:w="30" w:type="dxa"/>
              <w:left w:w="20" w:type="dxa"/>
              <w:bottom w:w="30" w:type="dxa"/>
              <w:right w:w="0" w:type="dxa"/>
            </w:tcMar>
            <w:vAlign w:val="bottom"/>
            <w:hideMark/>
          </w:tcPr>
          <w:p w14:paraId="396DD8EC"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6279FB0" w14:textId="77777777" w:rsidR="00000000" w:rsidRDefault="00C01C43">
            <w:pPr>
              <w:jc w:val="right"/>
              <w:rPr>
                <w:rFonts w:eastAsia="Times New Roman"/>
              </w:rPr>
            </w:pPr>
            <w:r>
              <w:rPr>
                <w:rFonts w:ascii="Arial" w:eastAsia="Times New Roman" w:hAnsi="Arial" w:cs="Arial"/>
                <w:color w:val="000000"/>
                <w:sz w:val="20"/>
                <w:szCs w:val="20"/>
              </w:rPr>
              <w:t>8,179.6 </w:t>
            </w:r>
          </w:p>
        </w:tc>
        <w:tc>
          <w:tcPr>
            <w:tcW w:w="0" w:type="auto"/>
            <w:shd w:val="clear" w:color="auto" w:fill="FFFFFF"/>
            <w:tcMar>
              <w:top w:w="30" w:type="dxa"/>
              <w:left w:w="0" w:type="dxa"/>
              <w:bottom w:w="30" w:type="dxa"/>
              <w:right w:w="20" w:type="dxa"/>
            </w:tcMar>
            <w:vAlign w:val="bottom"/>
            <w:hideMark/>
          </w:tcPr>
          <w:p w14:paraId="7926077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FA3D79"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151690"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50F505A" w14:textId="77777777" w:rsidR="00000000" w:rsidRDefault="00C01C43">
            <w:pPr>
              <w:jc w:val="right"/>
              <w:rPr>
                <w:rFonts w:eastAsia="Times New Roman"/>
              </w:rPr>
            </w:pPr>
            <w:r>
              <w:rPr>
                <w:rFonts w:ascii="Arial" w:eastAsia="Times New Roman" w:hAnsi="Arial" w:cs="Arial"/>
                <w:color w:val="000000"/>
                <w:sz w:val="20"/>
                <w:szCs w:val="20"/>
              </w:rPr>
              <w:t>18,479.5 </w:t>
            </w:r>
          </w:p>
        </w:tc>
        <w:tc>
          <w:tcPr>
            <w:tcW w:w="0" w:type="auto"/>
            <w:shd w:val="clear" w:color="auto" w:fill="FFFFFF"/>
            <w:tcMar>
              <w:top w:w="30" w:type="dxa"/>
              <w:left w:w="0" w:type="dxa"/>
              <w:bottom w:w="30" w:type="dxa"/>
              <w:right w:w="20" w:type="dxa"/>
            </w:tcMar>
            <w:vAlign w:val="bottom"/>
            <w:hideMark/>
          </w:tcPr>
          <w:p w14:paraId="178A75D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6CD0F"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859524"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BB72DA3" w14:textId="77777777" w:rsidR="00000000" w:rsidRDefault="00C01C43">
            <w:pPr>
              <w:jc w:val="right"/>
              <w:rPr>
                <w:rFonts w:eastAsia="Times New Roman"/>
              </w:rPr>
            </w:pPr>
            <w:r>
              <w:rPr>
                <w:rFonts w:ascii="Arial" w:eastAsia="Times New Roman" w:hAnsi="Arial" w:cs="Arial"/>
                <w:color w:val="000000"/>
                <w:sz w:val="20"/>
                <w:szCs w:val="20"/>
              </w:rPr>
              <w:t>19,119.7 </w:t>
            </w:r>
          </w:p>
        </w:tc>
        <w:tc>
          <w:tcPr>
            <w:tcW w:w="0" w:type="auto"/>
            <w:shd w:val="clear" w:color="auto" w:fill="FFFFFF"/>
            <w:tcMar>
              <w:top w:w="30" w:type="dxa"/>
              <w:left w:w="0" w:type="dxa"/>
              <w:bottom w:w="30" w:type="dxa"/>
              <w:right w:w="20" w:type="dxa"/>
            </w:tcMar>
            <w:vAlign w:val="bottom"/>
            <w:hideMark/>
          </w:tcPr>
          <w:p w14:paraId="3D5EC2D2" w14:textId="77777777" w:rsidR="00000000" w:rsidRDefault="00C01C43">
            <w:pPr>
              <w:jc w:val="right"/>
              <w:rPr>
                <w:rFonts w:eastAsia="Times New Roman"/>
              </w:rPr>
            </w:pPr>
          </w:p>
        </w:tc>
      </w:tr>
      <w:tr w:rsidR="00000000" w14:paraId="476D1444" w14:textId="77777777">
        <w:trPr>
          <w:divId w:val="583761494"/>
        </w:trPr>
        <w:tc>
          <w:tcPr>
            <w:tcW w:w="0" w:type="auto"/>
            <w:gridSpan w:val="3"/>
            <w:shd w:val="clear" w:color="auto" w:fill="CCEEFF"/>
            <w:tcMar>
              <w:top w:w="30" w:type="dxa"/>
              <w:left w:w="20" w:type="dxa"/>
              <w:bottom w:w="30" w:type="dxa"/>
              <w:right w:w="20" w:type="dxa"/>
            </w:tcMar>
            <w:vAlign w:val="bottom"/>
            <w:hideMark/>
          </w:tcPr>
          <w:p w14:paraId="715F5B00" w14:textId="77777777" w:rsidR="00000000" w:rsidRDefault="00C01C43">
            <w:pPr>
              <w:rPr>
                <w:rFonts w:eastAsia="Times New Roman"/>
              </w:rPr>
            </w:pPr>
            <w:r>
              <w:rPr>
                <w:rFonts w:ascii="Arial" w:eastAsia="Times New Roman" w:hAnsi="Arial" w:cs="Arial"/>
                <w:color w:val="000000"/>
                <w:sz w:val="20"/>
                <w:szCs w:val="20"/>
              </w:rPr>
              <w:t>Land segment</w:t>
            </w:r>
          </w:p>
        </w:tc>
        <w:tc>
          <w:tcPr>
            <w:tcW w:w="0" w:type="auto"/>
            <w:gridSpan w:val="2"/>
            <w:shd w:val="clear" w:color="auto" w:fill="CCEEFF"/>
            <w:tcMar>
              <w:top w:w="30" w:type="dxa"/>
              <w:left w:w="20" w:type="dxa"/>
              <w:bottom w:w="30" w:type="dxa"/>
              <w:right w:w="0" w:type="dxa"/>
            </w:tcMar>
            <w:vAlign w:val="bottom"/>
            <w:hideMark/>
          </w:tcPr>
          <w:p w14:paraId="723313FF" w14:textId="77777777" w:rsidR="00000000" w:rsidRDefault="00C01C43">
            <w:pPr>
              <w:jc w:val="right"/>
              <w:rPr>
                <w:rFonts w:eastAsia="Times New Roman"/>
              </w:rPr>
            </w:pPr>
            <w:r>
              <w:rPr>
                <w:rFonts w:ascii="Arial" w:eastAsia="Times New Roman" w:hAnsi="Arial" w:cs="Arial"/>
                <w:color w:val="000000"/>
                <w:sz w:val="20"/>
                <w:szCs w:val="20"/>
              </w:rPr>
              <w:t>6,663.1 </w:t>
            </w:r>
          </w:p>
        </w:tc>
        <w:tc>
          <w:tcPr>
            <w:tcW w:w="0" w:type="auto"/>
            <w:shd w:val="clear" w:color="auto" w:fill="CCEEFF"/>
            <w:tcMar>
              <w:top w:w="30" w:type="dxa"/>
              <w:left w:w="0" w:type="dxa"/>
              <w:bottom w:w="30" w:type="dxa"/>
              <w:right w:w="20" w:type="dxa"/>
            </w:tcMar>
            <w:vAlign w:val="bottom"/>
            <w:hideMark/>
          </w:tcPr>
          <w:p w14:paraId="2C93075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8E39A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467E5B" w14:textId="77777777" w:rsidR="00000000" w:rsidRDefault="00C01C43">
            <w:pPr>
              <w:jc w:val="right"/>
              <w:rPr>
                <w:rFonts w:eastAsia="Times New Roman"/>
              </w:rPr>
            </w:pPr>
            <w:r>
              <w:rPr>
                <w:rFonts w:ascii="Arial" w:eastAsia="Times New Roman" w:hAnsi="Arial" w:cs="Arial"/>
                <w:color w:val="000000"/>
                <w:sz w:val="20"/>
                <w:szCs w:val="20"/>
              </w:rPr>
              <w:t>10,280.9 </w:t>
            </w:r>
          </w:p>
        </w:tc>
        <w:tc>
          <w:tcPr>
            <w:tcW w:w="0" w:type="auto"/>
            <w:shd w:val="clear" w:color="auto" w:fill="CCEEFF"/>
            <w:tcMar>
              <w:top w:w="30" w:type="dxa"/>
              <w:left w:w="0" w:type="dxa"/>
              <w:bottom w:w="30" w:type="dxa"/>
              <w:right w:w="20" w:type="dxa"/>
            </w:tcMar>
            <w:vAlign w:val="bottom"/>
            <w:hideMark/>
          </w:tcPr>
          <w:p w14:paraId="616A35D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A119BB"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64E87C" w14:textId="77777777" w:rsidR="00000000" w:rsidRDefault="00C01C43">
            <w:pPr>
              <w:jc w:val="right"/>
              <w:rPr>
                <w:rFonts w:eastAsia="Times New Roman"/>
              </w:rPr>
            </w:pPr>
            <w:r>
              <w:rPr>
                <w:rFonts w:ascii="Arial" w:eastAsia="Times New Roman" w:hAnsi="Arial" w:cs="Arial"/>
                <w:color w:val="000000"/>
                <w:sz w:val="20"/>
                <w:szCs w:val="20"/>
              </w:rPr>
              <w:t>11,381.1 </w:t>
            </w:r>
          </w:p>
        </w:tc>
        <w:tc>
          <w:tcPr>
            <w:tcW w:w="0" w:type="auto"/>
            <w:shd w:val="clear" w:color="auto" w:fill="CCEEFF"/>
            <w:tcMar>
              <w:top w:w="30" w:type="dxa"/>
              <w:left w:w="0" w:type="dxa"/>
              <w:bottom w:w="30" w:type="dxa"/>
              <w:right w:w="20" w:type="dxa"/>
            </w:tcMar>
            <w:vAlign w:val="bottom"/>
            <w:hideMark/>
          </w:tcPr>
          <w:p w14:paraId="6F37B6CF" w14:textId="77777777" w:rsidR="00000000" w:rsidRDefault="00C01C43">
            <w:pPr>
              <w:jc w:val="right"/>
              <w:rPr>
                <w:rFonts w:eastAsia="Times New Roman"/>
              </w:rPr>
            </w:pPr>
          </w:p>
        </w:tc>
      </w:tr>
      <w:tr w:rsidR="00000000" w14:paraId="0AC79036" w14:textId="77777777">
        <w:trPr>
          <w:divId w:val="583761494"/>
        </w:trPr>
        <w:tc>
          <w:tcPr>
            <w:tcW w:w="0" w:type="auto"/>
            <w:gridSpan w:val="3"/>
            <w:shd w:val="clear" w:color="auto" w:fill="FFFFFF"/>
            <w:tcMar>
              <w:top w:w="30" w:type="dxa"/>
              <w:left w:w="20" w:type="dxa"/>
              <w:bottom w:w="30" w:type="dxa"/>
              <w:right w:w="20" w:type="dxa"/>
            </w:tcMar>
            <w:vAlign w:val="bottom"/>
            <w:hideMark/>
          </w:tcPr>
          <w:p w14:paraId="3EAF524A" w14:textId="77777777" w:rsidR="00000000" w:rsidRDefault="00C01C43">
            <w:pPr>
              <w:rPr>
                <w:rFonts w:eastAsia="Times New Roman"/>
              </w:rPr>
            </w:pPr>
            <w:r>
              <w:rPr>
                <w:rFonts w:ascii="Arial" w:eastAsia="Times New Roman" w:hAnsi="Arial" w:cs="Arial"/>
                <w:color w:val="000000"/>
                <w:sz w:val="20"/>
                <w:szCs w:val="20"/>
              </w:rPr>
              <w:t>Marine segment</w:t>
            </w:r>
          </w:p>
        </w:tc>
        <w:tc>
          <w:tcPr>
            <w:tcW w:w="0" w:type="auto"/>
            <w:gridSpan w:val="2"/>
            <w:shd w:val="clear" w:color="auto" w:fill="FFFFFF"/>
            <w:tcMar>
              <w:top w:w="30" w:type="dxa"/>
              <w:left w:w="20" w:type="dxa"/>
              <w:bottom w:w="30" w:type="dxa"/>
              <w:right w:w="0" w:type="dxa"/>
            </w:tcMar>
            <w:vAlign w:val="bottom"/>
            <w:hideMark/>
          </w:tcPr>
          <w:p w14:paraId="66F4B5B3" w14:textId="77777777" w:rsidR="00000000" w:rsidRDefault="00C01C43">
            <w:pPr>
              <w:jc w:val="right"/>
              <w:rPr>
                <w:rFonts w:eastAsia="Times New Roman"/>
              </w:rPr>
            </w:pPr>
            <w:r>
              <w:rPr>
                <w:rFonts w:ascii="Arial" w:eastAsia="Times New Roman" w:hAnsi="Arial" w:cs="Arial"/>
                <w:color w:val="000000"/>
                <w:sz w:val="20"/>
                <w:szCs w:val="20"/>
              </w:rPr>
              <w:t>5,515.7 </w:t>
            </w:r>
          </w:p>
        </w:tc>
        <w:tc>
          <w:tcPr>
            <w:tcW w:w="0" w:type="auto"/>
            <w:shd w:val="clear" w:color="auto" w:fill="FFFFFF"/>
            <w:tcMar>
              <w:top w:w="30" w:type="dxa"/>
              <w:left w:w="0" w:type="dxa"/>
              <w:bottom w:w="30" w:type="dxa"/>
              <w:right w:w="20" w:type="dxa"/>
            </w:tcMar>
            <w:vAlign w:val="bottom"/>
            <w:hideMark/>
          </w:tcPr>
          <w:p w14:paraId="54EB858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6F067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576BA1" w14:textId="77777777" w:rsidR="00000000" w:rsidRDefault="00C01C43">
            <w:pPr>
              <w:jc w:val="right"/>
              <w:rPr>
                <w:rFonts w:eastAsia="Times New Roman"/>
              </w:rPr>
            </w:pPr>
            <w:r>
              <w:rPr>
                <w:rFonts w:ascii="Arial" w:eastAsia="Times New Roman" w:hAnsi="Arial" w:cs="Arial"/>
                <w:color w:val="000000"/>
                <w:sz w:val="20"/>
                <w:szCs w:val="20"/>
              </w:rPr>
              <w:t>8,058.5 </w:t>
            </w:r>
          </w:p>
        </w:tc>
        <w:tc>
          <w:tcPr>
            <w:tcW w:w="0" w:type="auto"/>
            <w:shd w:val="clear" w:color="auto" w:fill="FFFFFF"/>
            <w:tcMar>
              <w:top w:w="30" w:type="dxa"/>
              <w:left w:w="0" w:type="dxa"/>
              <w:bottom w:w="30" w:type="dxa"/>
              <w:right w:w="20" w:type="dxa"/>
            </w:tcMar>
            <w:vAlign w:val="bottom"/>
            <w:hideMark/>
          </w:tcPr>
          <w:p w14:paraId="74C8D10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72B8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1E4A0A" w14:textId="77777777" w:rsidR="00000000" w:rsidRDefault="00C01C43">
            <w:pPr>
              <w:jc w:val="right"/>
              <w:rPr>
                <w:rFonts w:eastAsia="Times New Roman"/>
              </w:rPr>
            </w:pPr>
            <w:r>
              <w:rPr>
                <w:rFonts w:ascii="Arial" w:eastAsia="Times New Roman" w:hAnsi="Arial" w:cs="Arial"/>
                <w:color w:val="000000"/>
                <w:sz w:val="20"/>
                <w:szCs w:val="20"/>
              </w:rPr>
              <w:t>9,249.5 </w:t>
            </w:r>
          </w:p>
        </w:tc>
        <w:tc>
          <w:tcPr>
            <w:tcW w:w="0" w:type="auto"/>
            <w:shd w:val="clear" w:color="auto" w:fill="FFFFFF"/>
            <w:tcMar>
              <w:top w:w="30" w:type="dxa"/>
              <w:left w:w="0" w:type="dxa"/>
              <w:bottom w:w="30" w:type="dxa"/>
              <w:right w:w="20" w:type="dxa"/>
            </w:tcMar>
            <w:vAlign w:val="bottom"/>
            <w:hideMark/>
          </w:tcPr>
          <w:p w14:paraId="2A0B339B" w14:textId="77777777" w:rsidR="00000000" w:rsidRDefault="00C01C43">
            <w:pPr>
              <w:jc w:val="right"/>
              <w:rPr>
                <w:rFonts w:eastAsia="Times New Roman"/>
              </w:rPr>
            </w:pPr>
          </w:p>
        </w:tc>
      </w:tr>
      <w:tr w:rsidR="00000000" w14:paraId="26E196C7" w14:textId="77777777">
        <w:trPr>
          <w:divId w:val="583761494"/>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F4255C"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4A07A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1535BD" w14:textId="77777777" w:rsidR="00000000" w:rsidRDefault="00C01C43">
            <w:pPr>
              <w:jc w:val="right"/>
              <w:rPr>
                <w:rFonts w:eastAsia="Times New Roman"/>
              </w:rPr>
            </w:pPr>
            <w:r>
              <w:rPr>
                <w:rFonts w:ascii="Arial" w:eastAsia="Times New Roman" w:hAnsi="Arial" w:cs="Arial"/>
                <w:color w:val="000000"/>
                <w:sz w:val="20"/>
                <w:szCs w:val="20"/>
              </w:rPr>
              <w:t>20,358.3 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BB6ED8"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9856D8"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48786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4002C0" w14:textId="77777777" w:rsidR="00000000" w:rsidRDefault="00C01C43">
            <w:pPr>
              <w:jc w:val="right"/>
              <w:rPr>
                <w:rFonts w:eastAsia="Times New Roman"/>
              </w:rPr>
            </w:pPr>
            <w:r>
              <w:rPr>
                <w:rFonts w:ascii="Arial" w:eastAsia="Times New Roman" w:hAnsi="Arial" w:cs="Arial"/>
                <w:color w:val="000000"/>
                <w:sz w:val="20"/>
                <w:szCs w:val="20"/>
              </w:rPr>
              <w:t>36,819.0 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B658D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7B08D1"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0E3C8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34D198" w14:textId="77777777" w:rsidR="00000000" w:rsidRDefault="00C01C43">
            <w:pPr>
              <w:jc w:val="right"/>
              <w:rPr>
                <w:rFonts w:eastAsia="Times New Roman"/>
              </w:rPr>
            </w:pPr>
            <w:r>
              <w:rPr>
                <w:rFonts w:ascii="Arial" w:eastAsia="Times New Roman" w:hAnsi="Arial" w:cs="Arial"/>
                <w:color w:val="000000"/>
                <w:sz w:val="20"/>
                <w:szCs w:val="20"/>
              </w:rPr>
              <w:t>39,750.3 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59AA28" w14:textId="77777777" w:rsidR="00000000" w:rsidRDefault="00C01C43">
            <w:pPr>
              <w:jc w:val="right"/>
              <w:rPr>
                <w:rFonts w:eastAsia="Times New Roman"/>
              </w:rPr>
            </w:pPr>
          </w:p>
        </w:tc>
      </w:tr>
      <w:tr w:rsidR="00000000" w14:paraId="6AEB25C8" w14:textId="77777777">
        <w:trPr>
          <w:divId w:val="583761494"/>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7620664" w14:textId="77777777" w:rsidR="00000000" w:rsidRDefault="00C01C43">
            <w:pPr>
              <w:rPr>
                <w:rFonts w:eastAsia="Times New Roman"/>
              </w:rPr>
            </w:pPr>
            <w:r>
              <w:rPr>
                <w:rFonts w:ascii="Arial" w:eastAsia="Times New Roman" w:hAnsi="Arial" w:cs="Arial"/>
                <w:color w:val="000000"/>
                <w:sz w:val="20"/>
                <w:szCs w:val="20"/>
              </w:rPr>
              <w:t>Gross profit: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69C09B6" w14:textId="77777777" w:rsidR="00000000" w:rsidRDefault="00C01C4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2D6DB8"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D72D8B"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FB1786"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C223FB" w14:textId="77777777" w:rsidR="00000000" w:rsidRDefault="00C01C43">
            <w:pPr>
              <w:rPr>
                <w:rFonts w:eastAsia="Times New Roman"/>
                <w:sz w:val="20"/>
                <w:szCs w:val="20"/>
              </w:rPr>
            </w:pPr>
          </w:p>
        </w:tc>
      </w:tr>
      <w:tr w:rsidR="00000000" w14:paraId="4B7781EC" w14:textId="77777777">
        <w:trPr>
          <w:divId w:val="583761494"/>
        </w:trPr>
        <w:tc>
          <w:tcPr>
            <w:tcW w:w="0" w:type="auto"/>
            <w:gridSpan w:val="3"/>
            <w:shd w:val="clear" w:color="auto" w:fill="CCEEFF"/>
            <w:tcMar>
              <w:top w:w="30" w:type="dxa"/>
              <w:left w:w="20" w:type="dxa"/>
              <w:bottom w:w="30" w:type="dxa"/>
              <w:right w:w="20" w:type="dxa"/>
            </w:tcMar>
            <w:vAlign w:val="bottom"/>
            <w:hideMark/>
          </w:tcPr>
          <w:p w14:paraId="5A155314" w14:textId="77777777" w:rsidR="00000000" w:rsidRDefault="00C01C43">
            <w:pPr>
              <w:rPr>
                <w:rFonts w:eastAsia="Times New Roman"/>
              </w:rPr>
            </w:pPr>
            <w:r>
              <w:rPr>
                <w:rFonts w:ascii="Arial" w:eastAsia="Times New Roman" w:hAnsi="Arial" w:cs="Arial"/>
                <w:color w:val="000000"/>
                <w:sz w:val="20"/>
                <w:szCs w:val="20"/>
              </w:rPr>
              <w:t>Aviation segment</w:t>
            </w:r>
          </w:p>
        </w:tc>
        <w:tc>
          <w:tcPr>
            <w:tcW w:w="0" w:type="auto"/>
            <w:shd w:val="clear" w:color="auto" w:fill="CCEEFF"/>
            <w:tcMar>
              <w:top w:w="30" w:type="dxa"/>
              <w:left w:w="20" w:type="dxa"/>
              <w:bottom w:w="30" w:type="dxa"/>
              <w:right w:w="0" w:type="dxa"/>
            </w:tcMar>
            <w:vAlign w:val="bottom"/>
            <w:hideMark/>
          </w:tcPr>
          <w:p w14:paraId="7F2115FB"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35537B8" w14:textId="77777777" w:rsidR="00000000" w:rsidRDefault="00C01C43">
            <w:pPr>
              <w:jc w:val="right"/>
              <w:rPr>
                <w:rFonts w:eastAsia="Times New Roman"/>
              </w:rPr>
            </w:pPr>
            <w:r>
              <w:rPr>
                <w:rFonts w:ascii="Arial" w:eastAsia="Times New Roman" w:hAnsi="Arial" w:cs="Arial"/>
                <w:color w:val="000000"/>
                <w:sz w:val="20"/>
                <w:szCs w:val="20"/>
              </w:rPr>
              <w:t>352.9 </w:t>
            </w:r>
          </w:p>
        </w:tc>
        <w:tc>
          <w:tcPr>
            <w:tcW w:w="0" w:type="auto"/>
            <w:shd w:val="clear" w:color="auto" w:fill="CCEEFF"/>
            <w:tcMar>
              <w:top w:w="30" w:type="dxa"/>
              <w:left w:w="0" w:type="dxa"/>
              <w:bottom w:w="30" w:type="dxa"/>
              <w:right w:w="20" w:type="dxa"/>
            </w:tcMar>
            <w:vAlign w:val="bottom"/>
            <w:hideMark/>
          </w:tcPr>
          <w:p w14:paraId="6747594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398F14"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632BD45"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5393D316" w14:textId="77777777" w:rsidR="00000000" w:rsidRDefault="00C01C43">
            <w:pPr>
              <w:jc w:val="right"/>
              <w:rPr>
                <w:rFonts w:eastAsia="Times New Roman"/>
              </w:rPr>
            </w:pPr>
            <w:r>
              <w:rPr>
                <w:rFonts w:ascii="Arial" w:eastAsia="Times New Roman" w:hAnsi="Arial" w:cs="Arial"/>
                <w:color w:val="000000"/>
                <w:sz w:val="20"/>
                <w:szCs w:val="20"/>
              </w:rPr>
              <w:t>551.6 </w:t>
            </w:r>
          </w:p>
        </w:tc>
        <w:tc>
          <w:tcPr>
            <w:tcW w:w="0" w:type="auto"/>
            <w:shd w:val="clear" w:color="auto" w:fill="CCEEFF"/>
            <w:tcMar>
              <w:top w:w="30" w:type="dxa"/>
              <w:left w:w="0" w:type="dxa"/>
              <w:bottom w:w="30" w:type="dxa"/>
              <w:right w:w="20" w:type="dxa"/>
            </w:tcMar>
            <w:vAlign w:val="bottom"/>
            <w:hideMark/>
          </w:tcPr>
          <w:p w14:paraId="6915D6B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B47FC"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653AAE"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6E88FE86" w14:textId="77777777" w:rsidR="00000000" w:rsidRDefault="00C01C43">
            <w:pPr>
              <w:jc w:val="right"/>
              <w:rPr>
                <w:rFonts w:eastAsia="Times New Roman"/>
              </w:rPr>
            </w:pPr>
            <w:r>
              <w:rPr>
                <w:rFonts w:ascii="Arial" w:eastAsia="Times New Roman" w:hAnsi="Arial" w:cs="Arial"/>
                <w:color w:val="000000"/>
                <w:sz w:val="20"/>
                <w:szCs w:val="20"/>
              </w:rPr>
              <w:t>507.8 </w:t>
            </w:r>
          </w:p>
        </w:tc>
        <w:tc>
          <w:tcPr>
            <w:tcW w:w="0" w:type="auto"/>
            <w:shd w:val="clear" w:color="auto" w:fill="CCEEFF"/>
            <w:tcMar>
              <w:top w:w="30" w:type="dxa"/>
              <w:left w:w="0" w:type="dxa"/>
              <w:bottom w:w="30" w:type="dxa"/>
              <w:right w:w="20" w:type="dxa"/>
            </w:tcMar>
            <w:vAlign w:val="bottom"/>
            <w:hideMark/>
          </w:tcPr>
          <w:p w14:paraId="1899484D" w14:textId="77777777" w:rsidR="00000000" w:rsidRDefault="00C01C43">
            <w:pPr>
              <w:jc w:val="right"/>
              <w:rPr>
                <w:rFonts w:eastAsia="Times New Roman"/>
              </w:rPr>
            </w:pPr>
          </w:p>
        </w:tc>
      </w:tr>
      <w:tr w:rsidR="00000000" w14:paraId="0FCE7140" w14:textId="77777777">
        <w:trPr>
          <w:divId w:val="583761494"/>
        </w:trPr>
        <w:tc>
          <w:tcPr>
            <w:tcW w:w="0" w:type="auto"/>
            <w:gridSpan w:val="3"/>
            <w:shd w:val="clear" w:color="auto" w:fill="FFFFFF"/>
            <w:tcMar>
              <w:top w:w="30" w:type="dxa"/>
              <w:left w:w="20" w:type="dxa"/>
              <w:bottom w:w="30" w:type="dxa"/>
              <w:right w:w="20" w:type="dxa"/>
            </w:tcMar>
            <w:vAlign w:val="bottom"/>
            <w:hideMark/>
          </w:tcPr>
          <w:p w14:paraId="42C00D4E" w14:textId="77777777" w:rsidR="00000000" w:rsidRDefault="00C01C43">
            <w:pPr>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14:paraId="5CCB499E" w14:textId="77777777" w:rsidR="00000000" w:rsidRDefault="00C01C43">
            <w:pPr>
              <w:jc w:val="right"/>
              <w:rPr>
                <w:rFonts w:eastAsia="Times New Roman"/>
              </w:rPr>
            </w:pPr>
            <w:r>
              <w:rPr>
                <w:rFonts w:ascii="Arial" w:eastAsia="Times New Roman" w:hAnsi="Arial" w:cs="Arial"/>
                <w:color w:val="000000"/>
                <w:sz w:val="20"/>
                <w:szCs w:val="20"/>
              </w:rPr>
              <w:t>347.6 </w:t>
            </w:r>
          </w:p>
        </w:tc>
        <w:tc>
          <w:tcPr>
            <w:tcW w:w="0" w:type="auto"/>
            <w:shd w:val="clear" w:color="auto" w:fill="FFFFFF"/>
            <w:tcMar>
              <w:top w:w="30" w:type="dxa"/>
              <w:left w:w="0" w:type="dxa"/>
              <w:bottom w:w="30" w:type="dxa"/>
              <w:right w:w="20" w:type="dxa"/>
            </w:tcMar>
            <w:vAlign w:val="bottom"/>
            <w:hideMark/>
          </w:tcPr>
          <w:p w14:paraId="7DD41BE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3F16C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5AA4FF" w14:textId="77777777" w:rsidR="00000000" w:rsidRDefault="00C01C43">
            <w:pPr>
              <w:jc w:val="right"/>
              <w:rPr>
                <w:rFonts w:eastAsia="Times New Roman"/>
              </w:rPr>
            </w:pPr>
            <w:r>
              <w:rPr>
                <w:rFonts w:ascii="Arial" w:eastAsia="Times New Roman" w:hAnsi="Arial" w:cs="Arial"/>
                <w:color w:val="000000"/>
                <w:sz w:val="20"/>
                <w:szCs w:val="20"/>
              </w:rPr>
              <w:t>378.9 </w:t>
            </w:r>
          </w:p>
        </w:tc>
        <w:tc>
          <w:tcPr>
            <w:tcW w:w="0" w:type="auto"/>
            <w:shd w:val="clear" w:color="auto" w:fill="FFFFFF"/>
            <w:tcMar>
              <w:top w:w="30" w:type="dxa"/>
              <w:left w:w="0" w:type="dxa"/>
              <w:bottom w:w="30" w:type="dxa"/>
              <w:right w:w="20" w:type="dxa"/>
            </w:tcMar>
            <w:vAlign w:val="bottom"/>
            <w:hideMark/>
          </w:tcPr>
          <w:p w14:paraId="18787B0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5158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E70521" w14:textId="77777777" w:rsidR="00000000" w:rsidRDefault="00C01C43">
            <w:pPr>
              <w:jc w:val="right"/>
              <w:rPr>
                <w:rFonts w:eastAsia="Times New Roman"/>
              </w:rPr>
            </w:pPr>
            <w:r>
              <w:rPr>
                <w:rFonts w:ascii="Arial" w:eastAsia="Times New Roman" w:hAnsi="Arial" w:cs="Arial"/>
                <w:color w:val="000000"/>
                <w:sz w:val="20"/>
                <w:szCs w:val="20"/>
              </w:rPr>
              <w:t>364.9 </w:t>
            </w:r>
          </w:p>
        </w:tc>
        <w:tc>
          <w:tcPr>
            <w:tcW w:w="0" w:type="auto"/>
            <w:shd w:val="clear" w:color="auto" w:fill="FFFFFF"/>
            <w:tcMar>
              <w:top w:w="30" w:type="dxa"/>
              <w:left w:w="0" w:type="dxa"/>
              <w:bottom w:w="30" w:type="dxa"/>
              <w:right w:w="20" w:type="dxa"/>
            </w:tcMar>
            <w:vAlign w:val="bottom"/>
            <w:hideMark/>
          </w:tcPr>
          <w:p w14:paraId="39BC81DB" w14:textId="77777777" w:rsidR="00000000" w:rsidRDefault="00C01C43">
            <w:pPr>
              <w:jc w:val="right"/>
              <w:rPr>
                <w:rFonts w:eastAsia="Times New Roman"/>
              </w:rPr>
            </w:pPr>
          </w:p>
        </w:tc>
      </w:tr>
      <w:tr w:rsidR="00000000" w14:paraId="32D48170" w14:textId="77777777">
        <w:trPr>
          <w:divId w:val="583761494"/>
        </w:trPr>
        <w:tc>
          <w:tcPr>
            <w:tcW w:w="0" w:type="auto"/>
            <w:gridSpan w:val="3"/>
            <w:shd w:val="clear" w:color="auto" w:fill="CCEEFF"/>
            <w:tcMar>
              <w:top w:w="30" w:type="dxa"/>
              <w:left w:w="20" w:type="dxa"/>
              <w:bottom w:w="30" w:type="dxa"/>
              <w:right w:w="20" w:type="dxa"/>
            </w:tcMar>
            <w:vAlign w:val="bottom"/>
            <w:hideMark/>
          </w:tcPr>
          <w:p w14:paraId="7DDB5626" w14:textId="77777777" w:rsidR="00000000" w:rsidRDefault="00C01C43">
            <w:pPr>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14:paraId="6284EEF5" w14:textId="77777777" w:rsidR="00000000" w:rsidRDefault="00C01C43">
            <w:pPr>
              <w:jc w:val="right"/>
              <w:rPr>
                <w:rFonts w:eastAsia="Times New Roman"/>
              </w:rPr>
            </w:pPr>
            <w:r>
              <w:rPr>
                <w:rFonts w:ascii="Arial" w:eastAsia="Times New Roman" w:hAnsi="Arial" w:cs="Arial"/>
                <w:color w:val="000000"/>
                <w:sz w:val="20"/>
                <w:szCs w:val="20"/>
              </w:rPr>
              <w:t>151.4 </w:t>
            </w:r>
          </w:p>
        </w:tc>
        <w:tc>
          <w:tcPr>
            <w:tcW w:w="0" w:type="auto"/>
            <w:shd w:val="clear" w:color="auto" w:fill="CCEEFF"/>
            <w:tcMar>
              <w:top w:w="30" w:type="dxa"/>
              <w:left w:w="0" w:type="dxa"/>
              <w:bottom w:w="30" w:type="dxa"/>
              <w:right w:w="20" w:type="dxa"/>
            </w:tcMar>
            <w:vAlign w:val="bottom"/>
            <w:hideMark/>
          </w:tcPr>
          <w:p w14:paraId="20D0104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D8DD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0782B1" w14:textId="77777777" w:rsidR="00000000" w:rsidRDefault="00C01C43">
            <w:pPr>
              <w:jc w:val="right"/>
              <w:rPr>
                <w:rFonts w:eastAsia="Times New Roman"/>
              </w:rPr>
            </w:pPr>
            <w:r>
              <w:rPr>
                <w:rFonts w:ascii="Arial" w:eastAsia="Times New Roman" w:hAnsi="Arial" w:cs="Arial"/>
                <w:color w:val="000000"/>
                <w:sz w:val="20"/>
                <w:szCs w:val="20"/>
              </w:rPr>
              <w:t>181.5 </w:t>
            </w:r>
          </w:p>
        </w:tc>
        <w:tc>
          <w:tcPr>
            <w:tcW w:w="0" w:type="auto"/>
            <w:shd w:val="clear" w:color="auto" w:fill="CCEEFF"/>
            <w:tcMar>
              <w:top w:w="30" w:type="dxa"/>
              <w:left w:w="0" w:type="dxa"/>
              <w:bottom w:w="30" w:type="dxa"/>
              <w:right w:w="20" w:type="dxa"/>
            </w:tcMar>
            <w:vAlign w:val="bottom"/>
            <w:hideMark/>
          </w:tcPr>
          <w:p w14:paraId="632D975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4CD8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1DD930" w14:textId="77777777" w:rsidR="00000000" w:rsidRDefault="00C01C43">
            <w:pPr>
              <w:jc w:val="right"/>
              <w:rPr>
                <w:rFonts w:eastAsia="Times New Roman"/>
              </w:rPr>
            </w:pPr>
            <w:r>
              <w:rPr>
                <w:rFonts w:ascii="Arial" w:eastAsia="Times New Roman" w:hAnsi="Arial" w:cs="Arial"/>
                <w:color w:val="000000"/>
                <w:sz w:val="20"/>
                <w:szCs w:val="20"/>
              </w:rPr>
              <w:t>145.8 </w:t>
            </w:r>
          </w:p>
        </w:tc>
        <w:tc>
          <w:tcPr>
            <w:tcW w:w="0" w:type="auto"/>
            <w:shd w:val="clear" w:color="auto" w:fill="CCEEFF"/>
            <w:tcMar>
              <w:top w:w="30" w:type="dxa"/>
              <w:left w:w="0" w:type="dxa"/>
              <w:bottom w:w="30" w:type="dxa"/>
              <w:right w:w="20" w:type="dxa"/>
            </w:tcMar>
            <w:vAlign w:val="bottom"/>
            <w:hideMark/>
          </w:tcPr>
          <w:p w14:paraId="2821C6CD" w14:textId="77777777" w:rsidR="00000000" w:rsidRDefault="00C01C43">
            <w:pPr>
              <w:jc w:val="right"/>
              <w:rPr>
                <w:rFonts w:eastAsia="Times New Roman"/>
              </w:rPr>
            </w:pPr>
          </w:p>
        </w:tc>
      </w:tr>
      <w:tr w:rsidR="00000000" w14:paraId="720EDD34" w14:textId="77777777">
        <w:trPr>
          <w:divId w:val="583761494"/>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766CCC"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38900B"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FAF035" w14:textId="77777777" w:rsidR="00000000" w:rsidRDefault="00C01C43">
            <w:pPr>
              <w:jc w:val="right"/>
              <w:rPr>
                <w:rFonts w:eastAsia="Times New Roman"/>
              </w:rPr>
            </w:pPr>
            <w:r>
              <w:rPr>
                <w:rFonts w:ascii="Arial" w:eastAsia="Times New Roman" w:hAnsi="Arial" w:cs="Arial"/>
                <w:color w:val="000000"/>
                <w:sz w:val="20"/>
                <w:szCs w:val="20"/>
              </w:rPr>
              <w:t>851.8 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DDDE8C"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AF6AAA"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A9BD25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E285D0" w14:textId="77777777" w:rsidR="00000000" w:rsidRDefault="00C01C43">
            <w:pPr>
              <w:jc w:val="right"/>
              <w:rPr>
                <w:rFonts w:eastAsia="Times New Roman"/>
              </w:rPr>
            </w:pPr>
            <w:r>
              <w:rPr>
                <w:rFonts w:ascii="Arial" w:eastAsia="Times New Roman" w:hAnsi="Arial" w:cs="Arial"/>
                <w:color w:val="000000"/>
                <w:sz w:val="20"/>
                <w:szCs w:val="20"/>
              </w:rPr>
              <w:t>1,112.0 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346DB4"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5617705"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1FD28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ADD8653" w14:textId="77777777" w:rsidR="00000000" w:rsidRDefault="00C01C43">
            <w:pPr>
              <w:jc w:val="right"/>
              <w:rPr>
                <w:rFonts w:eastAsia="Times New Roman"/>
              </w:rPr>
            </w:pPr>
            <w:r>
              <w:rPr>
                <w:rFonts w:ascii="Arial" w:eastAsia="Times New Roman" w:hAnsi="Arial" w:cs="Arial"/>
                <w:color w:val="000000"/>
                <w:sz w:val="20"/>
                <w:szCs w:val="20"/>
              </w:rPr>
              <w:t>1,018.5 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76F7D7" w14:textId="77777777" w:rsidR="00000000" w:rsidRDefault="00C01C43">
            <w:pPr>
              <w:jc w:val="right"/>
              <w:rPr>
                <w:rFonts w:eastAsia="Times New Roman"/>
              </w:rPr>
            </w:pPr>
          </w:p>
        </w:tc>
      </w:tr>
      <w:tr w:rsidR="00000000" w14:paraId="70AE22F4" w14:textId="77777777">
        <w:trPr>
          <w:divId w:val="583761494"/>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F48F586" w14:textId="77777777" w:rsidR="00000000" w:rsidRDefault="00C01C43">
            <w:pPr>
              <w:divId w:val="528446723"/>
              <w:rPr>
                <w:rFonts w:eastAsia="Times New Roman"/>
              </w:rPr>
            </w:pPr>
            <w:r>
              <w:rPr>
                <w:rFonts w:ascii="Arial" w:eastAsia="Times New Roman" w:hAnsi="Arial" w:cs="Arial"/>
                <w:color w:val="000000"/>
                <w:sz w:val="20"/>
                <w:szCs w:val="20"/>
              </w:rPr>
              <w:t>Income from operations</w:t>
            </w:r>
            <w:r>
              <w:rPr>
                <w:rFonts w:ascii="Arial" w:eastAsia="Times New Roman" w:hAnsi="Arial" w:cs="Arial"/>
                <w:color w:val="000000"/>
                <w:sz w:val="20"/>
                <w:szCs w:val="20"/>
              </w:rPr>
              <w:t>:</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CFFE33A" w14:textId="77777777" w:rsidR="00000000" w:rsidRDefault="00C01C43">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FBD2833"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6BBF762"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40E2FAF"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F48388B" w14:textId="77777777" w:rsidR="00000000" w:rsidRDefault="00C01C43">
            <w:pPr>
              <w:rPr>
                <w:rFonts w:eastAsia="Times New Roman"/>
                <w:sz w:val="20"/>
                <w:szCs w:val="20"/>
              </w:rPr>
            </w:pPr>
          </w:p>
        </w:tc>
      </w:tr>
      <w:tr w:rsidR="00000000" w14:paraId="22567561" w14:textId="77777777">
        <w:trPr>
          <w:divId w:val="583761494"/>
        </w:trPr>
        <w:tc>
          <w:tcPr>
            <w:tcW w:w="0" w:type="auto"/>
            <w:gridSpan w:val="3"/>
            <w:shd w:val="clear" w:color="auto" w:fill="FFFFFF"/>
            <w:tcMar>
              <w:top w:w="30" w:type="dxa"/>
              <w:left w:w="20" w:type="dxa"/>
              <w:bottom w:w="30" w:type="dxa"/>
              <w:right w:w="20" w:type="dxa"/>
            </w:tcMar>
            <w:vAlign w:val="bottom"/>
            <w:hideMark/>
          </w:tcPr>
          <w:p w14:paraId="637FF182" w14:textId="77777777" w:rsidR="00000000" w:rsidRDefault="00C01C43">
            <w:pPr>
              <w:rPr>
                <w:rFonts w:eastAsia="Times New Roman"/>
              </w:rPr>
            </w:pPr>
            <w:r>
              <w:rPr>
                <w:rFonts w:ascii="Arial" w:eastAsia="Times New Roman" w:hAnsi="Arial" w:cs="Arial"/>
                <w:color w:val="000000"/>
                <w:sz w:val="20"/>
                <w:szCs w:val="20"/>
              </w:rPr>
              <w:t>Aviation segment</w:t>
            </w:r>
          </w:p>
        </w:tc>
        <w:tc>
          <w:tcPr>
            <w:tcW w:w="0" w:type="auto"/>
            <w:shd w:val="clear" w:color="auto" w:fill="FFFFFF"/>
            <w:tcMar>
              <w:top w:w="30" w:type="dxa"/>
              <w:left w:w="20" w:type="dxa"/>
              <w:bottom w:w="30" w:type="dxa"/>
              <w:right w:w="0" w:type="dxa"/>
            </w:tcMar>
            <w:vAlign w:val="bottom"/>
            <w:hideMark/>
          </w:tcPr>
          <w:p w14:paraId="3E6106A2"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B4838BD" w14:textId="77777777" w:rsidR="00000000" w:rsidRDefault="00C01C43">
            <w:pPr>
              <w:jc w:val="right"/>
              <w:rPr>
                <w:rFonts w:eastAsia="Times New Roman"/>
              </w:rPr>
            </w:pPr>
            <w:r>
              <w:rPr>
                <w:rFonts w:ascii="Arial" w:eastAsia="Times New Roman" w:hAnsi="Arial" w:cs="Arial"/>
                <w:color w:val="000000"/>
                <w:sz w:val="20"/>
                <w:szCs w:val="20"/>
              </w:rPr>
              <w:t>84.5 </w:t>
            </w:r>
          </w:p>
        </w:tc>
        <w:tc>
          <w:tcPr>
            <w:tcW w:w="0" w:type="auto"/>
            <w:shd w:val="clear" w:color="auto" w:fill="FFFFFF"/>
            <w:tcMar>
              <w:top w:w="30" w:type="dxa"/>
              <w:left w:w="0" w:type="dxa"/>
              <w:bottom w:w="30" w:type="dxa"/>
              <w:right w:w="20" w:type="dxa"/>
            </w:tcMar>
            <w:vAlign w:val="bottom"/>
            <w:hideMark/>
          </w:tcPr>
          <w:p w14:paraId="0CB573D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AD0E2"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9C41A6"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E8F4516" w14:textId="77777777" w:rsidR="00000000" w:rsidRDefault="00C01C43">
            <w:pPr>
              <w:jc w:val="right"/>
              <w:rPr>
                <w:rFonts w:eastAsia="Times New Roman"/>
              </w:rPr>
            </w:pPr>
            <w:r>
              <w:rPr>
                <w:rFonts w:ascii="Arial" w:eastAsia="Times New Roman" w:hAnsi="Arial" w:cs="Arial"/>
                <w:color w:val="000000"/>
                <w:sz w:val="20"/>
                <w:szCs w:val="20"/>
              </w:rPr>
              <w:t>283.9 </w:t>
            </w:r>
          </w:p>
        </w:tc>
        <w:tc>
          <w:tcPr>
            <w:tcW w:w="0" w:type="auto"/>
            <w:shd w:val="clear" w:color="auto" w:fill="FFFFFF"/>
            <w:tcMar>
              <w:top w:w="30" w:type="dxa"/>
              <w:left w:w="0" w:type="dxa"/>
              <w:bottom w:w="30" w:type="dxa"/>
              <w:right w:w="20" w:type="dxa"/>
            </w:tcMar>
            <w:vAlign w:val="bottom"/>
            <w:hideMark/>
          </w:tcPr>
          <w:p w14:paraId="195A374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079A47"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FB65674"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11F96FB" w14:textId="77777777" w:rsidR="00000000" w:rsidRDefault="00C01C43">
            <w:pPr>
              <w:jc w:val="right"/>
              <w:rPr>
                <w:rFonts w:eastAsia="Times New Roman"/>
              </w:rPr>
            </w:pPr>
            <w:r>
              <w:rPr>
                <w:rFonts w:ascii="Arial" w:eastAsia="Times New Roman" w:hAnsi="Arial" w:cs="Arial"/>
                <w:color w:val="000000"/>
                <w:sz w:val="20"/>
                <w:szCs w:val="20"/>
              </w:rPr>
              <w:t>250.6 </w:t>
            </w:r>
          </w:p>
        </w:tc>
        <w:tc>
          <w:tcPr>
            <w:tcW w:w="0" w:type="auto"/>
            <w:shd w:val="clear" w:color="auto" w:fill="FFFFFF"/>
            <w:tcMar>
              <w:top w:w="30" w:type="dxa"/>
              <w:left w:w="0" w:type="dxa"/>
              <w:bottom w:w="30" w:type="dxa"/>
              <w:right w:w="20" w:type="dxa"/>
            </w:tcMar>
            <w:vAlign w:val="bottom"/>
            <w:hideMark/>
          </w:tcPr>
          <w:p w14:paraId="03EFD1F6" w14:textId="77777777" w:rsidR="00000000" w:rsidRDefault="00C01C43">
            <w:pPr>
              <w:jc w:val="right"/>
              <w:rPr>
                <w:rFonts w:eastAsia="Times New Roman"/>
              </w:rPr>
            </w:pPr>
          </w:p>
        </w:tc>
      </w:tr>
      <w:tr w:rsidR="00000000" w14:paraId="5220D7B3" w14:textId="77777777">
        <w:trPr>
          <w:divId w:val="583761494"/>
        </w:trPr>
        <w:tc>
          <w:tcPr>
            <w:tcW w:w="0" w:type="auto"/>
            <w:gridSpan w:val="3"/>
            <w:shd w:val="clear" w:color="auto" w:fill="CCEEFF"/>
            <w:tcMar>
              <w:top w:w="30" w:type="dxa"/>
              <w:left w:w="20" w:type="dxa"/>
              <w:bottom w:w="30" w:type="dxa"/>
              <w:right w:w="20" w:type="dxa"/>
            </w:tcMar>
            <w:vAlign w:val="bottom"/>
            <w:hideMark/>
          </w:tcPr>
          <w:p w14:paraId="69E1C7C1" w14:textId="77777777" w:rsidR="00000000" w:rsidRDefault="00C01C43">
            <w:pPr>
              <w:rPr>
                <w:rFonts w:eastAsia="Times New Roman"/>
              </w:rPr>
            </w:pPr>
            <w:r>
              <w:rPr>
                <w:rFonts w:ascii="Arial" w:eastAsia="Times New Roman" w:hAnsi="Arial" w:cs="Arial"/>
                <w:color w:val="000000"/>
                <w:sz w:val="20"/>
                <w:szCs w:val="20"/>
              </w:rPr>
              <w:t>Land segment</w:t>
            </w:r>
          </w:p>
        </w:tc>
        <w:tc>
          <w:tcPr>
            <w:tcW w:w="0" w:type="auto"/>
            <w:gridSpan w:val="2"/>
            <w:shd w:val="clear" w:color="auto" w:fill="CCEEFF"/>
            <w:tcMar>
              <w:top w:w="30" w:type="dxa"/>
              <w:left w:w="20" w:type="dxa"/>
              <w:bottom w:w="30" w:type="dxa"/>
              <w:right w:w="0" w:type="dxa"/>
            </w:tcMar>
            <w:vAlign w:val="bottom"/>
            <w:hideMark/>
          </w:tcPr>
          <w:p w14:paraId="15B915D3" w14:textId="77777777" w:rsidR="00000000" w:rsidRDefault="00C01C43">
            <w:pPr>
              <w:jc w:val="right"/>
              <w:rPr>
                <w:rFonts w:eastAsia="Times New Roman"/>
              </w:rPr>
            </w:pPr>
            <w:r>
              <w:rPr>
                <w:rFonts w:ascii="Arial" w:eastAsia="Times New Roman" w:hAnsi="Arial" w:cs="Arial"/>
                <w:color w:val="000000"/>
                <w:sz w:val="20"/>
                <w:szCs w:val="20"/>
              </w:rPr>
              <w:t>72.6 </w:t>
            </w:r>
          </w:p>
        </w:tc>
        <w:tc>
          <w:tcPr>
            <w:tcW w:w="0" w:type="auto"/>
            <w:shd w:val="clear" w:color="auto" w:fill="CCEEFF"/>
            <w:tcMar>
              <w:top w:w="30" w:type="dxa"/>
              <w:left w:w="0" w:type="dxa"/>
              <w:bottom w:w="30" w:type="dxa"/>
              <w:right w:w="20" w:type="dxa"/>
            </w:tcMar>
            <w:vAlign w:val="bottom"/>
            <w:hideMark/>
          </w:tcPr>
          <w:p w14:paraId="788709E7"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3E35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858DB3" w14:textId="77777777" w:rsidR="00000000" w:rsidRDefault="00C01C43">
            <w:pPr>
              <w:jc w:val="right"/>
              <w:rPr>
                <w:rFonts w:eastAsia="Times New Roman"/>
              </w:rPr>
            </w:pPr>
            <w:r>
              <w:rPr>
                <w:rFonts w:ascii="Arial" w:eastAsia="Times New Roman" w:hAnsi="Arial" w:cs="Arial"/>
                <w:color w:val="000000"/>
                <w:sz w:val="20"/>
                <w:szCs w:val="20"/>
              </w:rPr>
              <w:t>55.0 </w:t>
            </w:r>
          </w:p>
        </w:tc>
        <w:tc>
          <w:tcPr>
            <w:tcW w:w="0" w:type="auto"/>
            <w:shd w:val="clear" w:color="auto" w:fill="CCEEFF"/>
            <w:tcMar>
              <w:top w:w="30" w:type="dxa"/>
              <w:left w:w="0" w:type="dxa"/>
              <w:bottom w:w="30" w:type="dxa"/>
              <w:right w:w="20" w:type="dxa"/>
            </w:tcMar>
            <w:vAlign w:val="bottom"/>
            <w:hideMark/>
          </w:tcPr>
          <w:p w14:paraId="7999C0B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82877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93C490" w14:textId="77777777" w:rsidR="00000000" w:rsidRDefault="00C01C43">
            <w:pPr>
              <w:jc w:val="right"/>
              <w:rPr>
                <w:rFonts w:eastAsia="Times New Roman"/>
              </w:rPr>
            </w:pPr>
            <w:r>
              <w:rPr>
                <w:rFonts w:ascii="Arial" w:eastAsia="Times New Roman" w:hAnsi="Arial" w:cs="Arial"/>
                <w:color w:val="000000"/>
                <w:sz w:val="20"/>
                <w:szCs w:val="20"/>
              </w:rPr>
              <w:t>47.8 </w:t>
            </w:r>
          </w:p>
        </w:tc>
        <w:tc>
          <w:tcPr>
            <w:tcW w:w="0" w:type="auto"/>
            <w:shd w:val="clear" w:color="auto" w:fill="CCEEFF"/>
            <w:tcMar>
              <w:top w:w="30" w:type="dxa"/>
              <w:left w:w="0" w:type="dxa"/>
              <w:bottom w:w="30" w:type="dxa"/>
              <w:right w:w="20" w:type="dxa"/>
            </w:tcMar>
            <w:vAlign w:val="bottom"/>
            <w:hideMark/>
          </w:tcPr>
          <w:p w14:paraId="6BE8841A" w14:textId="77777777" w:rsidR="00000000" w:rsidRDefault="00C01C43">
            <w:pPr>
              <w:jc w:val="right"/>
              <w:rPr>
                <w:rFonts w:eastAsia="Times New Roman"/>
              </w:rPr>
            </w:pPr>
          </w:p>
        </w:tc>
      </w:tr>
      <w:tr w:rsidR="00000000" w14:paraId="19D03DEF" w14:textId="77777777">
        <w:trPr>
          <w:divId w:val="583761494"/>
        </w:trPr>
        <w:tc>
          <w:tcPr>
            <w:tcW w:w="0" w:type="auto"/>
            <w:gridSpan w:val="3"/>
            <w:shd w:val="clear" w:color="auto" w:fill="FFFFFF"/>
            <w:tcMar>
              <w:top w:w="30" w:type="dxa"/>
              <w:left w:w="20" w:type="dxa"/>
              <w:bottom w:w="30" w:type="dxa"/>
              <w:right w:w="20" w:type="dxa"/>
            </w:tcMar>
            <w:vAlign w:val="bottom"/>
            <w:hideMark/>
          </w:tcPr>
          <w:p w14:paraId="50FFCA6A" w14:textId="77777777" w:rsidR="00000000" w:rsidRDefault="00C01C43">
            <w:pPr>
              <w:rPr>
                <w:rFonts w:eastAsia="Times New Roman"/>
              </w:rPr>
            </w:pPr>
            <w:r>
              <w:rPr>
                <w:rFonts w:ascii="Arial" w:eastAsia="Times New Roman" w:hAnsi="Arial" w:cs="Arial"/>
                <w:color w:val="000000"/>
                <w:sz w:val="20"/>
                <w:szCs w:val="20"/>
              </w:rPr>
              <w:t>Marine segment</w:t>
            </w:r>
          </w:p>
        </w:tc>
        <w:tc>
          <w:tcPr>
            <w:tcW w:w="0" w:type="auto"/>
            <w:gridSpan w:val="2"/>
            <w:shd w:val="clear" w:color="auto" w:fill="FFFFFF"/>
            <w:tcMar>
              <w:top w:w="30" w:type="dxa"/>
              <w:left w:w="20" w:type="dxa"/>
              <w:bottom w:w="30" w:type="dxa"/>
              <w:right w:w="0" w:type="dxa"/>
            </w:tcMar>
            <w:vAlign w:val="bottom"/>
            <w:hideMark/>
          </w:tcPr>
          <w:p w14:paraId="00051CED" w14:textId="77777777" w:rsidR="00000000" w:rsidRDefault="00C01C43">
            <w:pPr>
              <w:jc w:val="right"/>
              <w:rPr>
                <w:rFonts w:eastAsia="Times New Roman"/>
              </w:rPr>
            </w:pPr>
            <w:r>
              <w:rPr>
                <w:rFonts w:ascii="Arial" w:eastAsia="Times New Roman" w:hAnsi="Arial" w:cs="Arial"/>
                <w:color w:val="000000"/>
                <w:sz w:val="20"/>
                <w:szCs w:val="20"/>
              </w:rPr>
              <w:t>58.5 </w:t>
            </w:r>
          </w:p>
        </w:tc>
        <w:tc>
          <w:tcPr>
            <w:tcW w:w="0" w:type="auto"/>
            <w:shd w:val="clear" w:color="auto" w:fill="FFFFFF"/>
            <w:tcMar>
              <w:top w:w="30" w:type="dxa"/>
              <w:left w:w="0" w:type="dxa"/>
              <w:bottom w:w="30" w:type="dxa"/>
              <w:right w:w="20" w:type="dxa"/>
            </w:tcMar>
            <w:vAlign w:val="bottom"/>
            <w:hideMark/>
          </w:tcPr>
          <w:p w14:paraId="5F337076"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E39D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AD7559" w14:textId="77777777" w:rsidR="00000000" w:rsidRDefault="00C01C43">
            <w:pPr>
              <w:jc w:val="right"/>
              <w:rPr>
                <w:rFonts w:eastAsia="Times New Roman"/>
              </w:rPr>
            </w:pPr>
            <w:r>
              <w:rPr>
                <w:rFonts w:ascii="Arial" w:eastAsia="Times New Roman" w:hAnsi="Arial" w:cs="Arial"/>
                <w:color w:val="000000"/>
                <w:sz w:val="20"/>
                <w:szCs w:val="20"/>
              </w:rPr>
              <w:t>67.1 </w:t>
            </w:r>
          </w:p>
        </w:tc>
        <w:tc>
          <w:tcPr>
            <w:tcW w:w="0" w:type="auto"/>
            <w:shd w:val="clear" w:color="auto" w:fill="FFFFFF"/>
            <w:tcMar>
              <w:top w:w="30" w:type="dxa"/>
              <w:left w:w="0" w:type="dxa"/>
              <w:bottom w:w="30" w:type="dxa"/>
              <w:right w:w="20" w:type="dxa"/>
            </w:tcMar>
            <w:vAlign w:val="bottom"/>
            <w:hideMark/>
          </w:tcPr>
          <w:p w14:paraId="077BB06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2BF7F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D40184" w14:textId="77777777" w:rsidR="00000000" w:rsidRDefault="00C01C43">
            <w:pPr>
              <w:jc w:val="right"/>
              <w:rPr>
                <w:rFonts w:eastAsia="Times New Roman"/>
              </w:rPr>
            </w:pPr>
            <w:r>
              <w:rPr>
                <w:rFonts w:ascii="Arial" w:eastAsia="Times New Roman" w:hAnsi="Arial" w:cs="Arial"/>
                <w:color w:val="000000"/>
                <w:sz w:val="20"/>
                <w:szCs w:val="20"/>
              </w:rPr>
              <w:t>37.8 </w:t>
            </w:r>
          </w:p>
        </w:tc>
        <w:tc>
          <w:tcPr>
            <w:tcW w:w="0" w:type="auto"/>
            <w:shd w:val="clear" w:color="auto" w:fill="FFFFFF"/>
            <w:tcMar>
              <w:top w:w="30" w:type="dxa"/>
              <w:left w:w="0" w:type="dxa"/>
              <w:bottom w:w="30" w:type="dxa"/>
              <w:right w:w="20" w:type="dxa"/>
            </w:tcMar>
            <w:vAlign w:val="bottom"/>
            <w:hideMark/>
          </w:tcPr>
          <w:p w14:paraId="144AEF6F" w14:textId="77777777" w:rsidR="00000000" w:rsidRDefault="00C01C43">
            <w:pPr>
              <w:jc w:val="right"/>
              <w:rPr>
                <w:rFonts w:eastAsia="Times New Roman"/>
              </w:rPr>
            </w:pPr>
          </w:p>
        </w:tc>
      </w:tr>
      <w:tr w:rsidR="00000000" w14:paraId="59937D6E" w14:textId="77777777">
        <w:trPr>
          <w:divId w:val="583761494"/>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E4ADAC"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E79400" w14:textId="77777777" w:rsidR="00000000" w:rsidRDefault="00C01C43">
            <w:pPr>
              <w:jc w:val="right"/>
              <w:rPr>
                <w:rFonts w:eastAsia="Times New Roman"/>
              </w:rPr>
            </w:pPr>
            <w:r>
              <w:rPr>
                <w:rFonts w:ascii="Arial" w:eastAsia="Times New Roman" w:hAnsi="Arial" w:cs="Arial"/>
                <w:color w:val="000000"/>
                <w:sz w:val="20"/>
                <w:szCs w:val="20"/>
              </w:rPr>
              <w:t>215.6 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2588C8"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FD571D"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03FA68" w14:textId="77777777" w:rsidR="00000000" w:rsidRDefault="00C01C43">
            <w:pPr>
              <w:jc w:val="right"/>
              <w:rPr>
                <w:rFonts w:eastAsia="Times New Roman"/>
              </w:rPr>
            </w:pPr>
            <w:r>
              <w:rPr>
                <w:rFonts w:ascii="Arial" w:eastAsia="Times New Roman" w:hAnsi="Arial" w:cs="Arial"/>
                <w:color w:val="000000"/>
                <w:sz w:val="20"/>
                <w:szCs w:val="20"/>
              </w:rPr>
              <w:t>406.1 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AA3FD2"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5F458A"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FB887D" w14:textId="77777777" w:rsidR="00000000" w:rsidRDefault="00C01C43">
            <w:pPr>
              <w:jc w:val="right"/>
              <w:rPr>
                <w:rFonts w:eastAsia="Times New Roman"/>
              </w:rPr>
            </w:pPr>
            <w:r>
              <w:rPr>
                <w:rFonts w:ascii="Arial" w:eastAsia="Times New Roman" w:hAnsi="Arial" w:cs="Arial"/>
                <w:color w:val="000000"/>
                <w:sz w:val="20"/>
                <w:szCs w:val="20"/>
              </w:rPr>
              <w:t>336.3 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AFF694" w14:textId="77777777" w:rsidR="00000000" w:rsidRDefault="00C01C43">
            <w:pPr>
              <w:jc w:val="right"/>
              <w:rPr>
                <w:rFonts w:eastAsia="Times New Roman"/>
              </w:rPr>
            </w:pPr>
          </w:p>
        </w:tc>
      </w:tr>
      <w:tr w:rsidR="00000000" w14:paraId="565AA85D" w14:textId="77777777">
        <w:trPr>
          <w:divId w:val="583761494"/>
        </w:trPr>
        <w:tc>
          <w:tcPr>
            <w:tcW w:w="0" w:type="auto"/>
            <w:gridSpan w:val="3"/>
            <w:shd w:val="clear" w:color="auto" w:fill="FFFFFF"/>
            <w:tcMar>
              <w:top w:w="30" w:type="dxa"/>
              <w:left w:w="20" w:type="dxa"/>
              <w:bottom w:w="30" w:type="dxa"/>
              <w:right w:w="20" w:type="dxa"/>
            </w:tcMar>
            <w:vAlign w:val="bottom"/>
            <w:hideMark/>
          </w:tcPr>
          <w:p w14:paraId="0A3FD3DC" w14:textId="77777777" w:rsidR="00000000" w:rsidRDefault="00C01C43">
            <w:pPr>
              <w:rPr>
                <w:rFonts w:eastAsia="Times New Roman"/>
              </w:rPr>
            </w:pPr>
            <w:r>
              <w:rPr>
                <w:rFonts w:ascii="Arial" w:eastAsia="Times New Roman" w:hAnsi="Arial" w:cs="Arial"/>
                <w:color w:val="000000"/>
                <w:sz w:val="20"/>
                <w:szCs w:val="20"/>
              </w:rPr>
              <w:t>Corporate overhead - unallocated</w:t>
            </w:r>
          </w:p>
        </w:tc>
        <w:tc>
          <w:tcPr>
            <w:tcW w:w="0" w:type="auto"/>
            <w:gridSpan w:val="2"/>
            <w:shd w:val="clear" w:color="auto" w:fill="FFFFFF"/>
            <w:tcMar>
              <w:top w:w="30" w:type="dxa"/>
              <w:left w:w="20" w:type="dxa"/>
              <w:bottom w:w="30" w:type="dxa"/>
              <w:right w:w="0" w:type="dxa"/>
            </w:tcMar>
            <w:vAlign w:val="bottom"/>
            <w:hideMark/>
          </w:tcPr>
          <w:p w14:paraId="4DAF4BCE" w14:textId="77777777" w:rsidR="00000000" w:rsidRDefault="00C01C43">
            <w:pPr>
              <w:jc w:val="right"/>
              <w:rPr>
                <w:rFonts w:eastAsia="Times New Roman"/>
              </w:rPr>
            </w:pPr>
            <w:r>
              <w:rPr>
                <w:rFonts w:ascii="Arial" w:eastAsia="Times New Roman" w:hAnsi="Arial" w:cs="Arial"/>
                <w:color w:val="000000"/>
                <w:sz w:val="20"/>
                <w:szCs w:val="20"/>
              </w:rPr>
              <w:t>(77.8)</w:t>
            </w:r>
          </w:p>
        </w:tc>
        <w:tc>
          <w:tcPr>
            <w:tcW w:w="0" w:type="auto"/>
            <w:shd w:val="clear" w:color="auto" w:fill="FFFFFF"/>
            <w:tcMar>
              <w:top w:w="30" w:type="dxa"/>
              <w:left w:w="0" w:type="dxa"/>
              <w:bottom w:w="30" w:type="dxa"/>
              <w:right w:w="20" w:type="dxa"/>
            </w:tcMar>
            <w:vAlign w:val="bottom"/>
            <w:hideMark/>
          </w:tcPr>
          <w:p w14:paraId="58FBF01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37269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CFF5BF" w14:textId="77777777" w:rsidR="00000000" w:rsidRDefault="00C01C43">
            <w:pPr>
              <w:jc w:val="right"/>
              <w:rPr>
                <w:rFonts w:eastAsia="Times New Roman"/>
              </w:rPr>
            </w:pPr>
            <w:r>
              <w:rPr>
                <w:rFonts w:ascii="Arial" w:eastAsia="Times New Roman" w:hAnsi="Arial" w:cs="Arial"/>
                <w:color w:val="000000"/>
                <w:sz w:val="20"/>
                <w:szCs w:val="20"/>
              </w:rPr>
              <w:t>(106.4)</w:t>
            </w:r>
          </w:p>
        </w:tc>
        <w:tc>
          <w:tcPr>
            <w:tcW w:w="0" w:type="auto"/>
            <w:shd w:val="clear" w:color="auto" w:fill="FFFFFF"/>
            <w:tcMar>
              <w:top w:w="30" w:type="dxa"/>
              <w:left w:w="0" w:type="dxa"/>
              <w:bottom w:w="30" w:type="dxa"/>
              <w:right w:w="20" w:type="dxa"/>
            </w:tcMar>
            <w:vAlign w:val="bottom"/>
            <w:hideMark/>
          </w:tcPr>
          <w:p w14:paraId="5F13958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5B25A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C0E69C" w14:textId="77777777" w:rsidR="00000000" w:rsidRDefault="00C01C43">
            <w:pPr>
              <w:jc w:val="right"/>
              <w:rPr>
                <w:rFonts w:eastAsia="Times New Roman"/>
              </w:rPr>
            </w:pPr>
            <w:r>
              <w:rPr>
                <w:rFonts w:ascii="Arial" w:eastAsia="Times New Roman" w:hAnsi="Arial" w:cs="Arial"/>
                <w:color w:val="000000"/>
                <w:sz w:val="20"/>
                <w:szCs w:val="20"/>
              </w:rPr>
              <w:t>(76.6)</w:t>
            </w:r>
          </w:p>
        </w:tc>
        <w:tc>
          <w:tcPr>
            <w:tcW w:w="0" w:type="auto"/>
            <w:shd w:val="clear" w:color="auto" w:fill="FFFFFF"/>
            <w:tcMar>
              <w:top w:w="30" w:type="dxa"/>
              <w:left w:w="0" w:type="dxa"/>
              <w:bottom w:w="30" w:type="dxa"/>
              <w:right w:w="20" w:type="dxa"/>
            </w:tcMar>
            <w:vAlign w:val="bottom"/>
            <w:hideMark/>
          </w:tcPr>
          <w:p w14:paraId="0F5BF88B" w14:textId="77777777" w:rsidR="00000000" w:rsidRDefault="00C01C43">
            <w:pPr>
              <w:jc w:val="right"/>
              <w:rPr>
                <w:rFonts w:eastAsia="Times New Roman"/>
              </w:rPr>
            </w:pPr>
          </w:p>
        </w:tc>
      </w:tr>
      <w:tr w:rsidR="00000000" w14:paraId="0A9A0128" w14:textId="77777777">
        <w:trPr>
          <w:divId w:val="583761494"/>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F9D6A4"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AC502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8AFA3F" w14:textId="77777777" w:rsidR="00000000" w:rsidRDefault="00C01C43">
            <w:pPr>
              <w:jc w:val="right"/>
              <w:rPr>
                <w:rFonts w:eastAsia="Times New Roman"/>
              </w:rPr>
            </w:pPr>
            <w:r>
              <w:rPr>
                <w:rFonts w:ascii="Arial" w:eastAsia="Times New Roman" w:hAnsi="Arial" w:cs="Arial"/>
                <w:color w:val="000000"/>
                <w:sz w:val="20"/>
                <w:szCs w:val="20"/>
              </w:rPr>
              <w:t>137.9 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AF312F"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FEB0F0"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D6D15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2A9F18" w14:textId="77777777" w:rsidR="00000000" w:rsidRDefault="00C01C43">
            <w:pPr>
              <w:jc w:val="right"/>
              <w:rPr>
                <w:rFonts w:eastAsia="Times New Roman"/>
              </w:rPr>
            </w:pPr>
            <w:r>
              <w:rPr>
                <w:rFonts w:ascii="Arial" w:eastAsia="Times New Roman" w:hAnsi="Arial" w:cs="Arial"/>
                <w:color w:val="000000"/>
                <w:sz w:val="20"/>
                <w:szCs w:val="20"/>
              </w:rPr>
              <w:t>299.7 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26526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342ED4"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F56D0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659D9B" w14:textId="77777777" w:rsidR="00000000" w:rsidRDefault="00C01C43">
            <w:pPr>
              <w:jc w:val="right"/>
              <w:rPr>
                <w:rFonts w:eastAsia="Times New Roman"/>
              </w:rPr>
            </w:pPr>
            <w:r>
              <w:rPr>
                <w:rFonts w:ascii="Arial" w:eastAsia="Times New Roman" w:hAnsi="Arial" w:cs="Arial"/>
                <w:color w:val="000000"/>
                <w:sz w:val="20"/>
                <w:szCs w:val="20"/>
              </w:rPr>
              <w:t>259.7 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5C3640" w14:textId="77777777" w:rsidR="00000000" w:rsidRDefault="00C01C43">
            <w:pPr>
              <w:jc w:val="right"/>
              <w:rPr>
                <w:rFonts w:eastAsia="Times New Roman"/>
              </w:rPr>
            </w:pPr>
          </w:p>
        </w:tc>
      </w:tr>
      <w:tr w:rsidR="00000000" w14:paraId="7AF07FFF" w14:textId="77777777">
        <w:trPr>
          <w:divId w:val="583761494"/>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12B0F15" w14:textId="77777777" w:rsidR="00000000" w:rsidRDefault="00C01C43">
            <w:pPr>
              <w:rPr>
                <w:rFonts w:eastAsia="Times New Roman"/>
              </w:rPr>
            </w:pPr>
            <w:r>
              <w:rPr>
                <w:rFonts w:ascii="Arial" w:eastAsia="Times New Roman" w:hAnsi="Arial" w:cs="Arial"/>
                <w:color w:val="000000"/>
                <w:sz w:val="20"/>
                <w:szCs w:val="20"/>
              </w:rPr>
              <w:t>Depreciation and amortization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BEE7144" w14:textId="77777777" w:rsidR="00000000" w:rsidRDefault="00C01C4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57C3957"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B066FF"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F6BF471"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B8D688A" w14:textId="77777777" w:rsidR="00000000" w:rsidRDefault="00C01C43">
            <w:pPr>
              <w:rPr>
                <w:rFonts w:eastAsia="Times New Roman"/>
                <w:sz w:val="20"/>
                <w:szCs w:val="20"/>
              </w:rPr>
            </w:pPr>
          </w:p>
        </w:tc>
      </w:tr>
      <w:tr w:rsidR="00000000" w14:paraId="70C605AD" w14:textId="77777777">
        <w:trPr>
          <w:divId w:val="583761494"/>
        </w:trPr>
        <w:tc>
          <w:tcPr>
            <w:tcW w:w="0" w:type="auto"/>
            <w:gridSpan w:val="3"/>
            <w:shd w:val="clear" w:color="auto" w:fill="CCEEFF"/>
            <w:tcMar>
              <w:top w:w="30" w:type="dxa"/>
              <w:left w:w="20" w:type="dxa"/>
              <w:bottom w:w="30" w:type="dxa"/>
              <w:right w:w="20" w:type="dxa"/>
            </w:tcMar>
            <w:vAlign w:val="bottom"/>
            <w:hideMark/>
          </w:tcPr>
          <w:p w14:paraId="776B623A" w14:textId="77777777" w:rsidR="00000000" w:rsidRDefault="00C01C43">
            <w:pPr>
              <w:rPr>
                <w:rFonts w:eastAsia="Times New Roman"/>
              </w:rPr>
            </w:pPr>
            <w:r>
              <w:rPr>
                <w:rFonts w:ascii="Arial" w:eastAsia="Times New Roman" w:hAnsi="Arial" w:cs="Arial"/>
                <w:color w:val="000000"/>
                <w:sz w:val="20"/>
                <w:szCs w:val="20"/>
              </w:rPr>
              <w:t>Aviation segment</w:t>
            </w:r>
          </w:p>
        </w:tc>
        <w:tc>
          <w:tcPr>
            <w:tcW w:w="0" w:type="auto"/>
            <w:shd w:val="clear" w:color="auto" w:fill="CCEEFF"/>
            <w:tcMar>
              <w:top w:w="30" w:type="dxa"/>
              <w:left w:w="20" w:type="dxa"/>
              <w:bottom w:w="30" w:type="dxa"/>
              <w:right w:w="0" w:type="dxa"/>
            </w:tcMar>
            <w:vAlign w:val="bottom"/>
            <w:hideMark/>
          </w:tcPr>
          <w:p w14:paraId="6DA4505E"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53AC0562" w14:textId="77777777" w:rsidR="00000000" w:rsidRDefault="00C01C43">
            <w:pPr>
              <w:jc w:val="right"/>
              <w:rPr>
                <w:rFonts w:eastAsia="Times New Roman"/>
              </w:rPr>
            </w:pPr>
            <w:r>
              <w:rPr>
                <w:rFonts w:ascii="Arial" w:eastAsia="Times New Roman" w:hAnsi="Arial" w:cs="Arial"/>
                <w:color w:val="000000"/>
                <w:sz w:val="20"/>
                <w:szCs w:val="20"/>
              </w:rPr>
              <w:t>31.5 </w:t>
            </w:r>
          </w:p>
        </w:tc>
        <w:tc>
          <w:tcPr>
            <w:tcW w:w="0" w:type="auto"/>
            <w:shd w:val="clear" w:color="auto" w:fill="CCEEFF"/>
            <w:tcMar>
              <w:top w:w="30" w:type="dxa"/>
              <w:left w:w="0" w:type="dxa"/>
              <w:bottom w:w="30" w:type="dxa"/>
              <w:right w:w="20" w:type="dxa"/>
            </w:tcMar>
            <w:vAlign w:val="bottom"/>
            <w:hideMark/>
          </w:tcPr>
          <w:p w14:paraId="0957555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71FB84"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DCADC09"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A67FA18" w14:textId="77777777" w:rsidR="00000000" w:rsidRDefault="00C01C43">
            <w:pPr>
              <w:jc w:val="right"/>
              <w:rPr>
                <w:rFonts w:eastAsia="Times New Roman"/>
              </w:rPr>
            </w:pPr>
            <w:r>
              <w:rPr>
                <w:rFonts w:ascii="Arial" w:eastAsia="Times New Roman" w:hAnsi="Arial" w:cs="Arial"/>
                <w:color w:val="000000"/>
                <w:sz w:val="20"/>
                <w:szCs w:val="20"/>
              </w:rPr>
              <w:t>28.5 </w:t>
            </w:r>
          </w:p>
        </w:tc>
        <w:tc>
          <w:tcPr>
            <w:tcW w:w="0" w:type="auto"/>
            <w:shd w:val="clear" w:color="auto" w:fill="CCEEFF"/>
            <w:tcMar>
              <w:top w:w="30" w:type="dxa"/>
              <w:left w:w="0" w:type="dxa"/>
              <w:bottom w:w="30" w:type="dxa"/>
              <w:right w:w="20" w:type="dxa"/>
            </w:tcMar>
            <w:vAlign w:val="bottom"/>
            <w:hideMark/>
          </w:tcPr>
          <w:p w14:paraId="41F246B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04FE0"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954F2FA"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7AFA6045" w14:textId="77777777" w:rsidR="00000000" w:rsidRDefault="00C01C43">
            <w:pPr>
              <w:jc w:val="right"/>
              <w:rPr>
                <w:rFonts w:eastAsia="Times New Roman"/>
              </w:rPr>
            </w:pPr>
            <w:r>
              <w:rPr>
                <w:rFonts w:ascii="Arial" w:eastAsia="Times New Roman" w:hAnsi="Arial" w:cs="Arial"/>
                <w:color w:val="000000"/>
                <w:sz w:val="20"/>
                <w:szCs w:val="20"/>
              </w:rPr>
              <w:t>27.5 </w:t>
            </w:r>
          </w:p>
        </w:tc>
        <w:tc>
          <w:tcPr>
            <w:tcW w:w="0" w:type="auto"/>
            <w:shd w:val="clear" w:color="auto" w:fill="CCEEFF"/>
            <w:tcMar>
              <w:top w:w="30" w:type="dxa"/>
              <w:left w:w="0" w:type="dxa"/>
              <w:bottom w:w="30" w:type="dxa"/>
              <w:right w:w="20" w:type="dxa"/>
            </w:tcMar>
            <w:vAlign w:val="bottom"/>
            <w:hideMark/>
          </w:tcPr>
          <w:p w14:paraId="724C3624" w14:textId="77777777" w:rsidR="00000000" w:rsidRDefault="00C01C43">
            <w:pPr>
              <w:jc w:val="right"/>
              <w:rPr>
                <w:rFonts w:eastAsia="Times New Roman"/>
              </w:rPr>
            </w:pPr>
          </w:p>
        </w:tc>
      </w:tr>
      <w:tr w:rsidR="00000000" w14:paraId="720C5220" w14:textId="77777777">
        <w:trPr>
          <w:divId w:val="583761494"/>
        </w:trPr>
        <w:tc>
          <w:tcPr>
            <w:tcW w:w="0" w:type="auto"/>
            <w:gridSpan w:val="3"/>
            <w:shd w:val="clear" w:color="auto" w:fill="FFFFFF"/>
            <w:tcMar>
              <w:top w:w="30" w:type="dxa"/>
              <w:left w:w="20" w:type="dxa"/>
              <w:bottom w:w="30" w:type="dxa"/>
              <w:right w:w="20" w:type="dxa"/>
            </w:tcMar>
            <w:vAlign w:val="bottom"/>
            <w:hideMark/>
          </w:tcPr>
          <w:p w14:paraId="77D4AEC3" w14:textId="77777777" w:rsidR="00000000" w:rsidRDefault="00C01C43">
            <w:pPr>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14:paraId="354164DA" w14:textId="77777777" w:rsidR="00000000" w:rsidRDefault="00C01C43">
            <w:pPr>
              <w:jc w:val="right"/>
              <w:rPr>
                <w:rFonts w:eastAsia="Times New Roman"/>
              </w:rPr>
            </w:pPr>
            <w:r>
              <w:rPr>
                <w:rFonts w:ascii="Arial" w:eastAsia="Times New Roman" w:hAnsi="Arial" w:cs="Arial"/>
                <w:color w:val="000000"/>
                <w:sz w:val="20"/>
                <w:szCs w:val="20"/>
              </w:rPr>
              <w:t>45.3 </w:t>
            </w:r>
          </w:p>
        </w:tc>
        <w:tc>
          <w:tcPr>
            <w:tcW w:w="0" w:type="auto"/>
            <w:shd w:val="clear" w:color="auto" w:fill="FFFFFF"/>
            <w:tcMar>
              <w:top w:w="30" w:type="dxa"/>
              <w:left w:w="0" w:type="dxa"/>
              <w:bottom w:w="30" w:type="dxa"/>
              <w:right w:w="20" w:type="dxa"/>
            </w:tcMar>
            <w:vAlign w:val="bottom"/>
            <w:hideMark/>
          </w:tcPr>
          <w:p w14:paraId="28C6DC5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F7A4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1CD21" w14:textId="77777777" w:rsidR="00000000" w:rsidRDefault="00C01C43">
            <w:pPr>
              <w:jc w:val="right"/>
              <w:rPr>
                <w:rFonts w:eastAsia="Times New Roman"/>
              </w:rPr>
            </w:pPr>
            <w:r>
              <w:rPr>
                <w:rFonts w:ascii="Arial" w:eastAsia="Times New Roman" w:hAnsi="Arial" w:cs="Arial"/>
                <w:color w:val="000000"/>
                <w:sz w:val="20"/>
                <w:szCs w:val="20"/>
              </w:rPr>
              <w:t>48.0 </w:t>
            </w:r>
          </w:p>
        </w:tc>
        <w:tc>
          <w:tcPr>
            <w:tcW w:w="0" w:type="auto"/>
            <w:shd w:val="clear" w:color="auto" w:fill="FFFFFF"/>
            <w:tcMar>
              <w:top w:w="30" w:type="dxa"/>
              <w:left w:w="0" w:type="dxa"/>
              <w:bottom w:w="30" w:type="dxa"/>
              <w:right w:w="20" w:type="dxa"/>
            </w:tcMar>
            <w:vAlign w:val="bottom"/>
            <w:hideMark/>
          </w:tcPr>
          <w:p w14:paraId="5B2749C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46022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CD681C" w14:textId="77777777" w:rsidR="00000000" w:rsidRDefault="00C01C43">
            <w:pPr>
              <w:jc w:val="right"/>
              <w:rPr>
                <w:rFonts w:eastAsia="Times New Roman"/>
              </w:rPr>
            </w:pPr>
            <w:r>
              <w:rPr>
                <w:rFonts w:ascii="Arial" w:eastAsia="Times New Roman" w:hAnsi="Arial" w:cs="Arial"/>
                <w:color w:val="000000"/>
                <w:sz w:val="20"/>
                <w:szCs w:val="20"/>
              </w:rPr>
              <w:t>46.5 </w:t>
            </w:r>
          </w:p>
        </w:tc>
        <w:tc>
          <w:tcPr>
            <w:tcW w:w="0" w:type="auto"/>
            <w:shd w:val="clear" w:color="auto" w:fill="FFFFFF"/>
            <w:tcMar>
              <w:top w:w="30" w:type="dxa"/>
              <w:left w:w="0" w:type="dxa"/>
              <w:bottom w:w="30" w:type="dxa"/>
              <w:right w:w="20" w:type="dxa"/>
            </w:tcMar>
            <w:vAlign w:val="bottom"/>
            <w:hideMark/>
          </w:tcPr>
          <w:p w14:paraId="501FE11F" w14:textId="77777777" w:rsidR="00000000" w:rsidRDefault="00C01C43">
            <w:pPr>
              <w:jc w:val="right"/>
              <w:rPr>
                <w:rFonts w:eastAsia="Times New Roman"/>
              </w:rPr>
            </w:pPr>
          </w:p>
        </w:tc>
      </w:tr>
      <w:tr w:rsidR="00000000" w14:paraId="0B1CD750" w14:textId="77777777">
        <w:trPr>
          <w:divId w:val="583761494"/>
        </w:trPr>
        <w:tc>
          <w:tcPr>
            <w:tcW w:w="0" w:type="auto"/>
            <w:gridSpan w:val="3"/>
            <w:shd w:val="clear" w:color="auto" w:fill="CCEEFF"/>
            <w:tcMar>
              <w:top w:w="30" w:type="dxa"/>
              <w:left w:w="20" w:type="dxa"/>
              <w:bottom w:w="30" w:type="dxa"/>
              <w:right w:w="20" w:type="dxa"/>
            </w:tcMar>
            <w:vAlign w:val="bottom"/>
            <w:hideMark/>
          </w:tcPr>
          <w:p w14:paraId="5DB79D18" w14:textId="77777777" w:rsidR="00000000" w:rsidRDefault="00C01C43">
            <w:pPr>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14:paraId="68128B24" w14:textId="77777777" w:rsidR="00000000" w:rsidRDefault="00C01C43">
            <w:pPr>
              <w:jc w:val="right"/>
              <w:rPr>
                <w:rFonts w:eastAsia="Times New Roman"/>
              </w:rPr>
            </w:pPr>
            <w:r>
              <w:rPr>
                <w:rFonts w:ascii="Arial" w:eastAsia="Times New Roman" w:hAnsi="Arial" w:cs="Arial"/>
                <w:color w:val="000000"/>
                <w:sz w:val="20"/>
                <w:szCs w:val="20"/>
              </w:rPr>
              <w:t>3.8 </w:t>
            </w:r>
          </w:p>
        </w:tc>
        <w:tc>
          <w:tcPr>
            <w:tcW w:w="0" w:type="auto"/>
            <w:shd w:val="clear" w:color="auto" w:fill="CCEEFF"/>
            <w:tcMar>
              <w:top w:w="30" w:type="dxa"/>
              <w:left w:w="0" w:type="dxa"/>
              <w:bottom w:w="30" w:type="dxa"/>
              <w:right w:w="20" w:type="dxa"/>
            </w:tcMar>
            <w:vAlign w:val="bottom"/>
            <w:hideMark/>
          </w:tcPr>
          <w:p w14:paraId="2A70D3B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72C6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EF8793" w14:textId="77777777" w:rsidR="00000000" w:rsidRDefault="00C01C43">
            <w:pPr>
              <w:jc w:val="right"/>
              <w:rPr>
                <w:rFonts w:eastAsia="Times New Roman"/>
              </w:rPr>
            </w:pPr>
            <w:r>
              <w:rPr>
                <w:rFonts w:ascii="Arial" w:eastAsia="Times New Roman" w:hAnsi="Arial" w:cs="Arial"/>
                <w:color w:val="000000"/>
                <w:sz w:val="20"/>
                <w:szCs w:val="20"/>
              </w:rPr>
              <w:t>4.5 </w:t>
            </w:r>
          </w:p>
        </w:tc>
        <w:tc>
          <w:tcPr>
            <w:tcW w:w="0" w:type="auto"/>
            <w:shd w:val="clear" w:color="auto" w:fill="CCEEFF"/>
            <w:tcMar>
              <w:top w:w="30" w:type="dxa"/>
              <w:left w:w="0" w:type="dxa"/>
              <w:bottom w:w="30" w:type="dxa"/>
              <w:right w:w="20" w:type="dxa"/>
            </w:tcMar>
            <w:vAlign w:val="bottom"/>
            <w:hideMark/>
          </w:tcPr>
          <w:p w14:paraId="0B30B43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7DB8E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2C6957" w14:textId="77777777" w:rsidR="00000000" w:rsidRDefault="00C01C43">
            <w:pPr>
              <w:jc w:val="right"/>
              <w:rPr>
                <w:rFonts w:eastAsia="Times New Roman"/>
              </w:rPr>
            </w:pPr>
            <w:r>
              <w:rPr>
                <w:rFonts w:ascii="Arial" w:eastAsia="Times New Roman" w:hAnsi="Arial" w:cs="Arial"/>
                <w:color w:val="000000"/>
                <w:sz w:val="20"/>
                <w:szCs w:val="20"/>
              </w:rPr>
              <w:t>2.2 </w:t>
            </w:r>
          </w:p>
        </w:tc>
        <w:tc>
          <w:tcPr>
            <w:tcW w:w="0" w:type="auto"/>
            <w:shd w:val="clear" w:color="auto" w:fill="CCEEFF"/>
            <w:tcMar>
              <w:top w:w="30" w:type="dxa"/>
              <w:left w:w="0" w:type="dxa"/>
              <w:bottom w:w="30" w:type="dxa"/>
              <w:right w:w="20" w:type="dxa"/>
            </w:tcMar>
            <w:vAlign w:val="bottom"/>
            <w:hideMark/>
          </w:tcPr>
          <w:p w14:paraId="42D1F124" w14:textId="77777777" w:rsidR="00000000" w:rsidRDefault="00C01C43">
            <w:pPr>
              <w:jc w:val="right"/>
              <w:rPr>
                <w:rFonts w:eastAsia="Times New Roman"/>
              </w:rPr>
            </w:pPr>
          </w:p>
        </w:tc>
      </w:tr>
      <w:tr w:rsidR="00000000" w14:paraId="4E8980C3" w14:textId="77777777">
        <w:trPr>
          <w:divId w:val="583761494"/>
        </w:trPr>
        <w:tc>
          <w:tcPr>
            <w:tcW w:w="0" w:type="auto"/>
            <w:gridSpan w:val="3"/>
            <w:shd w:val="clear" w:color="auto" w:fill="FFFFFF"/>
            <w:tcMar>
              <w:top w:w="30" w:type="dxa"/>
              <w:left w:w="20" w:type="dxa"/>
              <w:bottom w:w="30" w:type="dxa"/>
              <w:right w:w="20" w:type="dxa"/>
            </w:tcMar>
            <w:vAlign w:val="bottom"/>
            <w:hideMark/>
          </w:tcPr>
          <w:p w14:paraId="6C7CC2C5" w14:textId="77777777" w:rsidR="00000000" w:rsidRDefault="00C01C43">
            <w:pPr>
              <w:rPr>
                <w:rFonts w:eastAsia="Times New Roman"/>
              </w:rPr>
            </w:pPr>
            <w:r>
              <w:rPr>
                <w:rFonts w:ascii="Arial" w:eastAsia="Times New Roman" w:hAnsi="Arial" w:cs="Arial"/>
                <w:color w:val="000000"/>
                <w:sz w:val="20"/>
                <w:szCs w:val="20"/>
              </w:rPr>
              <w:t>Corporate segment</w:t>
            </w:r>
          </w:p>
        </w:tc>
        <w:tc>
          <w:tcPr>
            <w:tcW w:w="0" w:type="auto"/>
            <w:gridSpan w:val="2"/>
            <w:shd w:val="clear" w:color="auto" w:fill="FFFFFF"/>
            <w:tcMar>
              <w:top w:w="30" w:type="dxa"/>
              <w:left w:w="20" w:type="dxa"/>
              <w:bottom w:w="30" w:type="dxa"/>
              <w:right w:w="0" w:type="dxa"/>
            </w:tcMar>
            <w:vAlign w:val="bottom"/>
            <w:hideMark/>
          </w:tcPr>
          <w:p w14:paraId="0948EDF0" w14:textId="77777777" w:rsidR="00000000" w:rsidRDefault="00C01C43">
            <w:pPr>
              <w:jc w:val="right"/>
              <w:rPr>
                <w:rFonts w:eastAsia="Times New Roman"/>
              </w:rPr>
            </w:pPr>
            <w:r>
              <w:rPr>
                <w:rFonts w:ascii="Arial" w:eastAsia="Times New Roman" w:hAnsi="Arial" w:cs="Arial"/>
                <w:color w:val="000000"/>
                <w:sz w:val="20"/>
                <w:szCs w:val="20"/>
              </w:rPr>
              <w:t>5.2 </w:t>
            </w:r>
          </w:p>
        </w:tc>
        <w:tc>
          <w:tcPr>
            <w:tcW w:w="0" w:type="auto"/>
            <w:shd w:val="clear" w:color="auto" w:fill="FFFFFF"/>
            <w:tcMar>
              <w:top w:w="30" w:type="dxa"/>
              <w:left w:w="0" w:type="dxa"/>
              <w:bottom w:w="30" w:type="dxa"/>
              <w:right w:w="20" w:type="dxa"/>
            </w:tcMar>
            <w:vAlign w:val="bottom"/>
            <w:hideMark/>
          </w:tcPr>
          <w:p w14:paraId="4DDCD91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813D7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1EFC14" w14:textId="77777777" w:rsidR="00000000" w:rsidRDefault="00C01C43">
            <w:pPr>
              <w:jc w:val="right"/>
              <w:rPr>
                <w:rFonts w:eastAsia="Times New Roman"/>
              </w:rPr>
            </w:pPr>
            <w:r>
              <w:rPr>
                <w:rFonts w:ascii="Arial" w:eastAsia="Times New Roman" w:hAnsi="Arial" w:cs="Arial"/>
                <w:color w:val="000000"/>
                <w:sz w:val="20"/>
                <w:szCs w:val="20"/>
              </w:rPr>
              <w:t>6.4 </w:t>
            </w:r>
          </w:p>
        </w:tc>
        <w:tc>
          <w:tcPr>
            <w:tcW w:w="0" w:type="auto"/>
            <w:shd w:val="clear" w:color="auto" w:fill="FFFFFF"/>
            <w:tcMar>
              <w:top w:w="30" w:type="dxa"/>
              <w:left w:w="0" w:type="dxa"/>
              <w:bottom w:w="30" w:type="dxa"/>
              <w:right w:w="20" w:type="dxa"/>
            </w:tcMar>
            <w:vAlign w:val="bottom"/>
            <w:hideMark/>
          </w:tcPr>
          <w:p w14:paraId="40B977E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A0E2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3E7060" w14:textId="77777777" w:rsidR="00000000" w:rsidRDefault="00C01C43">
            <w:pPr>
              <w:jc w:val="right"/>
              <w:rPr>
                <w:rFonts w:eastAsia="Times New Roman"/>
              </w:rPr>
            </w:pPr>
            <w:r>
              <w:rPr>
                <w:rFonts w:ascii="Arial" w:eastAsia="Times New Roman" w:hAnsi="Arial" w:cs="Arial"/>
                <w:color w:val="000000"/>
                <w:sz w:val="20"/>
                <w:szCs w:val="20"/>
              </w:rPr>
              <w:t>5.3 </w:t>
            </w:r>
          </w:p>
        </w:tc>
        <w:tc>
          <w:tcPr>
            <w:tcW w:w="0" w:type="auto"/>
            <w:shd w:val="clear" w:color="auto" w:fill="FFFFFF"/>
            <w:tcMar>
              <w:top w:w="30" w:type="dxa"/>
              <w:left w:w="0" w:type="dxa"/>
              <w:bottom w:w="30" w:type="dxa"/>
              <w:right w:w="20" w:type="dxa"/>
            </w:tcMar>
            <w:vAlign w:val="bottom"/>
            <w:hideMark/>
          </w:tcPr>
          <w:p w14:paraId="2269C3CE" w14:textId="77777777" w:rsidR="00000000" w:rsidRDefault="00C01C43">
            <w:pPr>
              <w:jc w:val="right"/>
              <w:rPr>
                <w:rFonts w:eastAsia="Times New Roman"/>
              </w:rPr>
            </w:pPr>
          </w:p>
        </w:tc>
      </w:tr>
      <w:tr w:rsidR="00000000" w14:paraId="41D1BE8D" w14:textId="77777777">
        <w:trPr>
          <w:divId w:val="583761494"/>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1DAB42"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3FC47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60D9A1" w14:textId="77777777" w:rsidR="00000000" w:rsidRDefault="00C01C43">
            <w:pPr>
              <w:jc w:val="right"/>
              <w:rPr>
                <w:rFonts w:eastAsia="Times New Roman"/>
              </w:rPr>
            </w:pPr>
            <w:r>
              <w:rPr>
                <w:rFonts w:ascii="Arial" w:eastAsia="Times New Roman" w:hAnsi="Arial" w:cs="Arial"/>
                <w:color w:val="000000"/>
                <w:sz w:val="20"/>
                <w:szCs w:val="20"/>
              </w:rPr>
              <w:t>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89CB81"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5101C8"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BE417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E2CDC5" w14:textId="77777777" w:rsidR="00000000" w:rsidRDefault="00C01C43">
            <w:pPr>
              <w:jc w:val="right"/>
              <w:rPr>
                <w:rFonts w:eastAsia="Times New Roman"/>
              </w:rPr>
            </w:pPr>
            <w:r>
              <w:rPr>
                <w:rFonts w:ascii="Arial" w:eastAsia="Times New Roman" w:hAnsi="Arial" w:cs="Arial"/>
                <w:color w:val="000000"/>
                <w:sz w:val="20"/>
                <w:szCs w:val="20"/>
              </w:rPr>
              <w:t>87.4 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FCE07F"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3D518F"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6ECA9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5EF56B" w14:textId="77777777" w:rsidR="00000000" w:rsidRDefault="00C01C43">
            <w:pPr>
              <w:jc w:val="right"/>
              <w:rPr>
                <w:rFonts w:eastAsia="Times New Roman"/>
              </w:rPr>
            </w:pPr>
            <w:r>
              <w:rPr>
                <w:rFonts w:ascii="Arial" w:eastAsia="Times New Roman" w:hAnsi="Arial" w:cs="Arial"/>
                <w:color w:val="000000"/>
                <w:sz w:val="20"/>
                <w:szCs w:val="20"/>
              </w:rPr>
              <w:t>81.5 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F9FFA8" w14:textId="77777777" w:rsidR="00000000" w:rsidRDefault="00C01C43">
            <w:pPr>
              <w:jc w:val="right"/>
              <w:rPr>
                <w:rFonts w:eastAsia="Times New Roman"/>
              </w:rPr>
            </w:pPr>
          </w:p>
        </w:tc>
      </w:tr>
      <w:tr w:rsidR="00000000" w14:paraId="020CFC94" w14:textId="77777777">
        <w:trPr>
          <w:divId w:val="583761494"/>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687FE11" w14:textId="77777777" w:rsidR="00000000" w:rsidRDefault="00C01C43">
            <w:pPr>
              <w:rPr>
                <w:rFonts w:eastAsia="Times New Roman"/>
              </w:rPr>
            </w:pPr>
            <w:r>
              <w:rPr>
                <w:rFonts w:ascii="Arial" w:eastAsia="Times New Roman" w:hAnsi="Arial" w:cs="Arial"/>
                <w:color w:val="000000"/>
                <w:sz w:val="20"/>
                <w:szCs w:val="20"/>
              </w:rPr>
              <w:t>Capital expenditures: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2A99A8" w14:textId="77777777" w:rsidR="00000000" w:rsidRDefault="00C01C4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F55A6CF"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3ED38CD"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EA8F5FF"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2F23CA2" w14:textId="77777777" w:rsidR="00000000" w:rsidRDefault="00C01C43">
            <w:pPr>
              <w:rPr>
                <w:rFonts w:eastAsia="Times New Roman"/>
                <w:sz w:val="20"/>
                <w:szCs w:val="20"/>
              </w:rPr>
            </w:pPr>
          </w:p>
        </w:tc>
      </w:tr>
      <w:tr w:rsidR="00000000" w14:paraId="5BA72BE4" w14:textId="77777777">
        <w:trPr>
          <w:divId w:val="583761494"/>
        </w:trPr>
        <w:tc>
          <w:tcPr>
            <w:tcW w:w="0" w:type="auto"/>
            <w:gridSpan w:val="3"/>
            <w:shd w:val="clear" w:color="auto" w:fill="CCEEFF"/>
            <w:tcMar>
              <w:top w:w="30" w:type="dxa"/>
              <w:left w:w="20" w:type="dxa"/>
              <w:bottom w:w="30" w:type="dxa"/>
              <w:right w:w="20" w:type="dxa"/>
            </w:tcMar>
            <w:vAlign w:val="bottom"/>
            <w:hideMark/>
          </w:tcPr>
          <w:p w14:paraId="4742788E" w14:textId="77777777" w:rsidR="00000000" w:rsidRDefault="00C01C43">
            <w:pPr>
              <w:rPr>
                <w:rFonts w:eastAsia="Times New Roman"/>
              </w:rPr>
            </w:pPr>
            <w:r>
              <w:rPr>
                <w:rFonts w:ascii="Arial" w:eastAsia="Times New Roman" w:hAnsi="Arial" w:cs="Arial"/>
                <w:color w:val="000000"/>
                <w:sz w:val="20"/>
                <w:szCs w:val="20"/>
              </w:rPr>
              <w:t>Aviation segment</w:t>
            </w:r>
          </w:p>
        </w:tc>
        <w:tc>
          <w:tcPr>
            <w:tcW w:w="0" w:type="auto"/>
            <w:shd w:val="clear" w:color="auto" w:fill="CCEEFF"/>
            <w:tcMar>
              <w:top w:w="30" w:type="dxa"/>
              <w:left w:w="20" w:type="dxa"/>
              <w:bottom w:w="30" w:type="dxa"/>
              <w:right w:w="0" w:type="dxa"/>
            </w:tcMar>
            <w:vAlign w:val="bottom"/>
            <w:hideMark/>
          </w:tcPr>
          <w:p w14:paraId="5C17C1AB"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166DA50D" w14:textId="77777777" w:rsidR="00000000" w:rsidRDefault="00C01C43">
            <w:pPr>
              <w:jc w:val="right"/>
              <w:rPr>
                <w:rFonts w:eastAsia="Times New Roman"/>
              </w:rPr>
            </w:pPr>
            <w:r>
              <w:rPr>
                <w:rFonts w:ascii="Arial" w:eastAsia="Times New Roman" w:hAnsi="Arial" w:cs="Arial"/>
                <w:color w:val="000000"/>
                <w:sz w:val="20"/>
                <w:szCs w:val="20"/>
              </w:rPr>
              <w:t>17.6 </w:t>
            </w:r>
          </w:p>
        </w:tc>
        <w:tc>
          <w:tcPr>
            <w:tcW w:w="0" w:type="auto"/>
            <w:shd w:val="clear" w:color="auto" w:fill="CCEEFF"/>
            <w:tcMar>
              <w:top w:w="30" w:type="dxa"/>
              <w:left w:w="0" w:type="dxa"/>
              <w:bottom w:w="30" w:type="dxa"/>
              <w:right w:w="20" w:type="dxa"/>
            </w:tcMar>
            <w:vAlign w:val="bottom"/>
            <w:hideMark/>
          </w:tcPr>
          <w:p w14:paraId="076194B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937578"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0E4486"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F67B0E8" w14:textId="77777777" w:rsidR="00000000" w:rsidRDefault="00C01C43">
            <w:pPr>
              <w:jc w:val="right"/>
              <w:rPr>
                <w:rFonts w:eastAsia="Times New Roman"/>
              </w:rPr>
            </w:pPr>
            <w:r>
              <w:rPr>
                <w:rFonts w:ascii="Arial" w:eastAsia="Times New Roman" w:hAnsi="Arial" w:cs="Arial"/>
                <w:color w:val="000000"/>
                <w:sz w:val="20"/>
                <w:szCs w:val="20"/>
              </w:rPr>
              <w:t>23.0 </w:t>
            </w:r>
          </w:p>
        </w:tc>
        <w:tc>
          <w:tcPr>
            <w:tcW w:w="0" w:type="auto"/>
            <w:shd w:val="clear" w:color="auto" w:fill="CCEEFF"/>
            <w:tcMar>
              <w:top w:w="30" w:type="dxa"/>
              <w:left w:w="0" w:type="dxa"/>
              <w:bottom w:w="30" w:type="dxa"/>
              <w:right w:w="20" w:type="dxa"/>
            </w:tcMar>
            <w:vAlign w:val="bottom"/>
            <w:hideMark/>
          </w:tcPr>
          <w:p w14:paraId="57FA812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9C34F"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067722"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2A150721" w14:textId="77777777" w:rsidR="00000000" w:rsidRDefault="00C01C43">
            <w:pPr>
              <w:jc w:val="right"/>
              <w:rPr>
                <w:rFonts w:eastAsia="Times New Roman"/>
              </w:rPr>
            </w:pPr>
            <w:r>
              <w:rPr>
                <w:rFonts w:ascii="Arial" w:eastAsia="Times New Roman" w:hAnsi="Arial" w:cs="Arial"/>
                <w:color w:val="000000"/>
                <w:sz w:val="20"/>
                <w:szCs w:val="20"/>
              </w:rPr>
              <w:t>19.7 </w:t>
            </w:r>
          </w:p>
        </w:tc>
        <w:tc>
          <w:tcPr>
            <w:tcW w:w="0" w:type="auto"/>
            <w:shd w:val="clear" w:color="auto" w:fill="CCEEFF"/>
            <w:tcMar>
              <w:top w:w="30" w:type="dxa"/>
              <w:left w:w="0" w:type="dxa"/>
              <w:bottom w:w="30" w:type="dxa"/>
              <w:right w:w="20" w:type="dxa"/>
            </w:tcMar>
            <w:vAlign w:val="bottom"/>
            <w:hideMark/>
          </w:tcPr>
          <w:p w14:paraId="03BF442D" w14:textId="77777777" w:rsidR="00000000" w:rsidRDefault="00C01C43">
            <w:pPr>
              <w:jc w:val="right"/>
              <w:rPr>
                <w:rFonts w:eastAsia="Times New Roman"/>
              </w:rPr>
            </w:pPr>
          </w:p>
        </w:tc>
      </w:tr>
      <w:tr w:rsidR="00000000" w14:paraId="49B7E0E7" w14:textId="77777777">
        <w:trPr>
          <w:divId w:val="583761494"/>
        </w:trPr>
        <w:tc>
          <w:tcPr>
            <w:tcW w:w="0" w:type="auto"/>
            <w:gridSpan w:val="3"/>
            <w:shd w:val="clear" w:color="auto" w:fill="FFFFFF"/>
            <w:tcMar>
              <w:top w:w="30" w:type="dxa"/>
              <w:left w:w="20" w:type="dxa"/>
              <w:bottom w:w="30" w:type="dxa"/>
              <w:right w:w="20" w:type="dxa"/>
            </w:tcMar>
            <w:vAlign w:val="bottom"/>
            <w:hideMark/>
          </w:tcPr>
          <w:p w14:paraId="374BB6DA" w14:textId="77777777" w:rsidR="00000000" w:rsidRDefault="00C01C43">
            <w:pPr>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14:paraId="6EB287AF" w14:textId="77777777" w:rsidR="00000000" w:rsidRDefault="00C01C43">
            <w:pPr>
              <w:jc w:val="right"/>
              <w:rPr>
                <w:rFonts w:eastAsia="Times New Roman"/>
              </w:rPr>
            </w:pPr>
            <w:r>
              <w:rPr>
                <w:rFonts w:ascii="Arial" w:eastAsia="Times New Roman" w:hAnsi="Arial" w:cs="Arial"/>
                <w:color w:val="000000"/>
                <w:sz w:val="20"/>
                <w:szCs w:val="20"/>
              </w:rPr>
              <w:t>12.5 </w:t>
            </w:r>
          </w:p>
        </w:tc>
        <w:tc>
          <w:tcPr>
            <w:tcW w:w="0" w:type="auto"/>
            <w:shd w:val="clear" w:color="auto" w:fill="FFFFFF"/>
            <w:tcMar>
              <w:top w:w="30" w:type="dxa"/>
              <w:left w:w="0" w:type="dxa"/>
              <w:bottom w:w="30" w:type="dxa"/>
              <w:right w:w="20" w:type="dxa"/>
            </w:tcMar>
            <w:vAlign w:val="bottom"/>
            <w:hideMark/>
          </w:tcPr>
          <w:p w14:paraId="520C3125"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C639ED"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A8F8A3" w14:textId="77777777" w:rsidR="00000000" w:rsidRDefault="00C01C43">
            <w:pPr>
              <w:jc w:val="right"/>
              <w:rPr>
                <w:rFonts w:eastAsia="Times New Roman"/>
              </w:rPr>
            </w:pPr>
            <w:r>
              <w:rPr>
                <w:rFonts w:ascii="Arial" w:eastAsia="Times New Roman" w:hAnsi="Arial" w:cs="Arial"/>
                <w:color w:val="000000"/>
                <w:sz w:val="20"/>
                <w:szCs w:val="20"/>
              </w:rPr>
              <w:t>26.9 </w:t>
            </w:r>
          </w:p>
        </w:tc>
        <w:tc>
          <w:tcPr>
            <w:tcW w:w="0" w:type="auto"/>
            <w:shd w:val="clear" w:color="auto" w:fill="FFFFFF"/>
            <w:tcMar>
              <w:top w:w="30" w:type="dxa"/>
              <w:left w:w="0" w:type="dxa"/>
              <w:bottom w:w="30" w:type="dxa"/>
              <w:right w:w="20" w:type="dxa"/>
            </w:tcMar>
            <w:vAlign w:val="bottom"/>
            <w:hideMark/>
          </w:tcPr>
          <w:p w14:paraId="1857604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46BB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74231F" w14:textId="77777777" w:rsidR="00000000" w:rsidRDefault="00C01C43">
            <w:pPr>
              <w:jc w:val="right"/>
              <w:rPr>
                <w:rFonts w:eastAsia="Times New Roman"/>
              </w:rPr>
            </w:pPr>
            <w:r>
              <w:rPr>
                <w:rFonts w:ascii="Arial" w:eastAsia="Times New Roman" w:hAnsi="Arial" w:cs="Arial"/>
                <w:color w:val="000000"/>
                <w:sz w:val="20"/>
                <w:szCs w:val="20"/>
              </w:rPr>
              <w:t>30.9 </w:t>
            </w:r>
          </w:p>
        </w:tc>
        <w:tc>
          <w:tcPr>
            <w:tcW w:w="0" w:type="auto"/>
            <w:shd w:val="clear" w:color="auto" w:fill="FFFFFF"/>
            <w:tcMar>
              <w:top w:w="30" w:type="dxa"/>
              <w:left w:w="0" w:type="dxa"/>
              <w:bottom w:w="30" w:type="dxa"/>
              <w:right w:w="20" w:type="dxa"/>
            </w:tcMar>
            <w:vAlign w:val="bottom"/>
            <w:hideMark/>
          </w:tcPr>
          <w:p w14:paraId="47740A31" w14:textId="77777777" w:rsidR="00000000" w:rsidRDefault="00C01C43">
            <w:pPr>
              <w:jc w:val="right"/>
              <w:rPr>
                <w:rFonts w:eastAsia="Times New Roman"/>
              </w:rPr>
            </w:pPr>
          </w:p>
        </w:tc>
      </w:tr>
      <w:tr w:rsidR="00000000" w14:paraId="767A0526" w14:textId="77777777">
        <w:trPr>
          <w:divId w:val="583761494"/>
        </w:trPr>
        <w:tc>
          <w:tcPr>
            <w:tcW w:w="0" w:type="auto"/>
            <w:gridSpan w:val="3"/>
            <w:shd w:val="clear" w:color="auto" w:fill="CCEEFF"/>
            <w:tcMar>
              <w:top w:w="30" w:type="dxa"/>
              <w:left w:w="20" w:type="dxa"/>
              <w:bottom w:w="30" w:type="dxa"/>
              <w:right w:w="20" w:type="dxa"/>
            </w:tcMar>
            <w:vAlign w:val="bottom"/>
            <w:hideMark/>
          </w:tcPr>
          <w:p w14:paraId="2E3BD55C" w14:textId="77777777" w:rsidR="00000000" w:rsidRDefault="00C01C43">
            <w:pPr>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14:paraId="48750349" w14:textId="77777777" w:rsidR="00000000" w:rsidRDefault="00C01C43">
            <w:pPr>
              <w:jc w:val="right"/>
              <w:rPr>
                <w:rFonts w:eastAsia="Times New Roman"/>
              </w:rPr>
            </w:pPr>
            <w:r>
              <w:rPr>
                <w:rFonts w:ascii="Arial" w:eastAsia="Times New Roman" w:hAnsi="Arial" w:cs="Arial"/>
                <w:color w:val="000000"/>
                <w:sz w:val="20"/>
                <w:szCs w:val="20"/>
              </w:rPr>
              <w:t>0.8 </w:t>
            </w:r>
          </w:p>
        </w:tc>
        <w:tc>
          <w:tcPr>
            <w:tcW w:w="0" w:type="auto"/>
            <w:shd w:val="clear" w:color="auto" w:fill="CCEEFF"/>
            <w:tcMar>
              <w:top w:w="30" w:type="dxa"/>
              <w:left w:w="0" w:type="dxa"/>
              <w:bottom w:w="30" w:type="dxa"/>
              <w:right w:w="20" w:type="dxa"/>
            </w:tcMar>
            <w:vAlign w:val="bottom"/>
            <w:hideMark/>
          </w:tcPr>
          <w:p w14:paraId="4C0BF1B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3FBE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239646" w14:textId="77777777" w:rsidR="00000000" w:rsidRDefault="00C01C43">
            <w:pPr>
              <w:jc w:val="right"/>
              <w:rPr>
                <w:rFonts w:eastAsia="Times New Roman"/>
              </w:rPr>
            </w:pPr>
            <w:r>
              <w:rPr>
                <w:rFonts w:ascii="Arial" w:eastAsia="Times New Roman" w:hAnsi="Arial" w:cs="Arial"/>
                <w:color w:val="000000"/>
                <w:sz w:val="20"/>
                <w:szCs w:val="20"/>
              </w:rPr>
              <w:t>28.3 </w:t>
            </w:r>
          </w:p>
        </w:tc>
        <w:tc>
          <w:tcPr>
            <w:tcW w:w="0" w:type="auto"/>
            <w:shd w:val="clear" w:color="auto" w:fill="CCEEFF"/>
            <w:tcMar>
              <w:top w:w="30" w:type="dxa"/>
              <w:left w:w="0" w:type="dxa"/>
              <w:bottom w:w="30" w:type="dxa"/>
              <w:right w:w="20" w:type="dxa"/>
            </w:tcMar>
            <w:vAlign w:val="bottom"/>
            <w:hideMark/>
          </w:tcPr>
          <w:p w14:paraId="7848CE9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2AC0C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315D0B" w14:textId="77777777" w:rsidR="00000000" w:rsidRDefault="00C01C43">
            <w:pPr>
              <w:jc w:val="right"/>
              <w:rPr>
                <w:rFonts w:eastAsia="Times New Roman"/>
              </w:rPr>
            </w:pPr>
            <w:r>
              <w:rPr>
                <w:rFonts w:ascii="Arial" w:eastAsia="Times New Roman" w:hAnsi="Arial" w:cs="Arial"/>
                <w:color w:val="000000"/>
                <w:sz w:val="20"/>
                <w:szCs w:val="20"/>
              </w:rPr>
              <w:t>2.9 </w:t>
            </w:r>
          </w:p>
        </w:tc>
        <w:tc>
          <w:tcPr>
            <w:tcW w:w="0" w:type="auto"/>
            <w:shd w:val="clear" w:color="auto" w:fill="CCEEFF"/>
            <w:tcMar>
              <w:top w:w="30" w:type="dxa"/>
              <w:left w:w="0" w:type="dxa"/>
              <w:bottom w:w="30" w:type="dxa"/>
              <w:right w:w="20" w:type="dxa"/>
            </w:tcMar>
            <w:vAlign w:val="bottom"/>
            <w:hideMark/>
          </w:tcPr>
          <w:p w14:paraId="13CB39ED" w14:textId="77777777" w:rsidR="00000000" w:rsidRDefault="00C01C43">
            <w:pPr>
              <w:jc w:val="right"/>
              <w:rPr>
                <w:rFonts w:eastAsia="Times New Roman"/>
              </w:rPr>
            </w:pPr>
          </w:p>
        </w:tc>
      </w:tr>
      <w:tr w:rsidR="00000000" w14:paraId="207B986E" w14:textId="77777777">
        <w:trPr>
          <w:divId w:val="583761494"/>
        </w:trPr>
        <w:tc>
          <w:tcPr>
            <w:tcW w:w="0" w:type="auto"/>
            <w:gridSpan w:val="3"/>
            <w:shd w:val="clear" w:color="auto" w:fill="FFFFFF"/>
            <w:tcMar>
              <w:top w:w="30" w:type="dxa"/>
              <w:left w:w="20" w:type="dxa"/>
              <w:bottom w:w="30" w:type="dxa"/>
              <w:right w:w="20" w:type="dxa"/>
            </w:tcMar>
            <w:vAlign w:val="bottom"/>
            <w:hideMark/>
          </w:tcPr>
          <w:p w14:paraId="42246AA8" w14:textId="77777777" w:rsidR="00000000" w:rsidRDefault="00C01C43">
            <w:pPr>
              <w:rPr>
                <w:rFonts w:eastAsia="Times New Roman"/>
              </w:rPr>
            </w:pPr>
            <w:r>
              <w:rPr>
                <w:rFonts w:ascii="Arial" w:eastAsia="Times New Roman" w:hAnsi="Arial" w:cs="Arial"/>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14:paraId="0A1C7F95" w14:textId="77777777" w:rsidR="00000000" w:rsidRDefault="00C01C43">
            <w:pPr>
              <w:jc w:val="right"/>
              <w:rPr>
                <w:rFonts w:eastAsia="Times New Roman"/>
              </w:rPr>
            </w:pPr>
            <w:r>
              <w:rPr>
                <w:rFonts w:ascii="Arial" w:eastAsia="Times New Roman" w:hAnsi="Arial" w:cs="Arial"/>
                <w:color w:val="000000"/>
                <w:sz w:val="20"/>
                <w:szCs w:val="20"/>
              </w:rPr>
              <w:t>20.4 </w:t>
            </w:r>
          </w:p>
        </w:tc>
        <w:tc>
          <w:tcPr>
            <w:tcW w:w="0" w:type="auto"/>
            <w:shd w:val="clear" w:color="auto" w:fill="FFFFFF"/>
            <w:tcMar>
              <w:top w:w="30" w:type="dxa"/>
              <w:left w:w="0" w:type="dxa"/>
              <w:bottom w:w="30" w:type="dxa"/>
              <w:right w:w="20" w:type="dxa"/>
            </w:tcMar>
            <w:vAlign w:val="bottom"/>
            <w:hideMark/>
          </w:tcPr>
          <w:p w14:paraId="025734B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8E5C8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8046D0" w14:textId="77777777" w:rsidR="00000000" w:rsidRDefault="00C01C43">
            <w:pPr>
              <w:jc w:val="right"/>
              <w:rPr>
                <w:rFonts w:eastAsia="Times New Roman"/>
              </w:rPr>
            </w:pPr>
            <w:r>
              <w:rPr>
                <w:rFonts w:ascii="Arial" w:eastAsia="Times New Roman" w:hAnsi="Arial" w:cs="Arial"/>
                <w:color w:val="000000"/>
                <w:sz w:val="20"/>
                <w:szCs w:val="20"/>
              </w:rPr>
              <w:t>2.7 </w:t>
            </w:r>
          </w:p>
        </w:tc>
        <w:tc>
          <w:tcPr>
            <w:tcW w:w="0" w:type="auto"/>
            <w:shd w:val="clear" w:color="auto" w:fill="FFFFFF"/>
            <w:tcMar>
              <w:top w:w="30" w:type="dxa"/>
              <w:left w:w="0" w:type="dxa"/>
              <w:bottom w:w="30" w:type="dxa"/>
              <w:right w:w="20" w:type="dxa"/>
            </w:tcMar>
            <w:vAlign w:val="bottom"/>
            <w:hideMark/>
          </w:tcPr>
          <w:p w14:paraId="1A298B0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67F8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163F0C" w14:textId="77777777" w:rsidR="00000000" w:rsidRDefault="00C01C43">
            <w:pPr>
              <w:jc w:val="right"/>
              <w:rPr>
                <w:rFonts w:eastAsia="Times New Roman"/>
              </w:rPr>
            </w:pPr>
            <w:r>
              <w:rPr>
                <w:rFonts w:ascii="Arial" w:eastAsia="Times New Roman" w:hAnsi="Arial" w:cs="Arial"/>
                <w:color w:val="000000"/>
                <w:sz w:val="20"/>
                <w:szCs w:val="20"/>
              </w:rPr>
              <w:t>18.8 </w:t>
            </w:r>
          </w:p>
        </w:tc>
        <w:tc>
          <w:tcPr>
            <w:tcW w:w="0" w:type="auto"/>
            <w:shd w:val="clear" w:color="auto" w:fill="FFFFFF"/>
            <w:tcMar>
              <w:top w:w="30" w:type="dxa"/>
              <w:left w:w="0" w:type="dxa"/>
              <w:bottom w:w="30" w:type="dxa"/>
              <w:right w:w="20" w:type="dxa"/>
            </w:tcMar>
            <w:vAlign w:val="bottom"/>
            <w:hideMark/>
          </w:tcPr>
          <w:p w14:paraId="187D7844" w14:textId="77777777" w:rsidR="00000000" w:rsidRDefault="00C01C43">
            <w:pPr>
              <w:jc w:val="right"/>
              <w:rPr>
                <w:rFonts w:eastAsia="Times New Roman"/>
              </w:rPr>
            </w:pPr>
          </w:p>
        </w:tc>
      </w:tr>
      <w:tr w:rsidR="00000000" w14:paraId="27B78329" w14:textId="77777777">
        <w:trPr>
          <w:divId w:val="583761494"/>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09371A1"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7AF3C5"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E6B4F1" w14:textId="77777777" w:rsidR="00000000" w:rsidRDefault="00C01C43">
            <w:pPr>
              <w:jc w:val="right"/>
              <w:rPr>
                <w:rFonts w:eastAsia="Times New Roman"/>
              </w:rPr>
            </w:pPr>
            <w:r>
              <w:rPr>
                <w:rFonts w:ascii="Arial" w:eastAsia="Times New Roman" w:hAnsi="Arial" w:cs="Arial"/>
                <w:color w:val="000000"/>
                <w:sz w:val="20"/>
                <w:szCs w:val="20"/>
              </w:rPr>
              <w:t>51.3 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B85C71"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2BF1B30"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82ECD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C58765" w14:textId="77777777" w:rsidR="00000000" w:rsidRDefault="00C01C43">
            <w:pPr>
              <w:jc w:val="right"/>
              <w:rPr>
                <w:rFonts w:eastAsia="Times New Roman"/>
              </w:rPr>
            </w:pPr>
            <w:r>
              <w:rPr>
                <w:rFonts w:ascii="Arial" w:eastAsia="Times New Roman" w:hAnsi="Arial" w:cs="Arial"/>
                <w:color w:val="000000"/>
                <w:sz w:val="20"/>
                <w:szCs w:val="20"/>
              </w:rPr>
              <w:t>80.9 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1E7EE81"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9B5A946"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2BB72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1EFD88" w14:textId="77777777" w:rsidR="00000000" w:rsidRDefault="00C01C43">
            <w:pPr>
              <w:jc w:val="right"/>
              <w:rPr>
                <w:rFonts w:eastAsia="Times New Roman"/>
              </w:rPr>
            </w:pPr>
            <w:r>
              <w:rPr>
                <w:rFonts w:ascii="Arial" w:eastAsia="Times New Roman" w:hAnsi="Arial" w:cs="Arial"/>
                <w:color w:val="000000"/>
                <w:sz w:val="20"/>
                <w:szCs w:val="20"/>
              </w:rPr>
              <w:t>72.3 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F12F7D" w14:textId="77777777" w:rsidR="00000000" w:rsidRDefault="00C01C43">
            <w:pPr>
              <w:jc w:val="right"/>
              <w:rPr>
                <w:rFonts w:eastAsia="Times New Roman"/>
              </w:rPr>
            </w:pPr>
          </w:p>
        </w:tc>
      </w:tr>
    </w:tbl>
    <w:p w14:paraId="462F90F0" w14:textId="77777777" w:rsidR="00000000" w:rsidRDefault="00C01C43">
      <w:pPr>
        <w:ind w:hanging="720"/>
        <w:divId w:val="1445033116"/>
        <w:rPr>
          <w:rFonts w:eastAsia="Times New Roman"/>
        </w:rPr>
      </w:pPr>
      <w:r>
        <w:rPr>
          <w:rFonts w:ascii="Arial" w:eastAsia="Times New Roman" w:hAnsi="Arial" w:cs="Arial"/>
          <w:color w:val="000000"/>
          <w:sz w:val="16"/>
          <w:szCs w:val="16"/>
        </w:rPr>
        <w:t>(1)    Includes $10.3 million, $19.7 million and $17.1 million of restructuring charges for the years ended December 31, 2020, 2019 and 2018, respectively.</w:t>
      </w:r>
    </w:p>
    <w:p w14:paraId="29D8273F" w14:textId="77777777" w:rsidR="00000000" w:rsidRDefault="00C01C43">
      <w:pPr>
        <w:jc w:val="center"/>
        <w:divId w:val="997423253"/>
        <w:rPr>
          <w:rFonts w:eastAsia="Times New Roman"/>
        </w:rPr>
      </w:pPr>
      <w:r>
        <w:rPr>
          <w:rFonts w:ascii="Arial" w:eastAsia="Times New Roman" w:hAnsi="Arial" w:cs="Arial"/>
          <w:color w:val="000000"/>
          <w:sz w:val="16"/>
          <w:szCs w:val="16"/>
        </w:rPr>
        <w:t>86</w:t>
      </w:r>
    </w:p>
    <w:p w14:paraId="6466707B" w14:textId="77777777" w:rsidR="00000000" w:rsidRDefault="00C01C43">
      <w:pPr>
        <w:rPr>
          <w:rFonts w:eastAsia="Times New Roman"/>
        </w:rPr>
      </w:pPr>
      <w:r>
        <w:rPr>
          <w:rFonts w:eastAsia="Times New Roman"/>
        </w:rPr>
        <w:pict w14:anchorId="7921DDE0">
          <v:rect id="_x0000_i1115" style="width:0;height:1.5pt" o:hralign="center" o:hrstd="t" o:hr="t" fillcolor="#a0a0a0" stroked="f"/>
        </w:pict>
      </w:r>
    </w:p>
    <w:p w14:paraId="48F5FB4B" w14:textId="77777777" w:rsidR="00000000" w:rsidRDefault="00C01C43">
      <w:pPr>
        <w:divId w:val="1639410482"/>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FB65992" w14:textId="77777777" w:rsidR="00000000" w:rsidRDefault="00C01C43">
      <w:pPr>
        <w:jc w:val="both"/>
        <w:divId w:val="1827284845"/>
        <w:rPr>
          <w:rFonts w:eastAsia="Times New Roman"/>
        </w:rPr>
      </w:pPr>
      <w:r>
        <w:rPr>
          <w:rFonts w:ascii="Arial" w:eastAsia="Times New Roman" w:hAnsi="Arial" w:cs="Arial"/>
          <w:color w:val="000000"/>
          <w:sz w:val="20"/>
          <w:szCs w:val="20"/>
        </w:rPr>
        <w:t>Information concerning our accounts receivable, net, and total assets by segment is as follows (in millions):</w:t>
      </w:r>
    </w:p>
    <w:tbl>
      <w:tblPr>
        <w:tblW w:w="4992" w:type="pct"/>
        <w:tblCellMar>
          <w:top w:w="15" w:type="dxa"/>
          <w:left w:w="15" w:type="dxa"/>
          <w:bottom w:w="15" w:type="dxa"/>
          <w:right w:w="15" w:type="dxa"/>
        </w:tblCellMar>
        <w:tblLook w:val="04A0" w:firstRow="1" w:lastRow="0" w:firstColumn="1" w:lastColumn="0" w:noHBand="0" w:noVBand="1"/>
      </w:tblPr>
      <w:tblGrid>
        <w:gridCol w:w="38"/>
        <w:gridCol w:w="6320"/>
        <w:gridCol w:w="37"/>
        <w:gridCol w:w="132"/>
        <w:gridCol w:w="723"/>
        <w:gridCol w:w="36"/>
        <w:gridCol w:w="36"/>
        <w:gridCol w:w="36"/>
        <w:gridCol w:w="36"/>
        <w:gridCol w:w="132"/>
        <w:gridCol w:w="731"/>
        <w:gridCol w:w="36"/>
      </w:tblGrid>
      <w:tr w:rsidR="00000000" w14:paraId="7556B2C3" w14:textId="77777777">
        <w:trPr>
          <w:divId w:val="1969895628"/>
        </w:trPr>
        <w:tc>
          <w:tcPr>
            <w:tcW w:w="50" w:type="pct"/>
            <w:vAlign w:val="center"/>
            <w:hideMark/>
          </w:tcPr>
          <w:p w14:paraId="3196EA0A" w14:textId="77777777" w:rsidR="00000000" w:rsidRDefault="00C01C43">
            <w:pPr>
              <w:jc w:val="both"/>
              <w:rPr>
                <w:rFonts w:eastAsia="Times New Roman"/>
              </w:rPr>
            </w:pPr>
          </w:p>
        </w:tc>
        <w:tc>
          <w:tcPr>
            <w:tcW w:w="3839" w:type="pct"/>
            <w:vAlign w:val="center"/>
            <w:hideMark/>
          </w:tcPr>
          <w:p w14:paraId="059D5DB9" w14:textId="77777777" w:rsidR="00000000" w:rsidRDefault="00C01C43">
            <w:pPr>
              <w:rPr>
                <w:rFonts w:eastAsia="Times New Roman"/>
                <w:sz w:val="20"/>
                <w:szCs w:val="20"/>
              </w:rPr>
            </w:pPr>
          </w:p>
        </w:tc>
        <w:tc>
          <w:tcPr>
            <w:tcW w:w="5" w:type="pct"/>
            <w:vAlign w:val="center"/>
            <w:hideMark/>
          </w:tcPr>
          <w:p w14:paraId="01213EC1" w14:textId="77777777" w:rsidR="00000000" w:rsidRDefault="00C01C43">
            <w:pPr>
              <w:rPr>
                <w:rFonts w:eastAsia="Times New Roman"/>
                <w:sz w:val="20"/>
                <w:szCs w:val="20"/>
              </w:rPr>
            </w:pPr>
          </w:p>
        </w:tc>
        <w:tc>
          <w:tcPr>
            <w:tcW w:w="50" w:type="pct"/>
            <w:vAlign w:val="center"/>
            <w:hideMark/>
          </w:tcPr>
          <w:p w14:paraId="73711C98" w14:textId="77777777" w:rsidR="00000000" w:rsidRDefault="00C01C43">
            <w:pPr>
              <w:rPr>
                <w:rFonts w:eastAsia="Times New Roman"/>
                <w:sz w:val="20"/>
                <w:szCs w:val="20"/>
              </w:rPr>
            </w:pPr>
          </w:p>
        </w:tc>
        <w:tc>
          <w:tcPr>
            <w:tcW w:w="464" w:type="pct"/>
            <w:vAlign w:val="center"/>
            <w:hideMark/>
          </w:tcPr>
          <w:p w14:paraId="5562F30C" w14:textId="77777777" w:rsidR="00000000" w:rsidRDefault="00C01C43">
            <w:pPr>
              <w:rPr>
                <w:rFonts w:eastAsia="Times New Roman"/>
                <w:sz w:val="20"/>
                <w:szCs w:val="20"/>
              </w:rPr>
            </w:pPr>
          </w:p>
        </w:tc>
        <w:tc>
          <w:tcPr>
            <w:tcW w:w="5" w:type="pct"/>
            <w:vAlign w:val="center"/>
            <w:hideMark/>
          </w:tcPr>
          <w:p w14:paraId="5012F417" w14:textId="77777777" w:rsidR="00000000" w:rsidRDefault="00C01C43">
            <w:pPr>
              <w:rPr>
                <w:rFonts w:eastAsia="Times New Roman"/>
                <w:sz w:val="20"/>
                <w:szCs w:val="20"/>
              </w:rPr>
            </w:pPr>
          </w:p>
        </w:tc>
        <w:tc>
          <w:tcPr>
            <w:tcW w:w="5" w:type="pct"/>
            <w:vAlign w:val="center"/>
            <w:hideMark/>
          </w:tcPr>
          <w:p w14:paraId="022B034E" w14:textId="77777777" w:rsidR="00000000" w:rsidRDefault="00C01C43">
            <w:pPr>
              <w:rPr>
                <w:rFonts w:eastAsia="Times New Roman"/>
                <w:sz w:val="20"/>
                <w:szCs w:val="20"/>
              </w:rPr>
            </w:pPr>
          </w:p>
        </w:tc>
        <w:tc>
          <w:tcPr>
            <w:tcW w:w="26" w:type="pct"/>
            <w:vAlign w:val="center"/>
            <w:hideMark/>
          </w:tcPr>
          <w:p w14:paraId="472A7EDC" w14:textId="77777777" w:rsidR="00000000" w:rsidRDefault="00C01C43">
            <w:pPr>
              <w:rPr>
                <w:rFonts w:eastAsia="Times New Roman"/>
                <w:sz w:val="20"/>
                <w:szCs w:val="20"/>
              </w:rPr>
            </w:pPr>
          </w:p>
        </w:tc>
        <w:tc>
          <w:tcPr>
            <w:tcW w:w="5" w:type="pct"/>
            <w:vAlign w:val="center"/>
            <w:hideMark/>
          </w:tcPr>
          <w:p w14:paraId="44518841" w14:textId="77777777" w:rsidR="00000000" w:rsidRDefault="00C01C43">
            <w:pPr>
              <w:rPr>
                <w:rFonts w:eastAsia="Times New Roman"/>
                <w:sz w:val="20"/>
                <w:szCs w:val="20"/>
              </w:rPr>
            </w:pPr>
          </w:p>
        </w:tc>
        <w:tc>
          <w:tcPr>
            <w:tcW w:w="50" w:type="pct"/>
            <w:vAlign w:val="center"/>
            <w:hideMark/>
          </w:tcPr>
          <w:p w14:paraId="06E4F74A" w14:textId="77777777" w:rsidR="00000000" w:rsidRDefault="00C01C43">
            <w:pPr>
              <w:rPr>
                <w:rFonts w:eastAsia="Times New Roman"/>
                <w:sz w:val="20"/>
                <w:szCs w:val="20"/>
              </w:rPr>
            </w:pPr>
          </w:p>
        </w:tc>
        <w:tc>
          <w:tcPr>
            <w:tcW w:w="494" w:type="pct"/>
            <w:vAlign w:val="center"/>
            <w:hideMark/>
          </w:tcPr>
          <w:p w14:paraId="18EF84E9" w14:textId="77777777" w:rsidR="00000000" w:rsidRDefault="00C01C43">
            <w:pPr>
              <w:rPr>
                <w:rFonts w:eastAsia="Times New Roman"/>
                <w:sz w:val="20"/>
                <w:szCs w:val="20"/>
              </w:rPr>
            </w:pPr>
          </w:p>
        </w:tc>
        <w:tc>
          <w:tcPr>
            <w:tcW w:w="5" w:type="pct"/>
            <w:vAlign w:val="center"/>
            <w:hideMark/>
          </w:tcPr>
          <w:p w14:paraId="37CAACDF" w14:textId="77777777" w:rsidR="00000000" w:rsidRDefault="00C01C43">
            <w:pPr>
              <w:rPr>
                <w:rFonts w:eastAsia="Times New Roman"/>
                <w:sz w:val="20"/>
                <w:szCs w:val="20"/>
              </w:rPr>
            </w:pPr>
          </w:p>
        </w:tc>
      </w:tr>
      <w:tr w:rsidR="00000000" w14:paraId="2732297B" w14:textId="77777777">
        <w:trPr>
          <w:divId w:val="1969895628"/>
        </w:trPr>
        <w:tc>
          <w:tcPr>
            <w:tcW w:w="0" w:type="auto"/>
            <w:gridSpan w:val="3"/>
            <w:tcMar>
              <w:top w:w="0" w:type="dxa"/>
              <w:left w:w="20" w:type="dxa"/>
              <w:bottom w:w="0" w:type="dxa"/>
              <w:right w:w="20" w:type="dxa"/>
            </w:tcMar>
            <w:vAlign w:val="center"/>
            <w:hideMark/>
          </w:tcPr>
          <w:p w14:paraId="1A14D52F" w14:textId="77777777" w:rsidR="00000000" w:rsidRDefault="00C01C43">
            <w:pPr>
              <w:rPr>
                <w:rFonts w:eastAsia="Times New Roman"/>
                <w:sz w:val="20"/>
                <w:szCs w:val="20"/>
              </w:rPr>
            </w:pPr>
          </w:p>
        </w:tc>
        <w:tc>
          <w:tcPr>
            <w:tcW w:w="0" w:type="auto"/>
            <w:gridSpan w:val="9"/>
            <w:tcMar>
              <w:top w:w="30" w:type="dxa"/>
              <w:left w:w="20" w:type="dxa"/>
              <w:bottom w:w="30" w:type="dxa"/>
              <w:right w:w="20" w:type="dxa"/>
            </w:tcMar>
            <w:vAlign w:val="bottom"/>
            <w:hideMark/>
          </w:tcPr>
          <w:p w14:paraId="2C4326BF" w14:textId="77777777" w:rsidR="00000000" w:rsidRDefault="00C01C43">
            <w:pPr>
              <w:jc w:val="center"/>
              <w:rPr>
                <w:rFonts w:eastAsia="Times New Roman"/>
              </w:rPr>
            </w:pPr>
            <w:r>
              <w:rPr>
                <w:rFonts w:ascii="Arial" w:eastAsia="Times New Roman" w:hAnsi="Arial" w:cs="Arial"/>
                <w:b/>
                <w:bCs/>
                <w:color w:val="000000"/>
                <w:sz w:val="16"/>
                <w:szCs w:val="16"/>
              </w:rPr>
              <w:t>As of December 31,</w:t>
            </w:r>
          </w:p>
        </w:tc>
      </w:tr>
      <w:tr w:rsidR="00000000" w14:paraId="700F9BB6" w14:textId="77777777">
        <w:trPr>
          <w:divId w:val="1969895628"/>
        </w:trPr>
        <w:tc>
          <w:tcPr>
            <w:tcW w:w="0" w:type="auto"/>
            <w:gridSpan w:val="3"/>
            <w:tcMar>
              <w:top w:w="0" w:type="dxa"/>
              <w:left w:w="20" w:type="dxa"/>
              <w:bottom w:w="0" w:type="dxa"/>
              <w:right w:w="20" w:type="dxa"/>
            </w:tcMar>
            <w:vAlign w:val="center"/>
            <w:hideMark/>
          </w:tcPr>
          <w:p w14:paraId="4A6E2116"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F814D1"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1438F3C"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DACDA3" w14:textId="77777777" w:rsidR="00000000" w:rsidRDefault="00C01C43">
            <w:pPr>
              <w:jc w:val="center"/>
              <w:rPr>
                <w:rFonts w:eastAsia="Times New Roman"/>
              </w:rPr>
            </w:pPr>
            <w:r>
              <w:rPr>
                <w:rFonts w:ascii="Arial" w:eastAsia="Times New Roman" w:hAnsi="Arial" w:cs="Arial"/>
                <w:b/>
                <w:bCs/>
                <w:color w:val="000000"/>
                <w:sz w:val="16"/>
                <w:szCs w:val="16"/>
              </w:rPr>
              <w:t>2019</w:t>
            </w:r>
          </w:p>
        </w:tc>
      </w:tr>
      <w:tr w:rsidR="00000000" w14:paraId="1E0E988C" w14:textId="77777777">
        <w:trPr>
          <w:divId w:val="196989562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1D5897C" w14:textId="77777777" w:rsidR="00000000" w:rsidRDefault="00C01C43">
            <w:pPr>
              <w:rPr>
                <w:rFonts w:eastAsia="Times New Roman"/>
              </w:rPr>
            </w:pPr>
            <w:r>
              <w:rPr>
                <w:rFonts w:ascii="Arial" w:eastAsia="Times New Roman" w:hAnsi="Arial" w:cs="Arial"/>
                <w:color w:val="000000"/>
                <w:sz w:val="20"/>
                <w:szCs w:val="20"/>
              </w:rPr>
              <w:t>Accounts receivable,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0810F9"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7FD968"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C4200F" w14:textId="77777777" w:rsidR="00000000" w:rsidRDefault="00C01C43">
            <w:pPr>
              <w:rPr>
                <w:rFonts w:eastAsia="Times New Roman"/>
                <w:sz w:val="20"/>
                <w:szCs w:val="20"/>
              </w:rPr>
            </w:pPr>
          </w:p>
        </w:tc>
      </w:tr>
      <w:tr w:rsidR="00000000" w14:paraId="580E60CB" w14:textId="77777777">
        <w:trPr>
          <w:divId w:val="1969895628"/>
        </w:trPr>
        <w:tc>
          <w:tcPr>
            <w:tcW w:w="0" w:type="auto"/>
            <w:gridSpan w:val="3"/>
            <w:shd w:val="clear" w:color="auto" w:fill="FFFFFF"/>
            <w:tcMar>
              <w:top w:w="30" w:type="dxa"/>
              <w:left w:w="20" w:type="dxa"/>
              <w:bottom w:w="30" w:type="dxa"/>
              <w:right w:w="20" w:type="dxa"/>
            </w:tcMar>
            <w:vAlign w:val="bottom"/>
            <w:hideMark/>
          </w:tcPr>
          <w:p w14:paraId="30FEF612" w14:textId="77777777" w:rsidR="00000000" w:rsidRDefault="00C01C43">
            <w:pPr>
              <w:divId w:val="94980424"/>
              <w:rPr>
                <w:rFonts w:eastAsia="Times New Roman"/>
              </w:rPr>
            </w:pPr>
            <w:r>
              <w:rPr>
                <w:rFonts w:ascii="Arial" w:eastAsia="Times New Roman" w:hAnsi="Arial" w:cs="Arial"/>
                <w:color w:val="000000"/>
                <w:sz w:val="20"/>
                <w:szCs w:val="20"/>
              </w:rPr>
              <w:t>Aviation segment, net of allowance for credit losses of $41.2 and $14.6 as of December 31, 2020 and December 31, 2019, respectively</w:t>
            </w:r>
          </w:p>
        </w:tc>
        <w:tc>
          <w:tcPr>
            <w:tcW w:w="0" w:type="auto"/>
            <w:shd w:val="clear" w:color="auto" w:fill="FFFFFF"/>
            <w:tcMar>
              <w:top w:w="30" w:type="dxa"/>
              <w:left w:w="20" w:type="dxa"/>
              <w:bottom w:w="30" w:type="dxa"/>
              <w:right w:w="0" w:type="dxa"/>
            </w:tcMar>
            <w:vAlign w:val="bottom"/>
            <w:hideMark/>
          </w:tcPr>
          <w:p w14:paraId="4032E7C2"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BF1C16F" w14:textId="77777777" w:rsidR="00000000" w:rsidRDefault="00C01C43">
            <w:pPr>
              <w:jc w:val="right"/>
              <w:rPr>
                <w:rFonts w:eastAsia="Times New Roman"/>
              </w:rPr>
            </w:pPr>
            <w:r>
              <w:rPr>
                <w:rFonts w:ascii="Arial" w:eastAsia="Times New Roman" w:hAnsi="Arial" w:cs="Arial"/>
                <w:color w:val="000000"/>
                <w:sz w:val="20"/>
                <w:szCs w:val="20"/>
              </w:rPr>
              <w:t>464.7 </w:t>
            </w:r>
          </w:p>
        </w:tc>
        <w:tc>
          <w:tcPr>
            <w:tcW w:w="0" w:type="auto"/>
            <w:shd w:val="clear" w:color="auto" w:fill="FFFFFF"/>
            <w:tcMar>
              <w:top w:w="30" w:type="dxa"/>
              <w:left w:w="0" w:type="dxa"/>
              <w:bottom w:w="30" w:type="dxa"/>
              <w:right w:w="20" w:type="dxa"/>
            </w:tcMar>
            <w:vAlign w:val="bottom"/>
            <w:hideMark/>
          </w:tcPr>
          <w:p w14:paraId="0496B5D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CBA08D"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DAFCB8"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61DDADD" w14:textId="77777777" w:rsidR="00000000" w:rsidRDefault="00C01C43">
            <w:pPr>
              <w:jc w:val="right"/>
              <w:rPr>
                <w:rFonts w:eastAsia="Times New Roman"/>
              </w:rPr>
            </w:pPr>
            <w:r>
              <w:rPr>
                <w:rFonts w:ascii="Arial" w:eastAsia="Times New Roman" w:hAnsi="Arial" w:cs="Arial"/>
                <w:color w:val="000000"/>
                <w:sz w:val="20"/>
                <w:szCs w:val="20"/>
              </w:rPr>
              <w:t>1,098.2 </w:t>
            </w:r>
          </w:p>
        </w:tc>
        <w:tc>
          <w:tcPr>
            <w:tcW w:w="0" w:type="auto"/>
            <w:shd w:val="clear" w:color="auto" w:fill="FFFFFF"/>
            <w:tcMar>
              <w:top w:w="30" w:type="dxa"/>
              <w:left w:w="0" w:type="dxa"/>
              <w:bottom w:w="30" w:type="dxa"/>
              <w:right w:w="20" w:type="dxa"/>
            </w:tcMar>
            <w:vAlign w:val="bottom"/>
            <w:hideMark/>
          </w:tcPr>
          <w:p w14:paraId="126216B9" w14:textId="77777777" w:rsidR="00000000" w:rsidRDefault="00C01C43">
            <w:pPr>
              <w:jc w:val="right"/>
              <w:rPr>
                <w:rFonts w:eastAsia="Times New Roman"/>
              </w:rPr>
            </w:pPr>
          </w:p>
        </w:tc>
      </w:tr>
      <w:tr w:rsidR="00000000" w14:paraId="307B84A7" w14:textId="77777777">
        <w:trPr>
          <w:divId w:val="1969895628"/>
        </w:trPr>
        <w:tc>
          <w:tcPr>
            <w:tcW w:w="0" w:type="auto"/>
            <w:gridSpan w:val="3"/>
            <w:shd w:val="clear" w:color="auto" w:fill="CCEEFF"/>
            <w:tcMar>
              <w:top w:w="30" w:type="dxa"/>
              <w:left w:w="20" w:type="dxa"/>
              <w:bottom w:w="30" w:type="dxa"/>
              <w:right w:w="20" w:type="dxa"/>
            </w:tcMar>
            <w:vAlign w:val="bottom"/>
            <w:hideMark/>
          </w:tcPr>
          <w:p w14:paraId="3AA41E51" w14:textId="77777777" w:rsidR="00000000" w:rsidRDefault="00C01C43">
            <w:pPr>
              <w:divId w:val="1812672715"/>
              <w:rPr>
                <w:rFonts w:eastAsia="Times New Roman"/>
              </w:rPr>
            </w:pPr>
            <w:r>
              <w:rPr>
                <w:rFonts w:ascii="Arial" w:eastAsia="Times New Roman" w:hAnsi="Arial" w:cs="Arial"/>
                <w:color w:val="000000"/>
                <w:sz w:val="20"/>
                <w:szCs w:val="20"/>
              </w:rPr>
              <w:t>Land segment, net of allowance for credit losses of $5.0 and $2.8 as of December 31, 2020 and December 31, 2019, respectively</w:t>
            </w:r>
          </w:p>
        </w:tc>
        <w:tc>
          <w:tcPr>
            <w:tcW w:w="0" w:type="auto"/>
            <w:gridSpan w:val="2"/>
            <w:shd w:val="clear" w:color="auto" w:fill="CCEEFF"/>
            <w:tcMar>
              <w:top w:w="30" w:type="dxa"/>
              <w:left w:w="20" w:type="dxa"/>
              <w:bottom w:w="30" w:type="dxa"/>
              <w:right w:w="0" w:type="dxa"/>
            </w:tcMar>
            <w:vAlign w:val="bottom"/>
            <w:hideMark/>
          </w:tcPr>
          <w:p w14:paraId="452BE9B5" w14:textId="77777777" w:rsidR="00000000" w:rsidRDefault="00C01C43">
            <w:pPr>
              <w:jc w:val="right"/>
              <w:rPr>
                <w:rFonts w:eastAsia="Times New Roman"/>
              </w:rPr>
            </w:pPr>
            <w:r>
              <w:rPr>
                <w:rFonts w:ascii="Arial" w:eastAsia="Times New Roman" w:hAnsi="Arial" w:cs="Arial"/>
                <w:color w:val="000000"/>
                <w:sz w:val="20"/>
                <w:szCs w:val="20"/>
              </w:rPr>
              <w:t>394.5 </w:t>
            </w:r>
          </w:p>
        </w:tc>
        <w:tc>
          <w:tcPr>
            <w:tcW w:w="0" w:type="auto"/>
            <w:shd w:val="clear" w:color="auto" w:fill="CCEEFF"/>
            <w:tcMar>
              <w:top w:w="30" w:type="dxa"/>
              <w:left w:w="0" w:type="dxa"/>
              <w:bottom w:w="30" w:type="dxa"/>
              <w:right w:w="20" w:type="dxa"/>
            </w:tcMar>
            <w:vAlign w:val="bottom"/>
            <w:hideMark/>
          </w:tcPr>
          <w:p w14:paraId="40B1AE4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6C3D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44BD5E" w14:textId="77777777" w:rsidR="00000000" w:rsidRDefault="00C01C43">
            <w:pPr>
              <w:jc w:val="right"/>
              <w:rPr>
                <w:rFonts w:eastAsia="Times New Roman"/>
              </w:rPr>
            </w:pPr>
            <w:r>
              <w:rPr>
                <w:rFonts w:ascii="Arial" w:eastAsia="Times New Roman" w:hAnsi="Arial" w:cs="Arial"/>
                <w:color w:val="000000"/>
                <w:sz w:val="20"/>
                <w:szCs w:val="20"/>
              </w:rPr>
              <w:t>863.2 </w:t>
            </w:r>
          </w:p>
        </w:tc>
        <w:tc>
          <w:tcPr>
            <w:tcW w:w="0" w:type="auto"/>
            <w:shd w:val="clear" w:color="auto" w:fill="CCEEFF"/>
            <w:tcMar>
              <w:top w:w="30" w:type="dxa"/>
              <w:left w:w="0" w:type="dxa"/>
              <w:bottom w:w="30" w:type="dxa"/>
              <w:right w:w="20" w:type="dxa"/>
            </w:tcMar>
            <w:vAlign w:val="bottom"/>
            <w:hideMark/>
          </w:tcPr>
          <w:p w14:paraId="66218F18" w14:textId="77777777" w:rsidR="00000000" w:rsidRDefault="00C01C43">
            <w:pPr>
              <w:jc w:val="right"/>
              <w:rPr>
                <w:rFonts w:eastAsia="Times New Roman"/>
              </w:rPr>
            </w:pPr>
          </w:p>
        </w:tc>
      </w:tr>
      <w:tr w:rsidR="00000000" w14:paraId="21DFA9E1" w14:textId="77777777">
        <w:trPr>
          <w:divId w:val="1969895628"/>
        </w:trPr>
        <w:tc>
          <w:tcPr>
            <w:tcW w:w="0" w:type="auto"/>
            <w:gridSpan w:val="3"/>
            <w:shd w:val="clear" w:color="auto" w:fill="FFFFFF"/>
            <w:tcMar>
              <w:top w:w="30" w:type="dxa"/>
              <w:left w:w="20" w:type="dxa"/>
              <w:bottom w:w="30" w:type="dxa"/>
              <w:right w:w="20" w:type="dxa"/>
            </w:tcMar>
            <w:vAlign w:val="bottom"/>
            <w:hideMark/>
          </w:tcPr>
          <w:p w14:paraId="0D9CDAF4" w14:textId="77777777" w:rsidR="00000000" w:rsidRDefault="00C01C43">
            <w:pPr>
              <w:divId w:val="2036080881"/>
              <w:rPr>
                <w:rFonts w:eastAsia="Times New Roman"/>
              </w:rPr>
            </w:pPr>
            <w:r>
              <w:rPr>
                <w:rFonts w:ascii="Arial" w:eastAsia="Times New Roman" w:hAnsi="Arial" w:cs="Arial"/>
                <w:color w:val="000000"/>
                <w:sz w:val="20"/>
                <w:szCs w:val="20"/>
              </w:rPr>
              <w:t>Marine segment, net of allowance for credit losses of $7.6 and $18.0 as of December 31, 2020 and December 31, 2019, respectively</w:t>
            </w:r>
          </w:p>
        </w:tc>
        <w:tc>
          <w:tcPr>
            <w:tcW w:w="0" w:type="auto"/>
            <w:gridSpan w:val="2"/>
            <w:shd w:val="clear" w:color="auto" w:fill="FFFFFF"/>
            <w:tcMar>
              <w:top w:w="30" w:type="dxa"/>
              <w:left w:w="20" w:type="dxa"/>
              <w:bottom w:w="30" w:type="dxa"/>
              <w:right w:w="0" w:type="dxa"/>
            </w:tcMar>
            <w:vAlign w:val="bottom"/>
            <w:hideMark/>
          </w:tcPr>
          <w:p w14:paraId="558885C6" w14:textId="77777777" w:rsidR="00000000" w:rsidRDefault="00C01C43">
            <w:pPr>
              <w:jc w:val="right"/>
              <w:rPr>
                <w:rFonts w:eastAsia="Times New Roman"/>
              </w:rPr>
            </w:pPr>
            <w:r>
              <w:rPr>
                <w:rFonts w:ascii="Arial" w:eastAsia="Times New Roman" w:hAnsi="Arial" w:cs="Arial"/>
                <w:color w:val="000000"/>
                <w:sz w:val="20"/>
                <w:szCs w:val="20"/>
              </w:rPr>
              <w:t>379.2 </w:t>
            </w:r>
          </w:p>
        </w:tc>
        <w:tc>
          <w:tcPr>
            <w:tcW w:w="0" w:type="auto"/>
            <w:shd w:val="clear" w:color="auto" w:fill="FFFFFF"/>
            <w:tcMar>
              <w:top w:w="30" w:type="dxa"/>
              <w:left w:w="0" w:type="dxa"/>
              <w:bottom w:w="30" w:type="dxa"/>
              <w:right w:w="20" w:type="dxa"/>
            </w:tcMar>
            <w:vAlign w:val="bottom"/>
            <w:hideMark/>
          </w:tcPr>
          <w:p w14:paraId="7180F38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0BE393"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2674B8" w14:textId="77777777" w:rsidR="00000000" w:rsidRDefault="00C01C43">
            <w:pPr>
              <w:jc w:val="right"/>
              <w:rPr>
                <w:rFonts w:eastAsia="Times New Roman"/>
              </w:rPr>
            </w:pPr>
            <w:r>
              <w:rPr>
                <w:rFonts w:ascii="Arial" w:eastAsia="Times New Roman" w:hAnsi="Arial" w:cs="Arial"/>
                <w:color w:val="000000"/>
                <w:sz w:val="20"/>
                <w:szCs w:val="20"/>
              </w:rPr>
              <w:t>930.5 </w:t>
            </w:r>
          </w:p>
        </w:tc>
        <w:tc>
          <w:tcPr>
            <w:tcW w:w="0" w:type="auto"/>
            <w:shd w:val="clear" w:color="auto" w:fill="FFFFFF"/>
            <w:tcMar>
              <w:top w:w="30" w:type="dxa"/>
              <w:left w:w="0" w:type="dxa"/>
              <w:bottom w:w="30" w:type="dxa"/>
              <w:right w:w="20" w:type="dxa"/>
            </w:tcMar>
            <w:vAlign w:val="bottom"/>
            <w:hideMark/>
          </w:tcPr>
          <w:p w14:paraId="68586320" w14:textId="77777777" w:rsidR="00000000" w:rsidRDefault="00C01C43">
            <w:pPr>
              <w:jc w:val="right"/>
              <w:rPr>
                <w:rFonts w:eastAsia="Times New Roman"/>
              </w:rPr>
            </w:pPr>
          </w:p>
        </w:tc>
      </w:tr>
      <w:tr w:rsidR="00000000" w14:paraId="21415BE2" w14:textId="77777777">
        <w:trPr>
          <w:divId w:val="1969895628"/>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84DBC1"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EF4BB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395639" w14:textId="77777777" w:rsidR="00000000" w:rsidRDefault="00C01C43">
            <w:pPr>
              <w:jc w:val="right"/>
              <w:rPr>
                <w:rFonts w:eastAsia="Times New Roman"/>
              </w:rPr>
            </w:pPr>
            <w:r>
              <w:rPr>
                <w:rFonts w:ascii="Arial" w:eastAsia="Times New Roman" w:hAnsi="Arial" w:cs="Arial"/>
                <w:color w:val="000000"/>
                <w:sz w:val="20"/>
                <w:szCs w:val="20"/>
              </w:rPr>
              <w:t>1,238.4 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AD83E6"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A9FB6E"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1F5B8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06A567" w14:textId="77777777" w:rsidR="00000000" w:rsidRDefault="00C01C43">
            <w:pPr>
              <w:jc w:val="right"/>
              <w:rPr>
                <w:rFonts w:eastAsia="Times New Roman"/>
              </w:rPr>
            </w:pPr>
            <w:r>
              <w:rPr>
                <w:rFonts w:ascii="Arial" w:eastAsia="Times New Roman" w:hAnsi="Arial" w:cs="Arial"/>
                <w:color w:val="000000"/>
                <w:sz w:val="20"/>
                <w:szCs w:val="20"/>
              </w:rPr>
              <w:t>2,891.9 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044113" w14:textId="77777777" w:rsidR="00000000" w:rsidRDefault="00C01C43">
            <w:pPr>
              <w:jc w:val="right"/>
              <w:rPr>
                <w:rFonts w:eastAsia="Times New Roman"/>
              </w:rPr>
            </w:pPr>
          </w:p>
        </w:tc>
      </w:tr>
      <w:tr w:rsidR="00000000" w14:paraId="5F3CA6BF" w14:textId="77777777">
        <w:trPr>
          <w:divId w:val="1969895628"/>
        </w:trPr>
        <w:tc>
          <w:tcPr>
            <w:tcW w:w="0" w:type="auto"/>
            <w:gridSpan w:val="3"/>
            <w:vAlign w:val="center"/>
            <w:hideMark/>
          </w:tcPr>
          <w:p w14:paraId="636EA8BE" w14:textId="77777777" w:rsidR="00000000" w:rsidRDefault="00C01C43">
            <w:pPr>
              <w:jc w:val="right"/>
              <w:rPr>
                <w:rFonts w:eastAsia="Times New Roman"/>
                <w:sz w:val="20"/>
                <w:szCs w:val="20"/>
              </w:rPr>
            </w:pPr>
          </w:p>
        </w:tc>
        <w:tc>
          <w:tcPr>
            <w:tcW w:w="0" w:type="auto"/>
            <w:gridSpan w:val="3"/>
            <w:vAlign w:val="center"/>
            <w:hideMark/>
          </w:tcPr>
          <w:p w14:paraId="274C7158" w14:textId="77777777" w:rsidR="00000000" w:rsidRDefault="00C01C43">
            <w:pPr>
              <w:rPr>
                <w:rFonts w:eastAsia="Times New Roman"/>
                <w:sz w:val="20"/>
                <w:szCs w:val="20"/>
              </w:rPr>
            </w:pPr>
          </w:p>
        </w:tc>
        <w:tc>
          <w:tcPr>
            <w:tcW w:w="0" w:type="auto"/>
            <w:gridSpan w:val="3"/>
            <w:vAlign w:val="center"/>
            <w:hideMark/>
          </w:tcPr>
          <w:p w14:paraId="3AA4FB29" w14:textId="77777777" w:rsidR="00000000" w:rsidRDefault="00C01C43">
            <w:pPr>
              <w:rPr>
                <w:rFonts w:eastAsia="Times New Roman"/>
                <w:sz w:val="20"/>
                <w:szCs w:val="20"/>
              </w:rPr>
            </w:pPr>
          </w:p>
        </w:tc>
        <w:tc>
          <w:tcPr>
            <w:tcW w:w="0" w:type="auto"/>
            <w:gridSpan w:val="3"/>
            <w:vAlign w:val="center"/>
            <w:hideMark/>
          </w:tcPr>
          <w:p w14:paraId="66442497" w14:textId="77777777" w:rsidR="00000000" w:rsidRDefault="00C01C43">
            <w:pPr>
              <w:rPr>
                <w:rFonts w:eastAsia="Times New Roman"/>
                <w:sz w:val="20"/>
                <w:szCs w:val="20"/>
              </w:rPr>
            </w:pPr>
          </w:p>
        </w:tc>
      </w:tr>
      <w:tr w:rsidR="00000000" w14:paraId="786CACC2" w14:textId="77777777">
        <w:trPr>
          <w:divId w:val="1969895628"/>
        </w:trPr>
        <w:tc>
          <w:tcPr>
            <w:tcW w:w="0" w:type="auto"/>
            <w:gridSpan w:val="3"/>
            <w:vAlign w:val="center"/>
            <w:hideMark/>
          </w:tcPr>
          <w:p w14:paraId="34D5CAD3" w14:textId="77777777" w:rsidR="00000000" w:rsidRDefault="00C01C43">
            <w:pPr>
              <w:rPr>
                <w:rFonts w:eastAsia="Times New Roman"/>
                <w:sz w:val="20"/>
                <w:szCs w:val="20"/>
              </w:rPr>
            </w:pPr>
          </w:p>
        </w:tc>
        <w:tc>
          <w:tcPr>
            <w:tcW w:w="0" w:type="auto"/>
            <w:gridSpan w:val="3"/>
            <w:vAlign w:val="center"/>
            <w:hideMark/>
          </w:tcPr>
          <w:p w14:paraId="08D2C78A" w14:textId="77777777" w:rsidR="00000000" w:rsidRDefault="00C01C43">
            <w:pPr>
              <w:rPr>
                <w:rFonts w:eastAsia="Times New Roman"/>
                <w:sz w:val="20"/>
                <w:szCs w:val="20"/>
              </w:rPr>
            </w:pPr>
          </w:p>
        </w:tc>
        <w:tc>
          <w:tcPr>
            <w:tcW w:w="0" w:type="auto"/>
            <w:gridSpan w:val="3"/>
            <w:vAlign w:val="center"/>
            <w:hideMark/>
          </w:tcPr>
          <w:p w14:paraId="193DA62B" w14:textId="77777777" w:rsidR="00000000" w:rsidRDefault="00C01C43">
            <w:pPr>
              <w:rPr>
                <w:rFonts w:eastAsia="Times New Roman"/>
                <w:sz w:val="20"/>
                <w:szCs w:val="20"/>
              </w:rPr>
            </w:pPr>
          </w:p>
        </w:tc>
        <w:tc>
          <w:tcPr>
            <w:tcW w:w="0" w:type="auto"/>
            <w:gridSpan w:val="3"/>
            <w:vAlign w:val="center"/>
            <w:hideMark/>
          </w:tcPr>
          <w:p w14:paraId="6D1C7977" w14:textId="77777777" w:rsidR="00000000" w:rsidRDefault="00C01C43">
            <w:pPr>
              <w:rPr>
                <w:rFonts w:eastAsia="Times New Roman"/>
                <w:sz w:val="20"/>
                <w:szCs w:val="20"/>
              </w:rPr>
            </w:pPr>
          </w:p>
        </w:tc>
      </w:tr>
      <w:tr w:rsidR="00000000" w14:paraId="7F32F446" w14:textId="77777777">
        <w:trPr>
          <w:divId w:val="1969895628"/>
        </w:trPr>
        <w:tc>
          <w:tcPr>
            <w:tcW w:w="0" w:type="auto"/>
            <w:gridSpan w:val="3"/>
            <w:vAlign w:val="center"/>
            <w:hideMark/>
          </w:tcPr>
          <w:p w14:paraId="7C2C8948" w14:textId="77777777" w:rsidR="00000000" w:rsidRDefault="00C01C43">
            <w:pPr>
              <w:rPr>
                <w:rFonts w:eastAsia="Times New Roman"/>
                <w:sz w:val="20"/>
                <w:szCs w:val="20"/>
              </w:rPr>
            </w:pPr>
          </w:p>
        </w:tc>
        <w:tc>
          <w:tcPr>
            <w:tcW w:w="0" w:type="auto"/>
            <w:gridSpan w:val="3"/>
            <w:vAlign w:val="center"/>
            <w:hideMark/>
          </w:tcPr>
          <w:p w14:paraId="539B8445" w14:textId="77777777" w:rsidR="00000000" w:rsidRDefault="00C01C43">
            <w:pPr>
              <w:rPr>
                <w:rFonts w:eastAsia="Times New Roman"/>
                <w:sz w:val="20"/>
                <w:szCs w:val="20"/>
              </w:rPr>
            </w:pPr>
          </w:p>
        </w:tc>
        <w:tc>
          <w:tcPr>
            <w:tcW w:w="0" w:type="auto"/>
            <w:gridSpan w:val="3"/>
            <w:vAlign w:val="center"/>
            <w:hideMark/>
          </w:tcPr>
          <w:p w14:paraId="102E2150" w14:textId="77777777" w:rsidR="00000000" w:rsidRDefault="00C01C43">
            <w:pPr>
              <w:rPr>
                <w:rFonts w:eastAsia="Times New Roman"/>
                <w:sz w:val="20"/>
                <w:szCs w:val="20"/>
              </w:rPr>
            </w:pPr>
          </w:p>
        </w:tc>
        <w:tc>
          <w:tcPr>
            <w:tcW w:w="0" w:type="auto"/>
            <w:gridSpan w:val="3"/>
            <w:vAlign w:val="center"/>
            <w:hideMark/>
          </w:tcPr>
          <w:p w14:paraId="54C0B029" w14:textId="77777777" w:rsidR="00000000" w:rsidRDefault="00C01C43">
            <w:pPr>
              <w:rPr>
                <w:rFonts w:eastAsia="Times New Roman"/>
                <w:sz w:val="20"/>
                <w:szCs w:val="20"/>
              </w:rPr>
            </w:pPr>
          </w:p>
        </w:tc>
      </w:tr>
      <w:tr w:rsidR="00000000" w14:paraId="74321FDE" w14:textId="77777777">
        <w:trPr>
          <w:divId w:val="1969895628"/>
        </w:trPr>
        <w:tc>
          <w:tcPr>
            <w:tcW w:w="0" w:type="auto"/>
            <w:gridSpan w:val="3"/>
            <w:vAlign w:val="center"/>
            <w:hideMark/>
          </w:tcPr>
          <w:p w14:paraId="60D22A66" w14:textId="77777777" w:rsidR="00000000" w:rsidRDefault="00C01C43">
            <w:pPr>
              <w:rPr>
                <w:rFonts w:eastAsia="Times New Roman"/>
                <w:sz w:val="20"/>
                <w:szCs w:val="20"/>
              </w:rPr>
            </w:pPr>
          </w:p>
        </w:tc>
        <w:tc>
          <w:tcPr>
            <w:tcW w:w="0" w:type="auto"/>
            <w:gridSpan w:val="3"/>
            <w:vAlign w:val="center"/>
            <w:hideMark/>
          </w:tcPr>
          <w:p w14:paraId="79B16664" w14:textId="77777777" w:rsidR="00000000" w:rsidRDefault="00C01C43">
            <w:pPr>
              <w:rPr>
                <w:rFonts w:eastAsia="Times New Roman"/>
                <w:sz w:val="20"/>
                <w:szCs w:val="20"/>
              </w:rPr>
            </w:pPr>
          </w:p>
        </w:tc>
        <w:tc>
          <w:tcPr>
            <w:tcW w:w="0" w:type="auto"/>
            <w:gridSpan w:val="3"/>
            <w:vAlign w:val="center"/>
            <w:hideMark/>
          </w:tcPr>
          <w:p w14:paraId="25B1F447" w14:textId="77777777" w:rsidR="00000000" w:rsidRDefault="00C01C43">
            <w:pPr>
              <w:rPr>
                <w:rFonts w:eastAsia="Times New Roman"/>
                <w:sz w:val="20"/>
                <w:szCs w:val="20"/>
              </w:rPr>
            </w:pPr>
          </w:p>
        </w:tc>
        <w:tc>
          <w:tcPr>
            <w:tcW w:w="0" w:type="auto"/>
            <w:gridSpan w:val="3"/>
            <w:vAlign w:val="center"/>
            <w:hideMark/>
          </w:tcPr>
          <w:p w14:paraId="36F51BA3" w14:textId="77777777" w:rsidR="00000000" w:rsidRDefault="00C01C43">
            <w:pPr>
              <w:rPr>
                <w:rFonts w:eastAsia="Times New Roman"/>
                <w:sz w:val="20"/>
                <w:szCs w:val="20"/>
              </w:rPr>
            </w:pPr>
          </w:p>
        </w:tc>
      </w:tr>
      <w:tr w:rsidR="00000000" w14:paraId="531134E9" w14:textId="77777777">
        <w:trPr>
          <w:divId w:val="1969895628"/>
        </w:trPr>
        <w:tc>
          <w:tcPr>
            <w:tcW w:w="0" w:type="auto"/>
            <w:gridSpan w:val="3"/>
            <w:vAlign w:val="center"/>
            <w:hideMark/>
          </w:tcPr>
          <w:p w14:paraId="41FD77D1" w14:textId="77777777" w:rsidR="00000000" w:rsidRDefault="00C01C43">
            <w:pPr>
              <w:rPr>
                <w:rFonts w:eastAsia="Times New Roman"/>
                <w:sz w:val="20"/>
                <w:szCs w:val="20"/>
              </w:rPr>
            </w:pPr>
          </w:p>
        </w:tc>
        <w:tc>
          <w:tcPr>
            <w:tcW w:w="0" w:type="auto"/>
            <w:gridSpan w:val="3"/>
            <w:vAlign w:val="center"/>
            <w:hideMark/>
          </w:tcPr>
          <w:p w14:paraId="33EA639E" w14:textId="77777777" w:rsidR="00000000" w:rsidRDefault="00C01C43">
            <w:pPr>
              <w:rPr>
                <w:rFonts w:eastAsia="Times New Roman"/>
                <w:sz w:val="20"/>
                <w:szCs w:val="20"/>
              </w:rPr>
            </w:pPr>
          </w:p>
        </w:tc>
        <w:tc>
          <w:tcPr>
            <w:tcW w:w="0" w:type="auto"/>
            <w:gridSpan w:val="3"/>
            <w:vAlign w:val="center"/>
            <w:hideMark/>
          </w:tcPr>
          <w:p w14:paraId="41FC844F" w14:textId="77777777" w:rsidR="00000000" w:rsidRDefault="00C01C43">
            <w:pPr>
              <w:rPr>
                <w:rFonts w:eastAsia="Times New Roman"/>
                <w:sz w:val="20"/>
                <w:szCs w:val="20"/>
              </w:rPr>
            </w:pPr>
          </w:p>
        </w:tc>
        <w:tc>
          <w:tcPr>
            <w:tcW w:w="0" w:type="auto"/>
            <w:gridSpan w:val="3"/>
            <w:vAlign w:val="center"/>
            <w:hideMark/>
          </w:tcPr>
          <w:p w14:paraId="0F6C915C" w14:textId="77777777" w:rsidR="00000000" w:rsidRDefault="00C01C43">
            <w:pPr>
              <w:rPr>
                <w:rFonts w:eastAsia="Times New Roman"/>
                <w:sz w:val="20"/>
                <w:szCs w:val="20"/>
              </w:rPr>
            </w:pPr>
          </w:p>
        </w:tc>
      </w:tr>
      <w:tr w:rsidR="00000000" w14:paraId="5211122E" w14:textId="77777777">
        <w:trPr>
          <w:divId w:val="1969895628"/>
        </w:trPr>
        <w:tc>
          <w:tcPr>
            <w:tcW w:w="0" w:type="auto"/>
            <w:gridSpan w:val="3"/>
            <w:vAlign w:val="center"/>
            <w:hideMark/>
          </w:tcPr>
          <w:p w14:paraId="5627BB37" w14:textId="77777777" w:rsidR="00000000" w:rsidRDefault="00C01C43">
            <w:pPr>
              <w:rPr>
                <w:rFonts w:eastAsia="Times New Roman"/>
                <w:sz w:val="20"/>
                <w:szCs w:val="20"/>
              </w:rPr>
            </w:pPr>
          </w:p>
        </w:tc>
        <w:tc>
          <w:tcPr>
            <w:tcW w:w="0" w:type="auto"/>
            <w:gridSpan w:val="3"/>
            <w:vAlign w:val="center"/>
            <w:hideMark/>
          </w:tcPr>
          <w:p w14:paraId="4D460E63" w14:textId="77777777" w:rsidR="00000000" w:rsidRDefault="00C01C43">
            <w:pPr>
              <w:rPr>
                <w:rFonts w:eastAsia="Times New Roman"/>
                <w:sz w:val="20"/>
                <w:szCs w:val="20"/>
              </w:rPr>
            </w:pPr>
          </w:p>
        </w:tc>
        <w:tc>
          <w:tcPr>
            <w:tcW w:w="0" w:type="auto"/>
            <w:gridSpan w:val="3"/>
            <w:vAlign w:val="center"/>
            <w:hideMark/>
          </w:tcPr>
          <w:p w14:paraId="13A2CAE7" w14:textId="77777777" w:rsidR="00000000" w:rsidRDefault="00C01C43">
            <w:pPr>
              <w:rPr>
                <w:rFonts w:eastAsia="Times New Roman"/>
                <w:sz w:val="20"/>
                <w:szCs w:val="20"/>
              </w:rPr>
            </w:pPr>
          </w:p>
        </w:tc>
        <w:tc>
          <w:tcPr>
            <w:tcW w:w="0" w:type="auto"/>
            <w:gridSpan w:val="3"/>
            <w:vAlign w:val="center"/>
            <w:hideMark/>
          </w:tcPr>
          <w:p w14:paraId="674EB8B6" w14:textId="77777777" w:rsidR="00000000" w:rsidRDefault="00C01C43">
            <w:pPr>
              <w:rPr>
                <w:rFonts w:eastAsia="Times New Roman"/>
                <w:sz w:val="20"/>
                <w:szCs w:val="20"/>
              </w:rPr>
            </w:pPr>
          </w:p>
        </w:tc>
      </w:tr>
      <w:tr w:rsidR="00000000" w14:paraId="74C551F7" w14:textId="77777777">
        <w:trPr>
          <w:divId w:val="1969895628"/>
        </w:trPr>
        <w:tc>
          <w:tcPr>
            <w:tcW w:w="0" w:type="auto"/>
            <w:gridSpan w:val="3"/>
            <w:vAlign w:val="center"/>
            <w:hideMark/>
          </w:tcPr>
          <w:p w14:paraId="73F35669" w14:textId="77777777" w:rsidR="00000000" w:rsidRDefault="00C01C43">
            <w:pPr>
              <w:rPr>
                <w:rFonts w:eastAsia="Times New Roman"/>
                <w:sz w:val="20"/>
                <w:szCs w:val="20"/>
              </w:rPr>
            </w:pPr>
          </w:p>
        </w:tc>
        <w:tc>
          <w:tcPr>
            <w:tcW w:w="0" w:type="auto"/>
            <w:gridSpan w:val="3"/>
            <w:vAlign w:val="center"/>
            <w:hideMark/>
          </w:tcPr>
          <w:p w14:paraId="5946E2F8" w14:textId="77777777" w:rsidR="00000000" w:rsidRDefault="00C01C43">
            <w:pPr>
              <w:rPr>
                <w:rFonts w:eastAsia="Times New Roman"/>
                <w:sz w:val="20"/>
                <w:szCs w:val="20"/>
              </w:rPr>
            </w:pPr>
          </w:p>
        </w:tc>
        <w:tc>
          <w:tcPr>
            <w:tcW w:w="0" w:type="auto"/>
            <w:gridSpan w:val="3"/>
            <w:vAlign w:val="center"/>
            <w:hideMark/>
          </w:tcPr>
          <w:p w14:paraId="0F7E226F" w14:textId="77777777" w:rsidR="00000000" w:rsidRDefault="00C01C43">
            <w:pPr>
              <w:rPr>
                <w:rFonts w:eastAsia="Times New Roman"/>
                <w:sz w:val="20"/>
                <w:szCs w:val="20"/>
              </w:rPr>
            </w:pPr>
          </w:p>
        </w:tc>
        <w:tc>
          <w:tcPr>
            <w:tcW w:w="0" w:type="auto"/>
            <w:gridSpan w:val="3"/>
            <w:vAlign w:val="center"/>
            <w:hideMark/>
          </w:tcPr>
          <w:p w14:paraId="74FBA3BC" w14:textId="77777777" w:rsidR="00000000" w:rsidRDefault="00C01C43">
            <w:pPr>
              <w:rPr>
                <w:rFonts w:eastAsia="Times New Roman"/>
                <w:sz w:val="20"/>
                <w:szCs w:val="20"/>
              </w:rPr>
            </w:pPr>
          </w:p>
        </w:tc>
      </w:tr>
      <w:tr w:rsidR="00000000" w14:paraId="6A9F11F8" w14:textId="77777777">
        <w:trPr>
          <w:divId w:val="1969895628"/>
        </w:trPr>
        <w:tc>
          <w:tcPr>
            <w:tcW w:w="0" w:type="auto"/>
            <w:gridSpan w:val="3"/>
            <w:vAlign w:val="center"/>
            <w:hideMark/>
          </w:tcPr>
          <w:p w14:paraId="50E65582" w14:textId="77777777" w:rsidR="00000000" w:rsidRDefault="00C01C43">
            <w:pPr>
              <w:rPr>
                <w:rFonts w:eastAsia="Times New Roman"/>
                <w:sz w:val="20"/>
                <w:szCs w:val="20"/>
              </w:rPr>
            </w:pPr>
          </w:p>
        </w:tc>
        <w:tc>
          <w:tcPr>
            <w:tcW w:w="0" w:type="auto"/>
            <w:gridSpan w:val="3"/>
            <w:vAlign w:val="center"/>
            <w:hideMark/>
          </w:tcPr>
          <w:p w14:paraId="2F6B41E8" w14:textId="77777777" w:rsidR="00000000" w:rsidRDefault="00C01C43">
            <w:pPr>
              <w:rPr>
                <w:rFonts w:eastAsia="Times New Roman"/>
                <w:sz w:val="20"/>
                <w:szCs w:val="20"/>
              </w:rPr>
            </w:pPr>
          </w:p>
        </w:tc>
        <w:tc>
          <w:tcPr>
            <w:tcW w:w="0" w:type="auto"/>
            <w:gridSpan w:val="3"/>
            <w:vAlign w:val="center"/>
            <w:hideMark/>
          </w:tcPr>
          <w:p w14:paraId="40CC276A" w14:textId="77777777" w:rsidR="00000000" w:rsidRDefault="00C01C43">
            <w:pPr>
              <w:rPr>
                <w:rFonts w:eastAsia="Times New Roman"/>
                <w:sz w:val="20"/>
                <w:szCs w:val="20"/>
              </w:rPr>
            </w:pPr>
          </w:p>
        </w:tc>
        <w:tc>
          <w:tcPr>
            <w:tcW w:w="0" w:type="auto"/>
            <w:gridSpan w:val="3"/>
            <w:vAlign w:val="center"/>
            <w:hideMark/>
          </w:tcPr>
          <w:p w14:paraId="7310E7F2" w14:textId="77777777" w:rsidR="00000000" w:rsidRDefault="00C01C43">
            <w:pPr>
              <w:rPr>
                <w:rFonts w:eastAsia="Times New Roman"/>
                <w:sz w:val="20"/>
                <w:szCs w:val="20"/>
              </w:rPr>
            </w:pPr>
          </w:p>
        </w:tc>
      </w:tr>
      <w:tr w:rsidR="00000000" w14:paraId="042373B2" w14:textId="77777777">
        <w:trPr>
          <w:divId w:val="1969895628"/>
        </w:trPr>
        <w:tc>
          <w:tcPr>
            <w:tcW w:w="0" w:type="auto"/>
            <w:gridSpan w:val="3"/>
            <w:vAlign w:val="center"/>
            <w:hideMark/>
          </w:tcPr>
          <w:p w14:paraId="73813606" w14:textId="77777777" w:rsidR="00000000" w:rsidRDefault="00C01C43">
            <w:pPr>
              <w:rPr>
                <w:rFonts w:eastAsia="Times New Roman"/>
                <w:sz w:val="20"/>
                <w:szCs w:val="20"/>
              </w:rPr>
            </w:pPr>
          </w:p>
        </w:tc>
        <w:tc>
          <w:tcPr>
            <w:tcW w:w="0" w:type="auto"/>
            <w:gridSpan w:val="3"/>
            <w:vAlign w:val="center"/>
            <w:hideMark/>
          </w:tcPr>
          <w:p w14:paraId="3F0289B4" w14:textId="77777777" w:rsidR="00000000" w:rsidRDefault="00C01C43">
            <w:pPr>
              <w:rPr>
                <w:rFonts w:eastAsia="Times New Roman"/>
                <w:sz w:val="20"/>
                <w:szCs w:val="20"/>
              </w:rPr>
            </w:pPr>
          </w:p>
        </w:tc>
        <w:tc>
          <w:tcPr>
            <w:tcW w:w="0" w:type="auto"/>
            <w:gridSpan w:val="3"/>
            <w:vAlign w:val="center"/>
            <w:hideMark/>
          </w:tcPr>
          <w:p w14:paraId="5F698C3D" w14:textId="77777777" w:rsidR="00000000" w:rsidRDefault="00C01C43">
            <w:pPr>
              <w:rPr>
                <w:rFonts w:eastAsia="Times New Roman"/>
                <w:sz w:val="20"/>
                <w:szCs w:val="20"/>
              </w:rPr>
            </w:pPr>
          </w:p>
        </w:tc>
        <w:tc>
          <w:tcPr>
            <w:tcW w:w="0" w:type="auto"/>
            <w:gridSpan w:val="3"/>
            <w:vAlign w:val="center"/>
            <w:hideMark/>
          </w:tcPr>
          <w:p w14:paraId="6F35F5CC" w14:textId="77777777" w:rsidR="00000000" w:rsidRDefault="00C01C43">
            <w:pPr>
              <w:rPr>
                <w:rFonts w:eastAsia="Times New Roman"/>
                <w:sz w:val="20"/>
                <w:szCs w:val="20"/>
              </w:rPr>
            </w:pPr>
          </w:p>
        </w:tc>
      </w:tr>
      <w:tr w:rsidR="00000000" w14:paraId="70E8A2EA" w14:textId="77777777">
        <w:trPr>
          <w:divId w:val="1969895628"/>
        </w:trPr>
        <w:tc>
          <w:tcPr>
            <w:tcW w:w="0" w:type="auto"/>
            <w:gridSpan w:val="3"/>
            <w:vAlign w:val="center"/>
            <w:hideMark/>
          </w:tcPr>
          <w:p w14:paraId="5F1A2C62" w14:textId="77777777" w:rsidR="00000000" w:rsidRDefault="00C01C43">
            <w:pPr>
              <w:rPr>
                <w:rFonts w:eastAsia="Times New Roman"/>
                <w:sz w:val="20"/>
                <w:szCs w:val="20"/>
              </w:rPr>
            </w:pPr>
          </w:p>
        </w:tc>
        <w:tc>
          <w:tcPr>
            <w:tcW w:w="0" w:type="auto"/>
            <w:gridSpan w:val="3"/>
            <w:vAlign w:val="center"/>
            <w:hideMark/>
          </w:tcPr>
          <w:p w14:paraId="0A2598B3" w14:textId="77777777" w:rsidR="00000000" w:rsidRDefault="00C01C43">
            <w:pPr>
              <w:rPr>
                <w:rFonts w:eastAsia="Times New Roman"/>
                <w:sz w:val="20"/>
                <w:szCs w:val="20"/>
              </w:rPr>
            </w:pPr>
          </w:p>
        </w:tc>
        <w:tc>
          <w:tcPr>
            <w:tcW w:w="0" w:type="auto"/>
            <w:gridSpan w:val="3"/>
            <w:vAlign w:val="center"/>
            <w:hideMark/>
          </w:tcPr>
          <w:p w14:paraId="5F5FD07C" w14:textId="77777777" w:rsidR="00000000" w:rsidRDefault="00C01C43">
            <w:pPr>
              <w:rPr>
                <w:rFonts w:eastAsia="Times New Roman"/>
                <w:sz w:val="20"/>
                <w:szCs w:val="20"/>
              </w:rPr>
            </w:pPr>
          </w:p>
        </w:tc>
        <w:tc>
          <w:tcPr>
            <w:tcW w:w="0" w:type="auto"/>
            <w:gridSpan w:val="3"/>
            <w:vAlign w:val="center"/>
            <w:hideMark/>
          </w:tcPr>
          <w:p w14:paraId="79CE0D7E" w14:textId="77777777" w:rsidR="00000000" w:rsidRDefault="00C01C43">
            <w:pPr>
              <w:rPr>
                <w:rFonts w:eastAsia="Times New Roman"/>
                <w:sz w:val="20"/>
                <w:szCs w:val="20"/>
              </w:rPr>
            </w:pPr>
          </w:p>
        </w:tc>
      </w:tr>
      <w:tr w:rsidR="00000000" w14:paraId="0AB3E21C" w14:textId="77777777">
        <w:trPr>
          <w:divId w:val="1969895628"/>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7BEECDC" w14:textId="77777777" w:rsidR="00000000" w:rsidRDefault="00C01C43">
            <w:pPr>
              <w:rPr>
                <w:rFonts w:eastAsia="Times New Roman"/>
              </w:rPr>
            </w:pPr>
            <w:r>
              <w:rPr>
                <w:rFonts w:ascii="Arial" w:eastAsia="Times New Roman" w:hAnsi="Arial" w:cs="Arial"/>
                <w:color w:val="000000"/>
                <w:sz w:val="20"/>
                <w:szCs w:val="20"/>
              </w:rPr>
              <w:t>Total assets: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2918584" w14:textId="77777777" w:rsidR="00000000" w:rsidRDefault="00C01C4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3BC11BE"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1015201" w14:textId="77777777" w:rsidR="00000000" w:rsidRDefault="00C01C43">
            <w:pPr>
              <w:rPr>
                <w:rFonts w:eastAsia="Times New Roman"/>
                <w:sz w:val="20"/>
                <w:szCs w:val="20"/>
              </w:rPr>
            </w:pPr>
          </w:p>
        </w:tc>
      </w:tr>
      <w:tr w:rsidR="00000000" w14:paraId="4216BBB9" w14:textId="77777777">
        <w:trPr>
          <w:divId w:val="1969895628"/>
        </w:trPr>
        <w:tc>
          <w:tcPr>
            <w:tcW w:w="0" w:type="auto"/>
            <w:gridSpan w:val="3"/>
            <w:shd w:val="clear" w:color="auto" w:fill="CCEEFF"/>
            <w:tcMar>
              <w:top w:w="30" w:type="dxa"/>
              <w:left w:w="20" w:type="dxa"/>
              <w:bottom w:w="30" w:type="dxa"/>
              <w:right w:w="20" w:type="dxa"/>
            </w:tcMar>
            <w:vAlign w:val="bottom"/>
            <w:hideMark/>
          </w:tcPr>
          <w:p w14:paraId="31F5F54F" w14:textId="77777777" w:rsidR="00000000" w:rsidRDefault="00C01C43">
            <w:pPr>
              <w:rPr>
                <w:rFonts w:eastAsia="Times New Roman"/>
              </w:rPr>
            </w:pPr>
            <w:r>
              <w:rPr>
                <w:rFonts w:ascii="Arial" w:eastAsia="Times New Roman" w:hAnsi="Arial" w:cs="Arial"/>
                <w:color w:val="000000"/>
                <w:sz w:val="20"/>
                <w:szCs w:val="20"/>
              </w:rPr>
              <w:t>Aviation segment</w:t>
            </w:r>
          </w:p>
        </w:tc>
        <w:tc>
          <w:tcPr>
            <w:tcW w:w="0" w:type="auto"/>
            <w:shd w:val="clear" w:color="auto" w:fill="CCEEFF"/>
            <w:tcMar>
              <w:top w:w="30" w:type="dxa"/>
              <w:left w:w="20" w:type="dxa"/>
              <w:bottom w:w="30" w:type="dxa"/>
              <w:right w:w="0" w:type="dxa"/>
            </w:tcMar>
            <w:vAlign w:val="bottom"/>
            <w:hideMark/>
          </w:tcPr>
          <w:p w14:paraId="43D0A6D3"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69CBF4D" w14:textId="77777777" w:rsidR="00000000" w:rsidRDefault="00C01C43">
            <w:pPr>
              <w:jc w:val="right"/>
              <w:rPr>
                <w:rFonts w:eastAsia="Times New Roman"/>
              </w:rPr>
            </w:pPr>
            <w:r>
              <w:rPr>
                <w:rFonts w:ascii="Arial" w:eastAsia="Times New Roman" w:hAnsi="Arial" w:cs="Arial"/>
                <w:color w:val="000000"/>
                <w:sz w:val="20"/>
                <w:szCs w:val="20"/>
              </w:rPr>
              <w:t>1,789.5 </w:t>
            </w:r>
          </w:p>
        </w:tc>
        <w:tc>
          <w:tcPr>
            <w:tcW w:w="0" w:type="auto"/>
            <w:shd w:val="clear" w:color="auto" w:fill="CCEEFF"/>
            <w:tcMar>
              <w:top w:w="30" w:type="dxa"/>
              <w:left w:w="0" w:type="dxa"/>
              <w:bottom w:w="30" w:type="dxa"/>
              <w:right w:w="20" w:type="dxa"/>
            </w:tcMar>
            <w:vAlign w:val="bottom"/>
            <w:hideMark/>
          </w:tcPr>
          <w:p w14:paraId="3663ADD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11B64D" w14:textId="77777777" w:rsidR="00000000" w:rsidRDefault="00C01C4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8B7899"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2C9E4A25" w14:textId="77777777" w:rsidR="00000000" w:rsidRDefault="00C01C43">
            <w:pPr>
              <w:jc w:val="right"/>
              <w:rPr>
                <w:rFonts w:eastAsia="Times New Roman"/>
              </w:rPr>
            </w:pPr>
            <w:r>
              <w:rPr>
                <w:rFonts w:ascii="Arial" w:eastAsia="Times New Roman" w:hAnsi="Arial" w:cs="Arial"/>
                <w:color w:val="000000"/>
                <w:sz w:val="20"/>
                <w:szCs w:val="20"/>
              </w:rPr>
              <w:t>2,416.5 </w:t>
            </w:r>
          </w:p>
        </w:tc>
        <w:tc>
          <w:tcPr>
            <w:tcW w:w="0" w:type="auto"/>
            <w:shd w:val="clear" w:color="auto" w:fill="CCEEFF"/>
            <w:tcMar>
              <w:top w:w="30" w:type="dxa"/>
              <w:left w:w="0" w:type="dxa"/>
              <w:bottom w:w="30" w:type="dxa"/>
              <w:right w:w="20" w:type="dxa"/>
            </w:tcMar>
            <w:vAlign w:val="bottom"/>
            <w:hideMark/>
          </w:tcPr>
          <w:p w14:paraId="4F8F28A2" w14:textId="77777777" w:rsidR="00000000" w:rsidRDefault="00C01C43">
            <w:pPr>
              <w:jc w:val="right"/>
              <w:rPr>
                <w:rFonts w:eastAsia="Times New Roman"/>
              </w:rPr>
            </w:pPr>
          </w:p>
        </w:tc>
      </w:tr>
      <w:tr w:rsidR="00000000" w14:paraId="5215E08B" w14:textId="77777777">
        <w:trPr>
          <w:divId w:val="1969895628"/>
        </w:trPr>
        <w:tc>
          <w:tcPr>
            <w:tcW w:w="0" w:type="auto"/>
            <w:gridSpan w:val="3"/>
            <w:shd w:val="clear" w:color="auto" w:fill="FFFFFF"/>
            <w:tcMar>
              <w:top w:w="30" w:type="dxa"/>
              <w:left w:w="20" w:type="dxa"/>
              <w:bottom w:w="30" w:type="dxa"/>
              <w:right w:w="20" w:type="dxa"/>
            </w:tcMar>
            <w:vAlign w:val="bottom"/>
            <w:hideMark/>
          </w:tcPr>
          <w:p w14:paraId="7D2C7F1F" w14:textId="77777777" w:rsidR="00000000" w:rsidRDefault="00C01C43">
            <w:pPr>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14:paraId="2F15BD14" w14:textId="77777777" w:rsidR="00000000" w:rsidRDefault="00C01C43">
            <w:pPr>
              <w:jc w:val="right"/>
              <w:rPr>
                <w:rFonts w:eastAsia="Times New Roman"/>
              </w:rPr>
            </w:pPr>
            <w:r>
              <w:rPr>
                <w:rFonts w:ascii="Arial" w:eastAsia="Times New Roman" w:hAnsi="Arial" w:cs="Arial"/>
                <w:color w:val="000000"/>
                <w:sz w:val="20"/>
                <w:szCs w:val="20"/>
              </w:rPr>
              <w:t>1,459.5 </w:t>
            </w:r>
          </w:p>
        </w:tc>
        <w:tc>
          <w:tcPr>
            <w:tcW w:w="0" w:type="auto"/>
            <w:shd w:val="clear" w:color="auto" w:fill="FFFFFF"/>
            <w:tcMar>
              <w:top w:w="30" w:type="dxa"/>
              <w:left w:w="0" w:type="dxa"/>
              <w:bottom w:w="30" w:type="dxa"/>
              <w:right w:w="20" w:type="dxa"/>
            </w:tcMar>
            <w:vAlign w:val="bottom"/>
            <w:hideMark/>
          </w:tcPr>
          <w:p w14:paraId="700362A2"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BCDCC"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42E926" w14:textId="77777777" w:rsidR="00000000" w:rsidRDefault="00C01C43">
            <w:pPr>
              <w:jc w:val="right"/>
              <w:rPr>
                <w:rFonts w:eastAsia="Times New Roman"/>
              </w:rPr>
            </w:pPr>
            <w:r>
              <w:rPr>
                <w:rFonts w:ascii="Arial" w:eastAsia="Times New Roman" w:hAnsi="Arial" w:cs="Arial"/>
                <w:color w:val="000000"/>
                <w:sz w:val="20"/>
                <w:szCs w:val="20"/>
              </w:rPr>
              <w:t>2,089.4 </w:t>
            </w:r>
          </w:p>
        </w:tc>
        <w:tc>
          <w:tcPr>
            <w:tcW w:w="0" w:type="auto"/>
            <w:shd w:val="clear" w:color="auto" w:fill="FFFFFF"/>
            <w:tcMar>
              <w:top w:w="30" w:type="dxa"/>
              <w:left w:w="0" w:type="dxa"/>
              <w:bottom w:w="30" w:type="dxa"/>
              <w:right w:w="20" w:type="dxa"/>
            </w:tcMar>
            <w:vAlign w:val="bottom"/>
            <w:hideMark/>
          </w:tcPr>
          <w:p w14:paraId="5AF708B5" w14:textId="77777777" w:rsidR="00000000" w:rsidRDefault="00C01C43">
            <w:pPr>
              <w:jc w:val="right"/>
              <w:rPr>
                <w:rFonts w:eastAsia="Times New Roman"/>
              </w:rPr>
            </w:pPr>
          </w:p>
        </w:tc>
      </w:tr>
      <w:tr w:rsidR="00000000" w14:paraId="4DC48BD7" w14:textId="77777777">
        <w:trPr>
          <w:divId w:val="1969895628"/>
        </w:trPr>
        <w:tc>
          <w:tcPr>
            <w:tcW w:w="0" w:type="auto"/>
            <w:gridSpan w:val="3"/>
            <w:shd w:val="clear" w:color="auto" w:fill="CCEEFF"/>
            <w:tcMar>
              <w:top w:w="30" w:type="dxa"/>
              <w:left w:w="20" w:type="dxa"/>
              <w:bottom w:w="30" w:type="dxa"/>
              <w:right w:w="20" w:type="dxa"/>
            </w:tcMar>
            <w:vAlign w:val="bottom"/>
            <w:hideMark/>
          </w:tcPr>
          <w:p w14:paraId="2C5417B4" w14:textId="77777777" w:rsidR="00000000" w:rsidRDefault="00C01C43">
            <w:pPr>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14:paraId="311E1AC0" w14:textId="77777777" w:rsidR="00000000" w:rsidRDefault="00C01C43">
            <w:pPr>
              <w:jc w:val="right"/>
              <w:rPr>
                <w:rFonts w:eastAsia="Times New Roman"/>
              </w:rPr>
            </w:pPr>
            <w:r>
              <w:rPr>
                <w:rFonts w:ascii="Arial" w:eastAsia="Times New Roman" w:hAnsi="Arial" w:cs="Arial"/>
                <w:color w:val="000000"/>
                <w:sz w:val="20"/>
                <w:szCs w:val="20"/>
              </w:rPr>
              <w:t>667.6 </w:t>
            </w:r>
          </w:p>
        </w:tc>
        <w:tc>
          <w:tcPr>
            <w:tcW w:w="0" w:type="auto"/>
            <w:shd w:val="clear" w:color="auto" w:fill="CCEEFF"/>
            <w:tcMar>
              <w:top w:w="30" w:type="dxa"/>
              <w:left w:w="0" w:type="dxa"/>
              <w:bottom w:w="30" w:type="dxa"/>
              <w:right w:w="20" w:type="dxa"/>
            </w:tcMar>
            <w:vAlign w:val="bottom"/>
            <w:hideMark/>
          </w:tcPr>
          <w:p w14:paraId="6AF500B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29DCA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01C61B" w14:textId="77777777" w:rsidR="00000000" w:rsidRDefault="00C01C43">
            <w:pPr>
              <w:jc w:val="right"/>
              <w:rPr>
                <w:rFonts w:eastAsia="Times New Roman"/>
              </w:rPr>
            </w:pPr>
            <w:r>
              <w:rPr>
                <w:rFonts w:ascii="Arial" w:eastAsia="Times New Roman" w:hAnsi="Arial" w:cs="Arial"/>
                <w:color w:val="000000"/>
                <w:sz w:val="20"/>
                <w:szCs w:val="20"/>
              </w:rPr>
              <w:t>1,189.7 </w:t>
            </w:r>
          </w:p>
        </w:tc>
        <w:tc>
          <w:tcPr>
            <w:tcW w:w="0" w:type="auto"/>
            <w:shd w:val="clear" w:color="auto" w:fill="CCEEFF"/>
            <w:tcMar>
              <w:top w:w="30" w:type="dxa"/>
              <w:left w:w="0" w:type="dxa"/>
              <w:bottom w:w="30" w:type="dxa"/>
              <w:right w:w="20" w:type="dxa"/>
            </w:tcMar>
            <w:vAlign w:val="bottom"/>
            <w:hideMark/>
          </w:tcPr>
          <w:p w14:paraId="1019EDCD" w14:textId="77777777" w:rsidR="00000000" w:rsidRDefault="00C01C43">
            <w:pPr>
              <w:jc w:val="right"/>
              <w:rPr>
                <w:rFonts w:eastAsia="Times New Roman"/>
              </w:rPr>
            </w:pPr>
          </w:p>
        </w:tc>
      </w:tr>
      <w:tr w:rsidR="00000000" w14:paraId="3E3DF702" w14:textId="77777777">
        <w:trPr>
          <w:divId w:val="1969895628"/>
        </w:trPr>
        <w:tc>
          <w:tcPr>
            <w:tcW w:w="0" w:type="auto"/>
            <w:gridSpan w:val="3"/>
            <w:shd w:val="clear" w:color="auto" w:fill="FFFFFF"/>
            <w:tcMar>
              <w:top w:w="30" w:type="dxa"/>
              <w:left w:w="20" w:type="dxa"/>
              <w:bottom w:w="30" w:type="dxa"/>
              <w:right w:w="20" w:type="dxa"/>
            </w:tcMar>
            <w:vAlign w:val="bottom"/>
            <w:hideMark/>
          </w:tcPr>
          <w:p w14:paraId="0835A40E" w14:textId="77777777" w:rsidR="00000000" w:rsidRDefault="00C01C43">
            <w:pPr>
              <w:rPr>
                <w:rFonts w:eastAsia="Times New Roman"/>
              </w:rPr>
            </w:pPr>
            <w:r>
              <w:rPr>
                <w:rFonts w:ascii="Arial" w:eastAsia="Times New Roman" w:hAnsi="Arial" w:cs="Arial"/>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14:paraId="0CE3649C" w14:textId="77777777" w:rsidR="00000000" w:rsidRDefault="00C01C43">
            <w:pPr>
              <w:jc w:val="right"/>
              <w:rPr>
                <w:rFonts w:eastAsia="Times New Roman"/>
              </w:rPr>
            </w:pPr>
            <w:r>
              <w:rPr>
                <w:rFonts w:ascii="Arial" w:eastAsia="Times New Roman" w:hAnsi="Arial" w:cs="Arial"/>
                <w:color w:val="000000"/>
                <w:sz w:val="20"/>
                <w:szCs w:val="20"/>
              </w:rPr>
              <w:t>583.7 </w:t>
            </w:r>
          </w:p>
        </w:tc>
        <w:tc>
          <w:tcPr>
            <w:tcW w:w="0" w:type="auto"/>
            <w:shd w:val="clear" w:color="auto" w:fill="FFFFFF"/>
            <w:tcMar>
              <w:top w:w="30" w:type="dxa"/>
              <w:left w:w="0" w:type="dxa"/>
              <w:bottom w:w="30" w:type="dxa"/>
              <w:right w:w="20" w:type="dxa"/>
            </w:tcMar>
            <w:vAlign w:val="bottom"/>
            <w:hideMark/>
          </w:tcPr>
          <w:p w14:paraId="0A977F0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F0040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D7895D" w14:textId="77777777" w:rsidR="00000000" w:rsidRDefault="00C01C43">
            <w:pPr>
              <w:jc w:val="right"/>
              <w:rPr>
                <w:rFonts w:eastAsia="Times New Roman"/>
              </w:rPr>
            </w:pPr>
            <w:r>
              <w:rPr>
                <w:rFonts w:ascii="Arial" w:eastAsia="Times New Roman" w:hAnsi="Arial" w:cs="Arial"/>
                <w:color w:val="000000"/>
                <w:sz w:val="20"/>
                <w:szCs w:val="20"/>
              </w:rPr>
              <w:t>296.8 </w:t>
            </w:r>
          </w:p>
        </w:tc>
        <w:tc>
          <w:tcPr>
            <w:tcW w:w="0" w:type="auto"/>
            <w:shd w:val="clear" w:color="auto" w:fill="FFFFFF"/>
            <w:tcMar>
              <w:top w:w="30" w:type="dxa"/>
              <w:left w:w="0" w:type="dxa"/>
              <w:bottom w:w="30" w:type="dxa"/>
              <w:right w:w="20" w:type="dxa"/>
            </w:tcMar>
            <w:vAlign w:val="bottom"/>
            <w:hideMark/>
          </w:tcPr>
          <w:p w14:paraId="61BD8256" w14:textId="77777777" w:rsidR="00000000" w:rsidRDefault="00C01C43">
            <w:pPr>
              <w:jc w:val="right"/>
              <w:rPr>
                <w:rFonts w:eastAsia="Times New Roman"/>
              </w:rPr>
            </w:pPr>
          </w:p>
        </w:tc>
      </w:tr>
      <w:tr w:rsidR="00000000" w14:paraId="53DFA574" w14:textId="77777777">
        <w:trPr>
          <w:divId w:val="1969895628"/>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6A39D26E"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4AA37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6E26CF" w14:textId="77777777" w:rsidR="00000000" w:rsidRDefault="00C01C43">
            <w:pPr>
              <w:jc w:val="right"/>
              <w:rPr>
                <w:rFonts w:eastAsia="Times New Roman"/>
              </w:rPr>
            </w:pPr>
            <w:r>
              <w:rPr>
                <w:rFonts w:ascii="Arial" w:eastAsia="Times New Roman" w:hAnsi="Arial" w:cs="Arial"/>
                <w:color w:val="000000"/>
                <w:sz w:val="20"/>
                <w:szCs w:val="20"/>
              </w:rPr>
              <w:t>4,500.3 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D3A279"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B0CDC89"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757925"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B54035" w14:textId="77777777" w:rsidR="00000000" w:rsidRDefault="00C01C43">
            <w:pPr>
              <w:jc w:val="right"/>
              <w:rPr>
                <w:rFonts w:eastAsia="Times New Roman"/>
              </w:rPr>
            </w:pPr>
            <w:r>
              <w:rPr>
                <w:rFonts w:ascii="Arial" w:eastAsia="Times New Roman" w:hAnsi="Arial" w:cs="Arial"/>
                <w:color w:val="000000"/>
                <w:sz w:val="20"/>
                <w:szCs w:val="20"/>
              </w:rPr>
              <w:t>5,992.4 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6CFAD6" w14:textId="77777777" w:rsidR="00000000" w:rsidRDefault="00C01C43">
            <w:pPr>
              <w:jc w:val="right"/>
              <w:rPr>
                <w:rFonts w:eastAsia="Times New Roman"/>
              </w:rPr>
            </w:pPr>
          </w:p>
        </w:tc>
      </w:tr>
    </w:tbl>
    <w:p w14:paraId="45DB3872" w14:textId="77777777" w:rsidR="00000000" w:rsidRDefault="00C01C43">
      <w:pPr>
        <w:jc w:val="both"/>
        <w:divId w:val="250310529"/>
        <w:rPr>
          <w:rFonts w:eastAsia="Times New Roman"/>
        </w:rPr>
      </w:pPr>
      <w:r>
        <w:rPr>
          <w:rFonts w:ascii="Arial" w:eastAsia="Times New Roman" w:hAnsi="Arial" w:cs="Arial"/>
          <w:b/>
          <w:bCs/>
          <w:color w:val="000000"/>
          <w:sz w:val="20"/>
          <w:szCs w:val="20"/>
        </w:rPr>
        <w:t>Geographic Information</w:t>
      </w:r>
    </w:p>
    <w:p w14:paraId="06113713" w14:textId="77777777" w:rsidR="00000000" w:rsidRDefault="00C01C43">
      <w:pPr>
        <w:jc w:val="both"/>
        <w:rPr>
          <w:rFonts w:eastAsia="Times New Roman"/>
        </w:rPr>
      </w:pPr>
      <w:r>
        <w:rPr>
          <w:rFonts w:ascii="Arial" w:eastAsia="Times New Roman" w:hAnsi="Arial" w:cs="Arial"/>
          <w:color w:val="000000"/>
          <w:sz w:val="20"/>
          <w:szCs w:val="20"/>
        </w:rPr>
        <w:t>Information concerning our revenue and property and equipment, net, as segregated between the Americas, EMEA (Europe, Middle East and Africa) and the Asia Pacific regions, is presented as follows, based on the country of incorporation of the relevant subsi</w:t>
      </w:r>
      <w:r>
        <w:rPr>
          <w:rFonts w:ascii="Arial" w:eastAsia="Times New Roman" w:hAnsi="Arial" w:cs="Arial"/>
          <w:color w:val="000000"/>
          <w:sz w:val="20"/>
          <w:szCs w:val="20"/>
        </w:rPr>
        <w:t>diary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4983"/>
        <w:gridCol w:w="36"/>
        <w:gridCol w:w="132"/>
        <w:gridCol w:w="835"/>
        <w:gridCol w:w="36"/>
        <w:gridCol w:w="36"/>
        <w:gridCol w:w="36"/>
        <w:gridCol w:w="36"/>
        <w:gridCol w:w="132"/>
        <w:gridCol w:w="835"/>
        <w:gridCol w:w="36"/>
        <w:gridCol w:w="36"/>
        <w:gridCol w:w="36"/>
        <w:gridCol w:w="36"/>
        <w:gridCol w:w="132"/>
        <w:gridCol w:w="835"/>
        <w:gridCol w:w="36"/>
      </w:tblGrid>
      <w:tr w:rsidR="00000000" w14:paraId="586DBE69" w14:textId="77777777">
        <w:trPr>
          <w:jc w:val="center"/>
        </w:trPr>
        <w:tc>
          <w:tcPr>
            <w:tcW w:w="50" w:type="pct"/>
            <w:vAlign w:val="center"/>
            <w:hideMark/>
          </w:tcPr>
          <w:p w14:paraId="5D7A7638" w14:textId="77777777" w:rsidR="00000000" w:rsidRDefault="00C01C43">
            <w:pPr>
              <w:jc w:val="both"/>
              <w:rPr>
                <w:rFonts w:eastAsia="Times New Roman"/>
              </w:rPr>
            </w:pPr>
          </w:p>
        </w:tc>
        <w:tc>
          <w:tcPr>
            <w:tcW w:w="3082" w:type="pct"/>
            <w:vAlign w:val="center"/>
            <w:hideMark/>
          </w:tcPr>
          <w:p w14:paraId="3E162387" w14:textId="77777777" w:rsidR="00000000" w:rsidRDefault="00C01C43">
            <w:pPr>
              <w:rPr>
                <w:rFonts w:eastAsia="Times New Roman"/>
                <w:sz w:val="20"/>
                <w:szCs w:val="20"/>
              </w:rPr>
            </w:pPr>
          </w:p>
        </w:tc>
        <w:tc>
          <w:tcPr>
            <w:tcW w:w="5" w:type="pct"/>
            <w:vAlign w:val="center"/>
            <w:hideMark/>
          </w:tcPr>
          <w:p w14:paraId="725DBC12" w14:textId="77777777" w:rsidR="00000000" w:rsidRDefault="00C01C43">
            <w:pPr>
              <w:rPr>
                <w:rFonts w:eastAsia="Times New Roman"/>
                <w:sz w:val="20"/>
                <w:szCs w:val="20"/>
              </w:rPr>
            </w:pPr>
          </w:p>
        </w:tc>
        <w:tc>
          <w:tcPr>
            <w:tcW w:w="50" w:type="pct"/>
            <w:vAlign w:val="center"/>
            <w:hideMark/>
          </w:tcPr>
          <w:p w14:paraId="1104EA10" w14:textId="77777777" w:rsidR="00000000" w:rsidRDefault="00C01C43">
            <w:pPr>
              <w:rPr>
                <w:rFonts w:eastAsia="Times New Roman"/>
                <w:sz w:val="20"/>
                <w:szCs w:val="20"/>
              </w:rPr>
            </w:pPr>
          </w:p>
        </w:tc>
        <w:tc>
          <w:tcPr>
            <w:tcW w:w="538" w:type="pct"/>
            <w:vAlign w:val="center"/>
            <w:hideMark/>
          </w:tcPr>
          <w:p w14:paraId="04943478" w14:textId="77777777" w:rsidR="00000000" w:rsidRDefault="00C01C43">
            <w:pPr>
              <w:rPr>
                <w:rFonts w:eastAsia="Times New Roman"/>
                <w:sz w:val="20"/>
                <w:szCs w:val="20"/>
              </w:rPr>
            </w:pPr>
          </w:p>
        </w:tc>
        <w:tc>
          <w:tcPr>
            <w:tcW w:w="5" w:type="pct"/>
            <w:vAlign w:val="center"/>
            <w:hideMark/>
          </w:tcPr>
          <w:p w14:paraId="44AD8C1A" w14:textId="77777777" w:rsidR="00000000" w:rsidRDefault="00C01C43">
            <w:pPr>
              <w:rPr>
                <w:rFonts w:eastAsia="Times New Roman"/>
                <w:sz w:val="20"/>
                <w:szCs w:val="20"/>
              </w:rPr>
            </w:pPr>
          </w:p>
        </w:tc>
        <w:tc>
          <w:tcPr>
            <w:tcW w:w="5" w:type="pct"/>
            <w:vAlign w:val="center"/>
            <w:hideMark/>
          </w:tcPr>
          <w:p w14:paraId="50E4973D" w14:textId="77777777" w:rsidR="00000000" w:rsidRDefault="00C01C43">
            <w:pPr>
              <w:rPr>
                <w:rFonts w:eastAsia="Times New Roman"/>
                <w:sz w:val="20"/>
                <w:szCs w:val="20"/>
              </w:rPr>
            </w:pPr>
          </w:p>
        </w:tc>
        <w:tc>
          <w:tcPr>
            <w:tcW w:w="26" w:type="pct"/>
            <w:vAlign w:val="center"/>
            <w:hideMark/>
          </w:tcPr>
          <w:p w14:paraId="6C8AD82C" w14:textId="77777777" w:rsidR="00000000" w:rsidRDefault="00C01C43">
            <w:pPr>
              <w:rPr>
                <w:rFonts w:eastAsia="Times New Roman"/>
                <w:sz w:val="20"/>
                <w:szCs w:val="20"/>
              </w:rPr>
            </w:pPr>
          </w:p>
        </w:tc>
        <w:tc>
          <w:tcPr>
            <w:tcW w:w="5" w:type="pct"/>
            <w:vAlign w:val="center"/>
            <w:hideMark/>
          </w:tcPr>
          <w:p w14:paraId="25940819" w14:textId="77777777" w:rsidR="00000000" w:rsidRDefault="00C01C43">
            <w:pPr>
              <w:rPr>
                <w:rFonts w:eastAsia="Times New Roman"/>
                <w:sz w:val="20"/>
                <w:szCs w:val="20"/>
              </w:rPr>
            </w:pPr>
          </w:p>
        </w:tc>
        <w:tc>
          <w:tcPr>
            <w:tcW w:w="50" w:type="pct"/>
            <w:vAlign w:val="center"/>
            <w:hideMark/>
          </w:tcPr>
          <w:p w14:paraId="3B076127" w14:textId="77777777" w:rsidR="00000000" w:rsidRDefault="00C01C43">
            <w:pPr>
              <w:rPr>
                <w:rFonts w:eastAsia="Times New Roman"/>
                <w:sz w:val="20"/>
                <w:szCs w:val="20"/>
              </w:rPr>
            </w:pPr>
          </w:p>
        </w:tc>
        <w:tc>
          <w:tcPr>
            <w:tcW w:w="553" w:type="pct"/>
            <w:vAlign w:val="center"/>
            <w:hideMark/>
          </w:tcPr>
          <w:p w14:paraId="2526E63E" w14:textId="77777777" w:rsidR="00000000" w:rsidRDefault="00C01C43">
            <w:pPr>
              <w:rPr>
                <w:rFonts w:eastAsia="Times New Roman"/>
                <w:sz w:val="20"/>
                <w:szCs w:val="20"/>
              </w:rPr>
            </w:pPr>
          </w:p>
        </w:tc>
        <w:tc>
          <w:tcPr>
            <w:tcW w:w="5" w:type="pct"/>
            <w:vAlign w:val="center"/>
            <w:hideMark/>
          </w:tcPr>
          <w:p w14:paraId="605BA087" w14:textId="77777777" w:rsidR="00000000" w:rsidRDefault="00C01C43">
            <w:pPr>
              <w:rPr>
                <w:rFonts w:eastAsia="Times New Roman"/>
                <w:sz w:val="20"/>
                <w:szCs w:val="20"/>
              </w:rPr>
            </w:pPr>
          </w:p>
        </w:tc>
        <w:tc>
          <w:tcPr>
            <w:tcW w:w="5" w:type="pct"/>
            <w:vAlign w:val="center"/>
            <w:hideMark/>
          </w:tcPr>
          <w:p w14:paraId="362A4A3D" w14:textId="77777777" w:rsidR="00000000" w:rsidRDefault="00C01C43">
            <w:pPr>
              <w:rPr>
                <w:rFonts w:eastAsia="Times New Roman"/>
                <w:sz w:val="20"/>
                <w:szCs w:val="20"/>
              </w:rPr>
            </w:pPr>
          </w:p>
        </w:tc>
        <w:tc>
          <w:tcPr>
            <w:tcW w:w="26" w:type="pct"/>
            <w:vAlign w:val="center"/>
            <w:hideMark/>
          </w:tcPr>
          <w:p w14:paraId="0F6ECEEB" w14:textId="77777777" w:rsidR="00000000" w:rsidRDefault="00C01C43">
            <w:pPr>
              <w:rPr>
                <w:rFonts w:eastAsia="Times New Roman"/>
                <w:sz w:val="20"/>
                <w:szCs w:val="20"/>
              </w:rPr>
            </w:pPr>
          </w:p>
        </w:tc>
        <w:tc>
          <w:tcPr>
            <w:tcW w:w="5" w:type="pct"/>
            <w:vAlign w:val="center"/>
            <w:hideMark/>
          </w:tcPr>
          <w:p w14:paraId="2904CF29" w14:textId="77777777" w:rsidR="00000000" w:rsidRDefault="00C01C43">
            <w:pPr>
              <w:rPr>
                <w:rFonts w:eastAsia="Times New Roman"/>
                <w:sz w:val="20"/>
                <w:szCs w:val="20"/>
              </w:rPr>
            </w:pPr>
          </w:p>
        </w:tc>
        <w:tc>
          <w:tcPr>
            <w:tcW w:w="50" w:type="pct"/>
            <w:vAlign w:val="center"/>
            <w:hideMark/>
          </w:tcPr>
          <w:p w14:paraId="388C1DCE" w14:textId="77777777" w:rsidR="00000000" w:rsidRDefault="00C01C43">
            <w:pPr>
              <w:rPr>
                <w:rFonts w:eastAsia="Times New Roman"/>
                <w:sz w:val="20"/>
                <w:szCs w:val="20"/>
              </w:rPr>
            </w:pPr>
          </w:p>
        </w:tc>
        <w:tc>
          <w:tcPr>
            <w:tcW w:w="531" w:type="pct"/>
            <w:vAlign w:val="center"/>
            <w:hideMark/>
          </w:tcPr>
          <w:p w14:paraId="72602D5E" w14:textId="77777777" w:rsidR="00000000" w:rsidRDefault="00C01C43">
            <w:pPr>
              <w:rPr>
                <w:rFonts w:eastAsia="Times New Roman"/>
                <w:sz w:val="20"/>
                <w:szCs w:val="20"/>
              </w:rPr>
            </w:pPr>
          </w:p>
        </w:tc>
        <w:tc>
          <w:tcPr>
            <w:tcW w:w="5" w:type="pct"/>
            <w:vAlign w:val="center"/>
            <w:hideMark/>
          </w:tcPr>
          <w:p w14:paraId="6EB95E90" w14:textId="77777777" w:rsidR="00000000" w:rsidRDefault="00C01C43">
            <w:pPr>
              <w:rPr>
                <w:rFonts w:eastAsia="Times New Roman"/>
                <w:sz w:val="20"/>
                <w:szCs w:val="20"/>
              </w:rPr>
            </w:pPr>
          </w:p>
        </w:tc>
      </w:tr>
      <w:tr w:rsidR="00000000" w14:paraId="4E9BB49D" w14:textId="77777777">
        <w:trPr>
          <w:jc w:val="center"/>
        </w:trPr>
        <w:tc>
          <w:tcPr>
            <w:tcW w:w="0" w:type="auto"/>
            <w:gridSpan w:val="3"/>
            <w:tcMar>
              <w:top w:w="0" w:type="dxa"/>
              <w:left w:w="20" w:type="dxa"/>
              <w:bottom w:w="0" w:type="dxa"/>
              <w:right w:w="20" w:type="dxa"/>
            </w:tcMar>
            <w:vAlign w:val="center"/>
            <w:hideMark/>
          </w:tcPr>
          <w:p w14:paraId="052EA4FB" w14:textId="77777777" w:rsidR="00000000" w:rsidRDefault="00C01C43">
            <w:pPr>
              <w:rPr>
                <w:rFonts w:eastAsia="Times New Roman"/>
                <w:sz w:val="20"/>
                <w:szCs w:val="20"/>
              </w:rPr>
            </w:pPr>
          </w:p>
        </w:tc>
        <w:tc>
          <w:tcPr>
            <w:tcW w:w="0" w:type="auto"/>
            <w:gridSpan w:val="15"/>
            <w:tcMar>
              <w:top w:w="30" w:type="dxa"/>
              <w:left w:w="20" w:type="dxa"/>
              <w:bottom w:w="30" w:type="dxa"/>
              <w:right w:w="20" w:type="dxa"/>
            </w:tcMar>
            <w:vAlign w:val="bottom"/>
            <w:hideMark/>
          </w:tcPr>
          <w:p w14:paraId="697BD4B3" w14:textId="77777777" w:rsidR="00000000" w:rsidRDefault="00C01C43">
            <w:pPr>
              <w:jc w:val="center"/>
              <w:rPr>
                <w:rFonts w:eastAsia="Times New Roman"/>
              </w:rPr>
            </w:pPr>
            <w:r>
              <w:rPr>
                <w:rFonts w:ascii="Arial" w:eastAsia="Times New Roman" w:hAnsi="Arial" w:cs="Arial"/>
                <w:b/>
                <w:bCs/>
                <w:color w:val="000000"/>
                <w:sz w:val="16"/>
                <w:szCs w:val="16"/>
              </w:rPr>
              <w:t>For the Year Ended December 31,</w:t>
            </w:r>
          </w:p>
        </w:tc>
      </w:tr>
      <w:tr w:rsidR="00000000" w14:paraId="7E59F7C5" w14:textId="77777777">
        <w:trPr>
          <w:jc w:val="center"/>
        </w:trPr>
        <w:tc>
          <w:tcPr>
            <w:tcW w:w="0" w:type="auto"/>
            <w:gridSpan w:val="3"/>
            <w:tcMar>
              <w:top w:w="0" w:type="dxa"/>
              <w:left w:w="20" w:type="dxa"/>
              <w:bottom w:w="0" w:type="dxa"/>
              <w:right w:w="20" w:type="dxa"/>
            </w:tcMar>
            <w:vAlign w:val="center"/>
            <w:hideMark/>
          </w:tcPr>
          <w:p w14:paraId="466CBFDB"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08FFB6"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546CA13"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C31664"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323ECBDA"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1F35A6"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11F70FD0"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8331EE" w14:textId="77777777" w:rsidR="00000000" w:rsidRDefault="00C01C43">
            <w:pPr>
              <w:rPr>
                <w:rFonts w:eastAsia="Times New Roman"/>
              </w:rPr>
            </w:pPr>
            <w:r>
              <w:rPr>
                <w:rFonts w:ascii="Arial" w:eastAsia="Times New Roman" w:hAnsi="Arial" w:cs="Arial"/>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1F70EC"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3BD21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F6C931"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912FAC"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DEAF46" w14:textId="77777777" w:rsidR="00000000" w:rsidRDefault="00C01C43">
            <w:pPr>
              <w:rPr>
                <w:rFonts w:eastAsia="Times New Roman"/>
                <w:sz w:val="20"/>
                <w:szCs w:val="20"/>
              </w:rPr>
            </w:pPr>
          </w:p>
        </w:tc>
      </w:tr>
      <w:tr w:rsidR="00000000" w14:paraId="5C93ABC5" w14:textId="77777777">
        <w:trPr>
          <w:jc w:val="center"/>
        </w:trPr>
        <w:tc>
          <w:tcPr>
            <w:tcW w:w="0" w:type="auto"/>
            <w:gridSpan w:val="3"/>
            <w:tcMar>
              <w:top w:w="30" w:type="dxa"/>
              <w:left w:w="20" w:type="dxa"/>
              <w:bottom w:w="30" w:type="dxa"/>
              <w:right w:w="20" w:type="dxa"/>
            </w:tcMar>
            <w:vAlign w:val="bottom"/>
            <w:hideMark/>
          </w:tcPr>
          <w:p w14:paraId="4E2649F2" w14:textId="77777777" w:rsidR="00000000" w:rsidRDefault="00C01C43">
            <w:pPr>
              <w:rPr>
                <w:rFonts w:eastAsia="Times New Roman"/>
              </w:rPr>
            </w:pPr>
            <w:r>
              <w:rPr>
                <w:rFonts w:ascii="Arial" w:eastAsia="Times New Roman" w:hAnsi="Arial" w:cs="Arial"/>
                <w:color w:val="000000"/>
                <w:sz w:val="20"/>
                <w:szCs w:val="20"/>
              </w:rPr>
              <w:t>United States</w:t>
            </w:r>
          </w:p>
        </w:tc>
        <w:tc>
          <w:tcPr>
            <w:tcW w:w="0" w:type="auto"/>
            <w:tcMar>
              <w:top w:w="30" w:type="dxa"/>
              <w:left w:w="20" w:type="dxa"/>
              <w:bottom w:w="30" w:type="dxa"/>
              <w:right w:w="0" w:type="dxa"/>
            </w:tcMar>
            <w:vAlign w:val="bottom"/>
            <w:hideMark/>
          </w:tcPr>
          <w:p w14:paraId="2DEFA946" w14:textId="77777777" w:rsidR="00000000" w:rsidRDefault="00C01C4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bottom"/>
            <w:hideMark/>
          </w:tcPr>
          <w:p w14:paraId="5E3DAC88" w14:textId="77777777" w:rsidR="00000000" w:rsidRDefault="00C01C43">
            <w:pPr>
              <w:jc w:val="right"/>
              <w:rPr>
                <w:rFonts w:eastAsia="Times New Roman"/>
              </w:rPr>
            </w:pPr>
            <w:r>
              <w:rPr>
                <w:rFonts w:ascii="Arial" w:eastAsia="Times New Roman" w:hAnsi="Arial" w:cs="Arial"/>
                <w:color w:val="000000"/>
                <w:sz w:val="20"/>
                <w:szCs w:val="20"/>
              </w:rPr>
              <w:t>10,365.2 </w:t>
            </w:r>
          </w:p>
        </w:tc>
        <w:tc>
          <w:tcPr>
            <w:tcW w:w="0" w:type="auto"/>
            <w:tcMar>
              <w:top w:w="30" w:type="dxa"/>
              <w:left w:w="0" w:type="dxa"/>
              <w:bottom w:w="30" w:type="dxa"/>
              <w:right w:w="20" w:type="dxa"/>
            </w:tcMar>
            <w:vAlign w:val="bottom"/>
            <w:hideMark/>
          </w:tcPr>
          <w:p w14:paraId="7F10CFE5"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43047303" w14:textId="77777777" w:rsidR="00000000" w:rsidRDefault="00C01C43">
            <w:pPr>
              <w:jc w:val="right"/>
              <w:rPr>
                <w:rFonts w:eastAsia="Times New Roman"/>
                <w:sz w:val="20"/>
                <w:szCs w:val="20"/>
              </w:rPr>
            </w:pPr>
          </w:p>
        </w:tc>
        <w:tc>
          <w:tcPr>
            <w:tcW w:w="0" w:type="auto"/>
            <w:tcMar>
              <w:top w:w="30" w:type="dxa"/>
              <w:left w:w="20" w:type="dxa"/>
              <w:bottom w:w="30" w:type="dxa"/>
              <w:right w:w="0" w:type="dxa"/>
            </w:tcMar>
            <w:vAlign w:val="bottom"/>
            <w:hideMark/>
          </w:tcPr>
          <w:p w14:paraId="1CBD0672" w14:textId="77777777" w:rsidR="00000000" w:rsidRDefault="00C01C4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bottom"/>
            <w:hideMark/>
          </w:tcPr>
          <w:p w14:paraId="1AACFA6A" w14:textId="77777777" w:rsidR="00000000" w:rsidRDefault="00C01C43">
            <w:pPr>
              <w:jc w:val="right"/>
              <w:rPr>
                <w:rFonts w:eastAsia="Times New Roman"/>
              </w:rPr>
            </w:pPr>
            <w:r>
              <w:rPr>
                <w:rFonts w:ascii="Arial" w:eastAsia="Times New Roman" w:hAnsi="Arial" w:cs="Arial"/>
                <w:color w:val="000000"/>
                <w:sz w:val="20"/>
                <w:szCs w:val="20"/>
              </w:rPr>
              <w:t>19,365.2 </w:t>
            </w:r>
          </w:p>
        </w:tc>
        <w:tc>
          <w:tcPr>
            <w:tcW w:w="0" w:type="auto"/>
            <w:tcMar>
              <w:top w:w="30" w:type="dxa"/>
              <w:left w:w="0" w:type="dxa"/>
              <w:bottom w:w="30" w:type="dxa"/>
              <w:right w:w="20" w:type="dxa"/>
            </w:tcMar>
            <w:vAlign w:val="bottom"/>
            <w:hideMark/>
          </w:tcPr>
          <w:p w14:paraId="790F746B"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60F22AC0" w14:textId="77777777" w:rsidR="00000000" w:rsidRDefault="00C01C43">
            <w:pPr>
              <w:jc w:val="right"/>
              <w:rPr>
                <w:rFonts w:eastAsia="Times New Roman"/>
                <w:sz w:val="20"/>
                <w:szCs w:val="20"/>
              </w:rPr>
            </w:pPr>
          </w:p>
        </w:tc>
        <w:tc>
          <w:tcPr>
            <w:tcW w:w="0" w:type="auto"/>
            <w:tcMar>
              <w:top w:w="30" w:type="dxa"/>
              <w:left w:w="20" w:type="dxa"/>
              <w:bottom w:w="30" w:type="dxa"/>
              <w:right w:w="0" w:type="dxa"/>
            </w:tcMar>
            <w:vAlign w:val="bottom"/>
            <w:hideMark/>
          </w:tcPr>
          <w:p w14:paraId="455EE795" w14:textId="77777777" w:rsidR="00000000" w:rsidRDefault="00C01C4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bottom"/>
            <w:hideMark/>
          </w:tcPr>
          <w:p w14:paraId="64E7252E" w14:textId="77777777" w:rsidR="00000000" w:rsidRDefault="00C01C43">
            <w:pPr>
              <w:jc w:val="right"/>
              <w:rPr>
                <w:rFonts w:eastAsia="Times New Roman"/>
              </w:rPr>
            </w:pPr>
            <w:r>
              <w:rPr>
                <w:rFonts w:ascii="Arial" w:eastAsia="Times New Roman" w:hAnsi="Arial" w:cs="Arial"/>
                <w:color w:val="000000"/>
                <w:sz w:val="20"/>
                <w:szCs w:val="20"/>
              </w:rPr>
              <w:t>20,555.5 </w:t>
            </w:r>
          </w:p>
        </w:tc>
        <w:tc>
          <w:tcPr>
            <w:tcW w:w="0" w:type="auto"/>
            <w:tcMar>
              <w:top w:w="30" w:type="dxa"/>
              <w:left w:w="0" w:type="dxa"/>
              <w:bottom w:w="30" w:type="dxa"/>
              <w:right w:w="20" w:type="dxa"/>
            </w:tcMar>
            <w:vAlign w:val="bottom"/>
            <w:hideMark/>
          </w:tcPr>
          <w:p w14:paraId="128A3EB0" w14:textId="77777777" w:rsidR="00000000" w:rsidRDefault="00C01C43">
            <w:pPr>
              <w:jc w:val="right"/>
              <w:rPr>
                <w:rFonts w:eastAsia="Times New Roman"/>
              </w:rPr>
            </w:pPr>
          </w:p>
        </w:tc>
      </w:tr>
      <w:tr w:rsidR="00000000" w14:paraId="5779A439" w14:textId="77777777">
        <w:trPr>
          <w:jc w:val="center"/>
        </w:trPr>
        <w:tc>
          <w:tcPr>
            <w:tcW w:w="0" w:type="auto"/>
            <w:gridSpan w:val="3"/>
            <w:shd w:val="clear" w:color="auto" w:fill="CCEEFF"/>
            <w:tcMar>
              <w:top w:w="30" w:type="dxa"/>
              <w:left w:w="20" w:type="dxa"/>
              <w:bottom w:w="30" w:type="dxa"/>
              <w:right w:w="20" w:type="dxa"/>
            </w:tcMar>
            <w:vAlign w:val="bottom"/>
            <w:hideMark/>
          </w:tcPr>
          <w:p w14:paraId="2831897F" w14:textId="77777777" w:rsidR="00000000" w:rsidRDefault="00C01C43">
            <w:pPr>
              <w:divId w:val="1610316919"/>
              <w:rPr>
                <w:rFonts w:eastAsia="Times New Roman"/>
              </w:rPr>
            </w:pPr>
            <w:r>
              <w:rPr>
                <w:rFonts w:ascii="Arial" w:eastAsia="Times New Roman" w:hAnsi="Arial" w:cs="Arial"/>
                <w:color w:val="000000"/>
                <w:sz w:val="20"/>
                <w:szCs w:val="20"/>
              </w:rPr>
              <w:t>EMEA</w:t>
            </w:r>
            <w:r>
              <w:rPr>
                <w:rFonts w:ascii="Arial" w:eastAsia="Times New Roman" w:hAnsi="Arial" w:cs="Arial"/>
                <w:color w:val="000000"/>
                <w:sz w:val="20"/>
                <w:szCs w:val="20"/>
              </w:rPr>
              <w:t> </w:t>
            </w:r>
            <w:r>
              <w:rPr>
                <w:rFonts w:ascii="Arial" w:eastAsia="Times New Roman" w:hAnsi="Arial" w:cs="Arial"/>
                <w:color w:val="000000"/>
                <w:sz w:val="13"/>
                <w:szCs w:val="13"/>
              </w:rPr>
              <w:t>(1) (3</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0F749A51" w14:textId="77777777" w:rsidR="00000000" w:rsidRDefault="00C01C43">
            <w:pPr>
              <w:jc w:val="right"/>
              <w:rPr>
                <w:rFonts w:eastAsia="Times New Roman"/>
              </w:rPr>
            </w:pPr>
            <w:r>
              <w:rPr>
                <w:rFonts w:ascii="Arial" w:eastAsia="Times New Roman" w:hAnsi="Arial" w:cs="Arial"/>
                <w:color w:val="000000"/>
                <w:sz w:val="20"/>
                <w:szCs w:val="20"/>
              </w:rPr>
              <w:t>4,961.0 </w:t>
            </w:r>
          </w:p>
        </w:tc>
        <w:tc>
          <w:tcPr>
            <w:tcW w:w="0" w:type="auto"/>
            <w:shd w:val="clear" w:color="auto" w:fill="CCEEFF"/>
            <w:tcMar>
              <w:top w:w="30" w:type="dxa"/>
              <w:left w:w="0" w:type="dxa"/>
              <w:bottom w:w="30" w:type="dxa"/>
              <w:right w:w="20" w:type="dxa"/>
            </w:tcMar>
            <w:vAlign w:val="bottom"/>
            <w:hideMark/>
          </w:tcPr>
          <w:p w14:paraId="0750CC5A"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BC51A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94DC36" w14:textId="77777777" w:rsidR="00000000" w:rsidRDefault="00C01C43">
            <w:pPr>
              <w:jc w:val="right"/>
              <w:rPr>
                <w:rFonts w:eastAsia="Times New Roman"/>
              </w:rPr>
            </w:pPr>
            <w:r>
              <w:rPr>
                <w:rFonts w:ascii="Arial" w:eastAsia="Times New Roman" w:hAnsi="Arial" w:cs="Arial"/>
                <w:color w:val="000000"/>
                <w:sz w:val="20"/>
                <w:szCs w:val="20"/>
              </w:rPr>
              <w:t>9,235.1 </w:t>
            </w:r>
          </w:p>
        </w:tc>
        <w:tc>
          <w:tcPr>
            <w:tcW w:w="0" w:type="auto"/>
            <w:shd w:val="clear" w:color="auto" w:fill="CCEEFF"/>
            <w:tcMar>
              <w:top w:w="30" w:type="dxa"/>
              <w:left w:w="0" w:type="dxa"/>
              <w:bottom w:w="30" w:type="dxa"/>
              <w:right w:w="20" w:type="dxa"/>
            </w:tcMar>
            <w:vAlign w:val="bottom"/>
            <w:hideMark/>
          </w:tcPr>
          <w:p w14:paraId="19D1097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3F76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175C4D" w14:textId="77777777" w:rsidR="00000000" w:rsidRDefault="00C01C43">
            <w:pPr>
              <w:jc w:val="right"/>
              <w:rPr>
                <w:rFonts w:eastAsia="Times New Roman"/>
              </w:rPr>
            </w:pPr>
            <w:r>
              <w:rPr>
                <w:rFonts w:ascii="Arial" w:eastAsia="Times New Roman" w:hAnsi="Arial" w:cs="Arial"/>
                <w:color w:val="000000"/>
                <w:sz w:val="20"/>
                <w:szCs w:val="20"/>
              </w:rPr>
              <w:t>9,721.9 </w:t>
            </w:r>
          </w:p>
        </w:tc>
        <w:tc>
          <w:tcPr>
            <w:tcW w:w="0" w:type="auto"/>
            <w:shd w:val="clear" w:color="auto" w:fill="CCEEFF"/>
            <w:tcMar>
              <w:top w:w="30" w:type="dxa"/>
              <w:left w:w="0" w:type="dxa"/>
              <w:bottom w:w="30" w:type="dxa"/>
              <w:right w:w="20" w:type="dxa"/>
            </w:tcMar>
            <w:vAlign w:val="bottom"/>
            <w:hideMark/>
          </w:tcPr>
          <w:p w14:paraId="743CB1B0" w14:textId="77777777" w:rsidR="00000000" w:rsidRDefault="00C01C43">
            <w:pPr>
              <w:jc w:val="right"/>
              <w:rPr>
                <w:rFonts w:eastAsia="Times New Roman"/>
              </w:rPr>
            </w:pPr>
          </w:p>
        </w:tc>
      </w:tr>
      <w:tr w:rsidR="00000000" w14:paraId="3C293ABC" w14:textId="77777777">
        <w:trPr>
          <w:jc w:val="center"/>
        </w:trPr>
        <w:tc>
          <w:tcPr>
            <w:tcW w:w="0" w:type="auto"/>
            <w:gridSpan w:val="3"/>
            <w:tcMar>
              <w:top w:w="30" w:type="dxa"/>
              <w:left w:w="20" w:type="dxa"/>
              <w:bottom w:w="30" w:type="dxa"/>
              <w:right w:w="20" w:type="dxa"/>
            </w:tcMar>
            <w:vAlign w:val="bottom"/>
            <w:hideMark/>
          </w:tcPr>
          <w:p w14:paraId="709DFF23" w14:textId="77777777" w:rsidR="00000000" w:rsidRDefault="00C01C43">
            <w:pPr>
              <w:divId w:val="128867805"/>
              <w:rPr>
                <w:rFonts w:eastAsia="Times New Roman"/>
              </w:rPr>
            </w:pPr>
            <w:r>
              <w:rPr>
                <w:rFonts w:ascii="Arial" w:eastAsia="Times New Roman" w:hAnsi="Arial" w:cs="Arial"/>
                <w:color w:val="000000"/>
                <w:sz w:val="20"/>
                <w:szCs w:val="20"/>
              </w:rPr>
              <w:t>Asia Pacific</w:t>
            </w:r>
            <w:r>
              <w:rPr>
                <w:rFonts w:ascii="Arial" w:eastAsia="Times New Roman" w:hAnsi="Arial" w:cs="Arial"/>
                <w:color w:val="000000"/>
                <w:sz w:val="20"/>
                <w:szCs w:val="20"/>
              </w:rPr>
              <w:t> </w:t>
            </w:r>
            <w:r>
              <w:rPr>
                <w:rFonts w:ascii="Arial" w:eastAsia="Times New Roman" w:hAnsi="Arial" w:cs="Arial"/>
                <w:color w:val="000000"/>
                <w:sz w:val="13"/>
                <w:szCs w:val="13"/>
              </w:rPr>
              <w:t>(2) (3</w:t>
            </w:r>
            <w:r>
              <w:rPr>
                <w:rFonts w:ascii="Arial" w:eastAsia="Times New Roman" w:hAnsi="Arial" w:cs="Arial"/>
                <w:color w:val="000000"/>
                <w:sz w:val="13"/>
                <w:szCs w:val="13"/>
              </w:rPr>
              <w:t>)</w:t>
            </w:r>
          </w:p>
        </w:tc>
        <w:tc>
          <w:tcPr>
            <w:tcW w:w="0" w:type="auto"/>
            <w:gridSpan w:val="2"/>
            <w:tcMar>
              <w:top w:w="30" w:type="dxa"/>
              <w:left w:w="20" w:type="dxa"/>
              <w:bottom w:w="30" w:type="dxa"/>
              <w:right w:w="0" w:type="dxa"/>
            </w:tcMar>
            <w:vAlign w:val="bottom"/>
            <w:hideMark/>
          </w:tcPr>
          <w:p w14:paraId="7851D926" w14:textId="77777777" w:rsidR="00000000" w:rsidRDefault="00C01C43">
            <w:pPr>
              <w:jc w:val="right"/>
              <w:rPr>
                <w:rFonts w:eastAsia="Times New Roman"/>
              </w:rPr>
            </w:pPr>
            <w:r>
              <w:rPr>
                <w:rFonts w:ascii="Arial" w:eastAsia="Times New Roman" w:hAnsi="Arial" w:cs="Arial"/>
                <w:color w:val="000000"/>
                <w:sz w:val="20"/>
                <w:szCs w:val="20"/>
              </w:rPr>
              <w:t>3,035.6 </w:t>
            </w:r>
          </w:p>
        </w:tc>
        <w:tc>
          <w:tcPr>
            <w:tcW w:w="0" w:type="auto"/>
            <w:tcMar>
              <w:top w:w="30" w:type="dxa"/>
              <w:left w:w="0" w:type="dxa"/>
              <w:bottom w:w="30" w:type="dxa"/>
              <w:right w:w="20" w:type="dxa"/>
            </w:tcMar>
            <w:vAlign w:val="bottom"/>
            <w:hideMark/>
          </w:tcPr>
          <w:p w14:paraId="77047552"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0115C800"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BA64932" w14:textId="77777777" w:rsidR="00000000" w:rsidRDefault="00C01C43">
            <w:pPr>
              <w:jc w:val="right"/>
              <w:rPr>
                <w:rFonts w:eastAsia="Times New Roman"/>
              </w:rPr>
            </w:pPr>
            <w:r>
              <w:rPr>
                <w:rFonts w:ascii="Arial" w:eastAsia="Times New Roman" w:hAnsi="Arial" w:cs="Arial"/>
                <w:color w:val="000000"/>
                <w:sz w:val="20"/>
                <w:szCs w:val="20"/>
              </w:rPr>
              <w:t>4,581.1 </w:t>
            </w:r>
          </w:p>
        </w:tc>
        <w:tc>
          <w:tcPr>
            <w:tcW w:w="0" w:type="auto"/>
            <w:tcMar>
              <w:top w:w="30" w:type="dxa"/>
              <w:left w:w="0" w:type="dxa"/>
              <w:bottom w:w="30" w:type="dxa"/>
              <w:right w:w="20" w:type="dxa"/>
            </w:tcMar>
            <w:vAlign w:val="bottom"/>
            <w:hideMark/>
          </w:tcPr>
          <w:p w14:paraId="7552C88C" w14:textId="77777777" w:rsidR="00000000" w:rsidRDefault="00C01C43">
            <w:pPr>
              <w:jc w:val="right"/>
              <w:rPr>
                <w:rFonts w:eastAsia="Times New Roman"/>
              </w:rPr>
            </w:pPr>
          </w:p>
        </w:tc>
        <w:tc>
          <w:tcPr>
            <w:tcW w:w="0" w:type="auto"/>
            <w:gridSpan w:val="3"/>
            <w:tcMar>
              <w:top w:w="0" w:type="dxa"/>
              <w:left w:w="20" w:type="dxa"/>
              <w:bottom w:w="0" w:type="dxa"/>
              <w:right w:w="20" w:type="dxa"/>
            </w:tcMar>
            <w:vAlign w:val="center"/>
            <w:hideMark/>
          </w:tcPr>
          <w:p w14:paraId="03E48FCF" w14:textId="77777777" w:rsidR="00000000" w:rsidRDefault="00C01C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26DAFDE" w14:textId="77777777" w:rsidR="00000000" w:rsidRDefault="00C01C43">
            <w:pPr>
              <w:jc w:val="right"/>
              <w:rPr>
                <w:rFonts w:eastAsia="Times New Roman"/>
              </w:rPr>
            </w:pPr>
            <w:r>
              <w:rPr>
                <w:rFonts w:ascii="Arial" w:eastAsia="Times New Roman" w:hAnsi="Arial" w:cs="Arial"/>
                <w:color w:val="000000"/>
                <w:sz w:val="20"/>
                <w:szCs w:val="20"/>
              </w:rPr>
              <w:t>5,537.2 </w:t>
            </w:r>
          </w:p>
        </w:tc>
        <w:tc>
          <w:tcPr>
            <w:tcW w:w="0" w:type="auto"/>
            <w:tcMar>
              <w:top w:w="30" w:type="dxa"/>
              <w:left w:w="0" w:type="dxa"/>
              <w:bottom w:w="30" w:type="dxa"/>
              <w:right w:w="20" w:type="dxa"/>
            </w:tcMar>
            <w:vAlign w:val="bottom"/>
            <w:hideMark/>
          </w:tcPr>
          <w:p w14:paraId="7500D646" w14:textId="77777777" w:rsidR="00000000" w:rsidRDefault="00C01C43">
            <w:pPr>
              <w:jc w:val="right"/>
              <w:rPr>
                <w:rFonts w:eastAsia="Times New Roman"/>
              </w:rPr>
            </w:pPr>
          </w:p>
        </w:tc>
      </w:tr>
      <w:tr w:rsidR="00000000" w14:paraId="2BDFE6D7" w14:textId="77777777">
        <w:trPr>
          <w:jc w:val="center"/>
        </w:trPr>
        <w:tc>
          <w:tcPr>
            <w:tcW w:w="0" w:type="auto"/>
            <w:gridSpan w:val="3"/>
            <w:shd w:val="clear" w:color="auto" w:fill="CCEEFF"/>
            <w:tcMar>
              <w:top w:w="30" w:type="dxa"/>
              <w:left w:w="20" w:type="dxa"/>
              <w:bottom w:w="30" w:type="dxa"/>
              <w:right w:w="20" w:type="dxa"/>
            </w:tcMar>
            <w:vAlign w:val="bottom"/>
            <w:hideMark/>
          </w:tcPr>
          <w:p w14:paraId="14BF0927" w14:textId="77777777" w:rsidR="00000000" w:rsidRDefault="00C01C43">
            <w:pPr>
              <w:rPr>
                <w:rFonts w:eastAsia="Times New Roman"/>
              </w:rPr>
            </w:pPr>
            <w:r>
              <w:rPr>
                <w:rFonts w:ascii="Arial" w:eastAsia="Times New Roman" w:hAnsi="Arial" w:cs="Arial"/>
                <w:color w:val="000000"/>
                <w:sz w:val="20"/>
                <w:szCs w:val="20"/>
              </w:rPr>
              <w:t>Americas, excluding United States</w:t>
            </w:r>
          </w:p>
        </w:tc>
        <w:tc>
          <w:tcPr>
            <w:tcW w:w="0" w:type="auto"/>
            <w:gridSpan w:val="2"/>
            <w:shd w:val="clear" w:color="auto" w:fill="CCEEFF"/>
            <w:tcMar>
              <w:top w:w="30" w:type="dxa"/>
              <w:left w:w="20" w:type="dxa"/>
              <w:bottom w:w="30" w:type="dxa"/>
              <w:right w:w="0" w:type="dxa"/>
            </w:tcMar>
            <w:vAlign w:val="bottom"/>
            <w:hideMark/>
          </w:tcPr>
          <w:p w14:paraId="7FCEE240" w14:textId="77777777" w:rsidR="00000000" w:rsidRDefault="00C01C43">
            <w:pPr>
              <w:jc w:val="right"/>
              <w:rPr>
                <w:rFonts w:eastAsia="Times New Roman"/>
              </w:rPr>
            </w:pPr>
            <w:r>
              <w:rPr>
                <w:rFonts w:ascii="Arial" w:eastAsia="Times New Roman" w:hAnsi="Arial" w:cs="Arial"/>
                <w:color w:val="000000"/>
                <w:sz w:val="20"/>
                <w:szCs w:val="20"/>
              </w:rPr>
              <w:t>1,996.6 </w:t>
            </w:r>
          </w:p>
        </w:tc>
        <w:tc>
          <w:tcPr>
            <w:tcW w:w="0" w:type="auto"/>
            <w:shd w:val="clear" w:color="auto" w:fill="CCEEFF"/>
            <w:tcMar>
              <w:top w:w="30" w:type="dxa"/>
              <w:left w:w="0" w:type="dxa"/>
              <w:bottom w:w="30" w:type="dxa"/>
              <w:right w:w="20" w:type="dxa"/>
            </w:tcMar>
            <w:vAlign w:val="bottom"/>
            <w:hideMark/>
          </w:tcPr>
          <w:p w14:paraId="3ECA9D3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E63C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47B658" w14:textId="77777777" w:rsidR="00000000" w:rsidRDefault="00C01C43">
            <w:pPr>
              <w:jc w:val="right"/>
              <w:rPr>
                <w:rFonts w:eastAsia="Times New Roman"/>
              </w:rPr>
            </w:pPr>
            <w:r>
              <w:rPr>
                <w:rFonts w:ascii="Arial" w:eastAsia="Times New Roman" w:hAnsi="Arial" w:cs="Arial"/>
                <w:color w:val="000000"/>
                <w:sz w:val="20"/>
                <w:szCs w:val="20"/>
              </w:rPr>
              <w:t>3,637.6 </w:t>
            </w:r>
          </w:p>
        </w:tc>
        <w:tc>
          <w:tcPr>
            <w:tcW w:w="0" w:type="auto"/>
            <w:shd w:val="clear" w:color="auto" w:fill="CCEEFF"/>
            <w:tcMar>
              <w:top w:w="30" w:type="dxa"/>
              <w:left w:w="0" w:type="dxa"/>
              <w:bottom w:w="30" w:type="dxa"/>
              <w:right w:w="20" w:type="dxa"/>
            </w:tcMar>
            <w:vAlign w:val="bottom"/>
            <w:hideMark/>
          </w:tcPr>
          <w:p w14:paraId="112B260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E04F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F1B407" w14:textId="77777777" w:rsidR="00000000" w:rsidRDefault="00C01C43">
            <w:pPr>
              <w:jc w:val="right"/>
              <w:rPr>
                <w:rFonts w:eastAsia="Times New Roman"/>
              </w:rPr>
            </w:pPr>
            <w:r>
              <w:rPr>
                <w:rFonts w:ascii="Arial" w:eastAsia="Times New Roman" w:hAnsi="Arial" w:cs="Arial"/>
                <w:color w:val="000000"/>
                <w:sz w:val="20"/>
                <w:szCs w:val="20"/>
              </w:rPr>
              <w:t>3,935.6 </w:t>
            </w:r>
          </w:p>
        </w:tc>
        <w:tc>
          <w:tcPr>
            <w:tcW w:w="0" w:type="auto"/>
            <w:shd w:val="clear" w:color="auto" w:fill="CCEEFF"/>
            <w:tcMar>
              <w:top w:w="30" w:type="dxa"/>
              <w:left w:w="0" w:type="dxa"/>
              <w:bottom w:w="30" w:type="dxa"/>
              <w:right w:w="20" w:type="dxa"/>
            </w:tcMar>
            <w:vAlign w:val="bottom"/>
            <w:hideMark/>
          </w:tcPr>
          <w:p w14:paraId="179435C8" w14:textId="77777777" w:rsidR="00000000" w:rsidRDefault="00C01C43">
            <w:pPr>
              <w:jc w:val="right"/>
              <w:rPr>
                <w:rFonts w:eastAsia="Times New Roman"/>
              </w:rPr>
            </w:pPr>
          </w:p>
        </w:tc>
      </w:tr>
      <w:tr w:rsidR="00000000" w14:paraId="6A2C67A9" w14:textId="77777777">
        <w:trPr>
          <w:jc w:val="center"/>
        </w:trPr>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14:paraId="47A78DE3" w14:textId="77777777" w:rsidR="00000000" w:rsidRDefault="00C01C43">
            <w:pPr>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1FB17C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18CB1C3C" w14:textId="77777777" w:rsidR="00000000" w:rsidRDefault="00C01C43">
            <w:pPr>
              <w:jc w:val="right"/>
              <w:rPr>
                <w:rFonts w:eastAsia="Times New Roman"/>
              </w:rPr>
            </w:pPr>
            <w:r>
              <w:rPr>
                <w:rFonts w:ascii="Arial" w:eastAsia="Times New Roman" w:hAnsi="Arial" w:cs="Arial"/>
                <w:color w:val="000000"/>
                <w:sz w:val="20"/>
                <w:szCs w:val="20"/>
              </w:rPr>
              <w:t>20,358.3 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4306EA76"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7B5D9857"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50AA3BE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DC85E17" w14:textId="77777777" w:rsidR="00000000" w:rsidRDefault="00C01C43">
            <w:pPr>
              <w:jc w:val="right"/>
              <w:rPr>
                <w:rFonts w:eastAsia="Times New Roman"/>
              </w:rPr>
            </w:pPr>
            <w:r>
              <w:rPr>
                <w:rFonts w:ascii="Arial" w:eastAsia="Times New Roman" w:hAnsi="Arial" w:cs="Arial"/>
                <w:color w:val="000000"/>
                <w:sz w:val="20"/>
                <w:szCs w:val="20"/>
              </w:rPr>
              <w:t>36,819.0 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ACE5E09"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59FA7CA0"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98BDB9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5751FE8" w14:textId="77777777" w:rsidR="00000000" w:rsidRDefault="00C01C43">
            <w:pPr>
              <w:jc w:val="right"/>
              <w:rPr>
                <w:rFonts w:eastAsia="Times New Roman"/>
              </w:rPr>
            </w:pPr>
            <w:r>
              <w:rPr>
                <w:rFonts w:ascii="Arial" w:eastAsia="Times New Roman" w:hAnsi="Arial" w:cs="Arial"/>
                <w:color w:val="000000"/>
                <w:sz w:val="20"/>
                <w:szCs w:val="20"/>
              </w:rPr>
              <w:t>39,750.3 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955C325" w14:textId="77777777" w:rsidR="00000000" w:rsidRDefault="00C01C43">
            <w:pPr>
              <w:jc w:val="right"/>
              <w:rPr>
                <w:rFonts w:eastAsia="Times New Roman"/>
              </w:rPr>
            </w:pPr>
          </w:p>
        </w:tc>
      </w:tr>
      <w:tr w:rsidR="00000000" w14:paraId="1CC8F21A" w14:textId="77777777">
        <w:trPr>
          <w:jc w:val="center"/>
        </w:trPr>
        <w:tc>
          <w:tcPr>
            <w:tcW w:w="0" w:type="auto"/>
            <w:gridSpan w:val="3"/>
            <w:vAlign w:val="center"/>
            <w:hideMark/>
          </w:tcPr>
          <w:p w14:paraId="4491BD19" w14:textId="77777777" w:rsidR="00000000" w:rsidRDefault="00C01C43">
            <w:pPr>
              <w:jc w:val="right"/>
              <w:rPr>
                <w:rFonts w:eastAsia="Times New Roman"/>
                <w:sz w:val="20"/>
                <w:szCs w:val="20"/>
              </w:rPr>
            </w:pPr>
          </w:p>
        </w:tc>
        <w:tc>
          <w:tcPr>
            <w:tcW w:w="0" w:type="auto"/>
            <w:gridSpan w:val="3"/>
            <w:vAlign w:val="center"/>
            <w:hideMark/>
          </w:tcPr>
          <w:p w14:paraId="261047D8" w14:textId="77777777" w:rsidR="00000000" w:rsidRDefault="00C01C43">
            <w:pPr>
              <w:rPr>
                <w:rFonts w:eastAsia="Times New Roman"/>
                <w:sz w:val="20"/>
                <w:szCs w:val="20"/>
              </w:rPr>
            </w:pPr>
          </w:p>
        </w:tc>
        <w:tc>
          <w:tcPr>
            <w:tcW w:w="0" w:type="auto"/>
            <w:gridSpan w:val="3"/>
            <w:vAlign w:val="center"/>
            <w:hideMark/>
          </w:tcPr>
          <w:p w14:paraId="59A0E230" w14:textId="77777777" w:rsidR="00000000" w:rsidRDefault="00C01C43">
            <w:pPr>
              <w:rPr>
                <w:rFonts w:eastAsia="Times New Roman"/>
                <w:sz w:val="20"/>
                <w:szCs w:val="20"/>
              </w:rPr>
            </w:pPr>
          </w:p>
        </w:tc>
        <w:tc>
          <w:tcPr>
            <w:tcW w:w="0" w:type="auto"/>
            <w:gridSpan w:val="3"/>
            <w:vAlign w:val="center"/>
            <w:hideMark/>
          </w:tcPr>
          <w:p w14:paraId="0C123889" w14:textId="77777777" w:rsidR="00000000" w:rsidRDefault="00C01C43">
            <w:pPr>
              <w:rPr>
                <w:rFonts w:eastAsia="Times New Roman"/>
                <w:sz w:val="20"/>
                <w:szCs w:val="20"/>
              </w:rPr>
            </w:pPr>
          </w:p>
        </w:tc>
        <w:tc>
          <w:tcPr>
            <w:tcW w:w="0" w:type="auto"/>
            <w:gridSpan w:val="3"/>
            <w:vAlign w:val="center"/>
            <w:hideMark/>
          </w:tcPr>
          <w:p w14:paraId="320FA53B" w14:textId="77777777" w:rsidR="00000000" w:rsidRDefault="00C01C43">
            <w:pPr>
              <w:rPr>
                <w:rFonts w:eastAsia="Times New Roman"/>
                <w:sz w:val="20"/>
                <w:szCs w:val="20"/>
              </w:rPr>
            </w:pPr>
          </w:p>
        </w:tc>
        <w:tc>
          <w:tcPr>
            <w:tcW w:w="0" w:type="auto"/>
            <w:gridSpan w:val="3"/>
            <w:vAlign w:val="center"/>
            <w:hideMark/>
          </w:tcPr>
          <w:p w14:paraId="1D428A86" w14:textId="77777777" w:rsidR="00000000" w:rsidRDefault="00C01C43">
            <w:pPr>
              <w:rPr>
                <w:rFonts w:eastAsia="Times New Roman"/>
                <w:sz w:val="20"/>
                <w:szCs w:val="20"/>
              </w:rPr>
            </w:pPr>
          </w:p>
        </w:tc>
      </w:tr>
      <w:tr w:rsidR="00000000" w14:paraId="472B5489" w14:textId="77777777">
        <w:trPr>
          <w:jc w:val="center"/>
        </w:trPr>
        <w:tc>
          <w:tcPr>
            <w:tcW w:w="0" w:type="auto"/>
            <w:gridSpan w:val="3"/>
            <w:vAlign w:val="center"/>
            <w:hideMark/>
          </w:tcPr>
          <w:p w14:paraId="63FC847E" w14:textId="77777777" w:rsidR="00000000" w:rsidRDefault="00C01C43">
            <w:pPr>
              <w:rPr>
                <w:rFonts w:eastAsia="Times New Roman"/>
                <w:sz w:val="20"/>
                <w:szCs w:val="20"/>
              </w:rPr>
            </w:pPr>
          </w:p>
        </w:tc>
        <w:tc>
          <w:tcPr>
            <w:tcW w:w="0" w:type="auto"/>
            <w:gridSpan w:val="3"/>
            <w:vAlign w:val="center"/>
            <w:hideMark/>
          </w:tcPr>
          <w:p w14:paraId="6973C6B0" w14:textId="77777777" w:rsidR="00000000" w:rsidRDefault="00C01C43">
            <w:pPr>
              <w:rPr>
                <w:rFonts w:eastAsia="Times New Roman"/>
                <w:sz w:val="20"/>
                <w:szCs w:val="20"/>
              </w:rPr>
            </w:pPr>
          </w:p>
        </w:tc>
        <w:tc>
          <w:tcPr>
            <w:tcW w:w="0" w:type="auto"/>
            <w:gridSpan w:val="3"/>
            <w:vAlign w:val="center"/>
            <w:hideMark/>
          </w:tcPr>
          <w:p w14:paraId="199A43E1" w14:textId="77777777" w:rsidR="00000000" w:rsidRDefault="00C01C43">
            <w:pPr>
              <w:rPr>
                <w:rFonts w:eastAsia="Times New Roman"/>
                <w:sz w:val="20"/>
                <w:szCs w:val="20"/>
              </w:rPr>
            </w:pPr>
          </w:p>
        </w:tc>
        <w:tc>
          <w:tcPr>
            <w:tcW w:w="0" w:type="auto"/>
            <w:gridSpan w:val="3"/>
            <w:vAlign w:val="center"/>
            <w:hideMark/>
          </w:tcPr>
          <w:p w14:paraId="4E2ABE78" w14:textId="77777777" w:rsidR="00000000" w:rsidRDefault="00C01C43">
            <w:pPr>
              <w:rPr>
                <w:rFonts w:eastAsia="Times New Roman"/>
                <w:sz w:val="20"/>
                <w:szCs w:val="20"/>
              </w:rPr>
            </w:pPr>
          </w:p>
        </w:tc>
        <w:tc>
          <w:tcPr>
            <w:tcW w:w="0" w:type="auto"/>
            <w:gridSpan w:val="3"/>
            <w:vAlign w:val="center"/>
            <w:hideMark/>
          </w:tcPr>
          <w:p w14:paraId="58D9D01E" w14:textId="77777777" w:rsidR="00000000" w:rsidRDefault="00C01C43">
            <w:pPr>
              <w:rPr>
                <w:rFonts w:eastAsia="Times New Roman"/>
                <w:sz w:val="20"/>
                <w:szCs w:val="20"/>
              </w:rPr>
            </w:pPr>
          </w:p>
        </w:tc>
        <w:tc>
          <w:tcPr>
            <w:tcW w:w="0" w:type="auto"/>
            <w:gridSpan w:val="3"/>
            <w:vAlign w:val="center"/>
            <w:hideMark/>
          </w:tcPr>
          <w:p w14:paraId="3711F686" w14:textId="77777777" w:rsidR="00000000" w:rsidRDefault="00C01C43">
            <w:pPr>
              <w:rPr>
                <w:rFonts w:eastAsia="Times New Roman"/>
                <w:sz w:val="20"/>
                <w:szCs w:val="20"/>
              </w:rPr>
            </w:pPr>
          </w:p>
        </w:tc>
      </w:tr>
      <w:tr w:rsidR="00000000" w14:paraId="7F74164A" w14:textId="77777777">
        <w:trPr>
          <w:jc w:val="center"/>
        </w:trPr>
        <w:tc>
          <w:tcPr>
            <w:tcW w:w="0" w:type="auto"/>
            <w:gridSpan w:val="3"/>
            <w:vAlign w:val="center"/>
            <w:hideMark/>
          </w:tcPr>
          <w:p w14:paraId="6456EE26" w14:textId="77777777" w:rsidR="00000000" w:rsidRDefault="00C01C43">
            <w:pPr>
              <w:rPr>
                <w:rFonts w:eastAsia="Times New Roman"/>
                <w:sz w:val="20"/>
                <w:szCs w:val="20"/>
              </w:rPr>
            </w:pPr>
          </w:p>
        </w:tc>
        <w:tc>
          <w:tcPr>
            <w:tcW w:w="0" w:type="auto"/>
            <w:gridSpan w:val="3"/>
            <w:vAlign w:val="center"/>
            <w:hideMark/>
          </w:tcPr>
          <w:p w14:paraId="75FB1499" w14:textId="77777777" w:rsidR="00000000" w:rsidRDefault="00C01C43">
            <w:pPr>
              <w:rPr>
                <w:rFonts w:eastAsia="Times New Roman"/>
                <w:sz w:val="20"/>
                <w:szCs w:val="20"/>
              </w:rPr>
            </w:pPr>
          </w:p>
        </w:tc>
        <w:tc>
          <w:tcPr>
            <w:tcW w:w="0" w:type="auto"/>
            <w:gridSpan w:val="3"/>
            <w:vAlign w:val="center"/>
            <w:hideMark/>
          </w:tcPr>
          <w:p w14:paraId="3C5227E5" w14:textId="77777777" w:rsidR="00000000" w:rsidRDefault="00C01C43">
            <w:pPr>
              <w:rPr>
                <w:rFonts w:eastAsia="Times New Roman"/>
                <w:sz w:val="20"/>
                <w:szCs w:val="20"/>
              </w:rPr>
            </w:pPr>
          </w:p>
        </w:tc>
        <w:tc>
          <w:tcPr>
            <w:tcW w:w="0" w:type="auto"/>
            <w:gridSpan w:val="3"/>
            <w:vAlign w:val="center"/>
            <w:hideMark/>
          </w:tcPr>
          <w:p w14:paraId="36D14ED7" w14:textId="77777777" w:rsidR="00000000" w:rsidRDefault="00C01C43">
            <w:pPr>
              <w:rPr>
                <w:rFonts w:eastAsia="Times New Roman"/>
                <w:sz w:val="20"/>
                <w:szCs w:val="20"/>
              </w:rPr>
            </w:pPr>
          </w:p>
        </w:tc>
        <w:tc>
          <w:tcPr>
            <w:tcW w:w="0" w:type="auto"/>
            <w:gridSpan w:val="3"/>
            <w:vAlign w:val="center"/>
            <w:hideMark/>
          </w:tcPr>
          <w:p w14:paraId="16CA4EFF" w14:textId="77777777" w:rsidR="00000000" w:rsidRDefault="00C01C43">
            <w:pPr>
              <w:rPr>
                <w:rFonts w:eastAsia="Times New Roman"/>
                <w:sz w:val="20"/>
                <w:szCs w:val="20"/>
              </w:rPr>
            </w:pPr>
          </w:p>
        </w:tc>
        <w:tc>
          <w:tcPr>
            <w:tcW w:w="0" w:type="auto"/>
            <w:gridSpan w:val="3"/>
            <w:vAlign w:val="center"/>
            <w:hideMark/>
          </w:tcPr>
          <w:p w14:paraId="6A454BA6" w14:textId="77777777" w:rsidR="00000000" w:rsidRDefault="00C01C43">
            <w:pPr>
              <w:rPr>
                <w:rFonts w:eastAsia="Times New Roman"/>
                <w:sz w:val="20"/>
                <w:szCs w:val="20"/>
              </w:rPr>
            </w:pPr>
          </w:p>
        </w:tc>
      </w:tr>
      <w:tr w:rsidR="00000000" w14:paraId="6F0E0E6F" w14:textId="77777777">
        <w:trPr>
          <w:jc w:val="center"/>
        </w:trPr>
        <w:tc>
          <w:tcPr>
            <w:tcW w:w="0" w:type="auto"/>
            <w:gridSpan w:val="3"/>
            <w:vAlign w:val="center"/>
            <w:hideMark/>
          </w:tcPr>
          <w:p w14:paraId="2387FFCF" w14:textId="77777777" w:rsidR="00000000" w:rsidRDefault="00C01C43">
            <w:pPr>
              <w:rPr>
                <w:rFonts w:eastAsia="Times New Roman"/>
                <w:sz w:val="20"/>
                <w:szCs w:val="20"/>
              </w:rPr>
            </w:pPr>
          </w:p>
        </w:tc>
        <w:tc>
          <w:tcPr>
            <w:tcW w:w="0" w:type="auto"/>
            <w:gridSpan w:val="3"/>
            <w:vAlign w:val="center"/>
            <w:hideMark/>
          </w:tcPr>
          <w:p w14:paraId="336D6378" w14:textId="77777777" w:rsidR="00000000" w:rsidRDefault="00C01C43">
            <w:pPr>
              <w:rPr>
                <w:rFonts w:eastAsia="Times New Roman"/>
                <w:sz w:val="20"/>
                <w:szCs w:val="20"/>
              </w:rPr>
            </w:pPr>
          </w:p>
        </w:tc>
        <w:tc>
          <w:tcPr>
            <w:tcW w:w="0" w:type="auto"/>
            <w:gridSpan w:val="3"/>
            <w:vAlign w:val="center"/>
            <w:hideMark/>
          </w:tcPr>
          <w:p w14:paraId="068DC013" w14:textId="77777777" w:rsidR="00000000" w:rsidRDefault="00C01C43">
            <w:pPr>
              <w:rPr>
                <w:rFonts w:eastAsia="Times New Roman"/>
                <w:sz w:val="20"/>
                <w:szCs w:val="20"/>
              </w:rPr>
            </w:pPr>
          </w:p>
        </w:tc>
        <w:tc>
          <w:tcPr>
            <w:tcW w:w="0" w:type="auto"/>
            <w:gridSpan w:val="3"/>
            <w:vAlign w:val="center"/>
            <w:hideMark/>
          </w:tcPr>
          <w:p w14:paraId="070E4557" w14:textId="77777777" w:rsidR="00000000" w:rsidRDefault="00C01C43">
            <w:pPr>
              <w:rPr>
                <w:rFonts w:eastAsia="Times New Roman"/>
                <w:sz w:val="20"/>
                <w:szCs w:val="20"/>
              </w:rPr>
            </w:pPr>
          </w:p>
        </w:tc>
        <w:tc>
          <w:tcPr>
            <w:tcW w:w="0" w:type="auto"/>
            <w:gridSpan w:val="3"/>
            <w:vAlign w:val="center"/>
            <w:hideMark/>
          </w:tcPr>
          <w:p w14:paraId="4986C311" w14:textId="77777777" w:rsidR="00000000" w:rsidRDefault="00C01C43">
            <w:pPr>
              <w:rPr>
                <w:rFonts w:eastAsia="Times New Roman"/>
                <w:sz w:val="20"/>
                <w:szCs w:val="20"/>
              </w:rPr>
            </w:pPr>
          </w:p>
        </w:tc>
        <w:tc>
          <w:tcPr>
            <w:tcW w:w="0" w:type="auto"/>
            <w:gridSpan w:val="3"/>
            <w:vAlign w:val="center"/>
            <w:hideMark/>
          </w:tcPr>
          <w:p w14:paraId="51F64050" w14:textId="77777777" w:rsidR="00000000" w:rsidRDefault="00C01C43">
            <w:pPr>
              <w:rPr>
                <w:rFonts w:eastAsia="Times New Roman"/>
                <w:sz w:val="20"/>
                <w:szCs w:val="20"/>
              </w:rPr>
            </w:pPr>
          </w:p>
        </w:tc>
      </w:tr>
      <w:tr w:rsidR="00000000" w14:paraId="682A05B1" w14:textId="77777777">
        <w:trPr>
          <w:jc w:val="center"/>
        </w:trPr>
        <w:tc>
          <w:tcPr>
            <w:tcW w:w="0" w:type="auto"/>
            <w:gridSpan w:val="3"/>
            <w:vAlign w:val="center"/>
            <w:hideMark/>
          </w:tcPr>
          <w:p w14:paraId="094C9C35" w14:textId="77777777" w:rsidR="00000000" w:rsidRDefault="00C01C43">
            <w:pPr>
              <w:rPr>
                <w:rFonts w:eastAsia="Times New Roman"/>
                <w:sz w:val="20"/>
                <w:szCs w:val="20"/>
              </w:rPr>
            </w:pPr>
          </w:p>
        </w:tc>
        <w:tc>
          <w:tcPr>
            <w:tcW w:w="0" w:type="auto"/>
            <w:gridSpan w:val="3"/>
            <w:vAlign w:val="center"/>
            <w:hideMark/>
          </w:tcPr>
          <w:p w14:paraId="5B1155AC" w14:textId="77777777" w:rsidR="00000000" w:rsidRDefault="00C01C43">
            <w:pPr>
              <w:rPr>
                <w:rFonts w:eastAsia="Times New Roman"/>
                <w:sz w:val="20"/>
                <w:szCs w:val="20"/>
              </w:rPr>
            </w:pPr>
          </w:p>
        </w:tc>
        <w:tc>
          <w:tcPr>
            <w:tcW w:w="0" w:type="auto"/>
            <w:gridSpan w:val="3"/>
            <w:vAlign w:val="center"/>
            <w:hideMark/>
          </w:tcPr>
          <w:p w14:paraId="43109F12" w14:textId="77777777" w:rsidR="00000000" w:rsidRDefault="00C01C43">
            <w:pPr>
              <w:rPr>
                <w:rFonts w:eastAsia="Times New Roman"/>
                <w:sz w:val="20"/>
                <w:szCs w:val="20"/>
              </w:rPr>
            </w:pPr>
          </w:p>
        </w:tc>
        <w:tc>
          <w:tcPr>
            <w:tcW w:w="0" w:type="auto"/>
            <w:gridSpan w:val="3"/>
            <w:vAlign w:val="center"/>
            <w:hideMark/>
          </w:tcPr>
          <w:p w14:paraId="6FB34B7B" w14:textId="77777777" w:rsidR="00000000" w:rsidRDefault="00C01C43">
            <w:pPr>
              <w:rPr>
                <w:rFonts w:eastAsia="Times New Roman"/>
                <w:sz w:val="20"/>
                <w:szCs w:val="20"/>
              </w:rPr>
            </w:pPr>
          </w:p>
        </w:tc>
        <w:tc>
          <w:tcPr>
            <w:tcW w:w="0" w:type="auto"/>
            <w:gridSpan w:val="3"/>
            <w:vAlign w:val="center"/>
            <w:hideMark/>
          </w:tcPr>
          <w:p w14:paraId="4C6394A2" w14:textId="77777777" w:rsidR="00000000" w:rsidRDefault="00C01C43">
            <w:pPr>
              <w:rPr>
                <w:rFonts w:eastAsia="Times New Roman"/>
                <w:sz w:val="20"/>
                <w:szCs w:val="20"/>
              </w:rPr>
            </w:pPr>
          </w:p>
        </w:tc>
        <w:tc>
          <w:tcPr>
            <w:tcW w:w="0" w:type="auto"/>
            <w:gridSpan w:val="3"/>
            <w:vAlign w:val="center"/>
            <w:hideMark/>
          </w:tcPr>
          <w:p w14:paraId="2349FADF" w14:textId="77777777" w:rsidR="00000000" w:rsidRDefault="00C01C43">
            <w:pPr>
              <w:rPr>
                <w:rFonts w:eastAsia="Times New Roman"/>
                <w:sz w:val="20"/>
                <w:szCs w:val="20"/>
              </w:rPr>
            </w:pPr>
          </w:p>
        </w:tc>
      </w:tr>
      <w:tr w:rsidR="00000000" w14:paraId="146BA3E7" w14:textId="77777777">
        <w:trPr>
          <w:jc w:val="center"/>
        </w:trPr>
        <w:tc>
          <w:tcPr>
            <w:tcW w:w="0" w:type="auto"/>
            <w:gridSpan w:val="3"/>
            <w:vAlign w:val="center"/>
            <w:hideMark/>
          </w:tcPr>
          <w:p w14:paraId="2F29387C" w14:textId="77777777" w:rsidR="00000000" w:rsidRDefault="00C01C43">
            <w:pPr>
              <w:rPr>
                <w:rFonts w:eastAsia="Times New Roman"/>
                <w:sz w:val="20"/>
                <w:szCs w:val="20"/>
              </w:rPr>
            </w:pPr>
          </w:p>
        </w:tc>
        <w:tc>
          <w:tcPr>
            <w:tcW w:w="0" w:type="auto"/>
            <w:gridSpan w:val="3"/>
            <w:vAlign w:val="center"/>
            <w:hideMark/>
          </w:tcPr>
          <w:p w14:paraId="5B68B713" w14:textId="77777777" w:rsidR="00000000" w:rsidRDefault="00C01C43">
            <w:pPr>
              <w:rPr>
                <w:rFonts w:eastAsia="Times New Roman"/>
                <w:sz w:val="20"/>
                <w:szCs w:val="20"/>
              </w:rPr>
            </w:pPr>
          </w:p>
        </w:tc>
        <w:tc>
          <w:tcPr>
            <w:tcW w:w="0" w:type="auto"/>
            <w:gridSpan w:val="3"/>
            <w:vAlign w:val="center"/>
            <w:hideMark/>
          </w:tcPr>
          <w:p w14:paraId="5B443F6C" w14:textId="77777777" w:rsidR="00000000" w:rsidRDefault="00C01C43">
            <w:pPr>
              <w:rPr>
                <w:rFonts w:eastAsia="Times New Roman"/>
                <w:sz w:val="20"/>
                <w:szCs w:val="20"/>
              </w:rPr>
            </w:pPr>
          </w:p>
        </w:tc>
        <w:tc>
          <w:tcPr>
            <w:tcW w:w="0" w:type="auto"/>
            <w:gridSpan w:val="3"/>
            <w:vAlign w:val="center"/>
            <w:hideMark/>
          </w:tcPr>
          <w:p w14:paraId="6442052C" w14:textId="77777777" w:rsidR="00000000" w:rsidRDefault="00C01C43">
            <w:pPr>
              <w:rPr>
                <w:rFonts w:eastAsia="Times New Roman"/>
                <w:sz w:val="20"/>
                <w:szCs w:val="20"/>
              </w:rPr>
            </w:pPr>
          </w:p>
        </w:tc>
        <w:tc>
          <w:tcPr>
            <w:tcW w:w="0" w:type="auto"/>
            <w:gridSpan w:val="3"/>
            <w:vAlign w:val="center"/>
            <w:hideMark/>
          </w:tcPr>
          <w:p w14:paraId="53CD5B40" w14:textId="77777777" w:rsidR="00000000" w:rsidRDefault="00C01C43">
            <w:pPr>
              <w:rPr>
                <w:rFonts w:eastAsia="Times New Roman"/>
                <w:sz w:val="20"/>
                <w:szCs w:val="20"/>
              </w:rPr>
            </w:pPr>
          </w:p>
        </w:tc>
        <w:tc>
          <w:tcPr>
            <w:tcW w:w="0" w:type="auto"/>
            <w:gridSpan w:val="3"/>
            <w:vAlign w:val="center"/>
            <w:hideMark/>
          </w:tcPr>
          <w:p w14:paraId="0832802B" w14:textId="77777777" w:rsidR="00000000" w:rsidRDefault="00C01C43">
            <w:pPr>
              <w:rPr>
                <w:rFonts w:eastAsia="Times New Roman"/>
                <w:sz w:val="20"/>
                <w:szCs w:val="20"/>
              </w:rPr>
            </w:pPr>
          </w:p>
        </w:tc>
      </w:tr>
    </w:tbl>
    <w:p w14:paraId="007B83D4" w14:textId="77777777" w:rsidR="00000000" w:rsidRDefault="00C01C43">
      <w:pPr>
        <w:divId w:val="2145657544"/>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37"/>
        <w:gridCol w:w="6456"/>
        <w:gridCol w:w="36"/>
        <w:gridCol w:w="132"/>
        <w:gridCol w:w="686"/>
        <w:gridCol w:w="36"/>
        <w:gridCol w:w="36"/>
        <w:gridCol w:w="36"/>
        <w:gridCol w:w="36"/>
        <w:gridCol w:w="132"/>
        <w:gridCol w:w="634"/>
        <w:gridCol w:w="36"/>
      </w:tblGrid>
      <w:tr w:rsidR="00000000" w14:paraId="70B73663" w14:textId="77777777">
        <w:trPr>
          <w:divId w:val="2145657544"/>
        </w:trPr>
        <w:tc>
          <w:tcPr>
            <w:tcW w:w="50" w:type="pct"/>
            <w:vAlign w:val="center"/>
            <w:hideMark/>
          </w:tcPr>
          <w:p w14:paraId="1D7D0441" w14:textId="77777777" w:rsidR="00000000" w:rsidRDefault="00C01C43">
            <w:pPr>
              <w:jc w:val="center"/>
              <w:rPr>
                <w:rFonts w:eastAsia="Times New Roman"/>
              </w:rPr>
            </w:pPr>
          </w:p>
        </w:tc>
        <w:tc>
          <w:tcPr>
            <w:tcW w:w="3920" w:type="pct"/>
            <w:vAlign w:val="center"/>
            <w:hideMark/>
          </w:tcPr>
          <w:p w14:paraId="6018F9D8" w14:textId="77777777" w:rsidR="00000000" w:rsidRDefault="00C01C43">
            <w:pPr>
              <w:rPr>
                <w:rFonts w:eastAsia="Times New Roman"/>
                <w:sz w:val="20"/>
                <w:szCs w:val="20"/>
              </w:rPr>
            </w:pPr>
          </w:p>
        </w:tc>
        <w:tc>
          <w:tcPr>
            <w:tcW w:w="5" w:type="pct"/>
            <w:vAlign w:val="center"/>
            <w:hideMark/>
          </w:tcPr>
          <w:p w14:paraId="3935BCB5" w14:textId="77777777" w:rsidR="00000000" w:rsidRDefault="00C01C43">
            <w:pPr>
              <w:rPr>
                <w:rFonts w:eastAsia="Times New Roman"/>
                <w:sz w:val="20"/>
                <w:szCs w:val="20"/>
              </w:rPr>
            </w:pPr>
          </w:p>
        </w:tc>
        <w:tc>
          <w:tcPr>
            <w:tcW w:w="50" w:type="pct"/>
            <w:vAlign w:val="center"/>
            <w:hideMark/>
          </w:tcPr>
          <w:p w14:paraId="5D9536D5" w14:textId="77777777" w:rsidR="00000000" w:rsidRDefault="00C01C43">
            <w:pPr>
              <w:rPr>
                <w:rFonts w:eastAsia="Times New Roman"/>
                <w:sz w:val="20"/>
                <w:szCs w:val="20"/>
              </w:rPr>
            </w:pPr>
          </w:p>
        </w:tc>
        <w:tc>
          <w:tcPr>
            <w:tcW w:w="442" w:type="pct"/>
            <w:vAlign w:val="center"/>
            <w:hideMark/>
          </w:tcPr>
          <w:p w14:paraId="4065635E" w14:textId="77777777" w:rsidR="00000000" w:rsidRDefault="00C01C43">
            <w:pPr>
              <w:rPr>
                <w:rFonts w:eastAsia="Times New Roman"/>
                <w:sz w:val="20"/>
                <w:szCs w:val="20"/>
              </w:rPr>
            </w:pPr>
          </w:p>
        </w:tc>
        <w:tc>
          <w:tcPr>
            <w:tcW w:w="5" w:type="pct"/>
            <w:vAlign w:val="center"/>
            <w:hideMark/>
          </w:tcPr>
          <w:p w14:paraId="0CA1ECC3" w14:textId="77777777" w:rsidR="00000000" w:rsidRDefault="00C01C43">
            <w:pPr>
              <w:rPr>
                <w:rFonts w:eastAsia="Times New Roman"/>
                <w:sz w:val="20"/>
                <w:szCs w:val="20"/>
              </w:rPr>
            </w:pPr>
          </w:p>
        </w:tc>
        <w:tc>
          <w:tcPr>
            <w:tcW w:w="5" w:type="pct"/>
            <w:vAlign w:val="center"/>
            <w:hideMark/>
          </w:tcPr>
          <w:p w14:paraId="3B049FA0" w14:textId="77777777" w:rsidR="00000000" w:rsidRDefault="00C01C43">
            <w:pPr>
              <w:rPr>
                <w:rFonts w:eastAsia="Times New Roman"/>
                <w:sz w:val="20"/>
                <w:szCs w:val="20"/>
              </w:rPr>
            </w:pPr>
          </w:p>
        </w:tc>
        <w:tc>
          <w:tcPr>
            <w:tcW w:w="26" w:type="pct"/>
            <w:vAlign w:val="center"/>
            <w:hideMark/>
          </w:tcPr>
          <w:p w14:paraId="3B6C8C1A" w14:textId="77777777" w:rsidR="00000000" w:rsidRDefault="00C01C43">
            <w:pPr>
              <w:rPr>
                <w:rFonts w:eastAsia="Times New Roman"/>
                <w:sz w:val="20"/>
                <w:szCs w:val="20"/>
              </w:rPr>
            </w:pPr>
          </w:p>
        </w:tc>
        <w:tc>
          <w:tcPr>
            <w:tcW w:w="5" w:type="pct"/>
            <w:vAlign w:val="center"/>
            <w:hideMark/>
          </w:tcPr>
          <w:p w14:paraId="4E478627" w14:textId="77777777" w:rsidR="00000000" w:rsidRDefault="00C01C43">
            <w:pPr>
              <w:rPr>
                <w:rFonts w:eastAsia="Times New Roman"/>
                <w:sz w:val="20"/>
                <w:szCs w:val="20"/>
              </w:rPr>
            </w:pPr>
          </w:p>
        </w:tc>
        <w:tc>
          <w:tcPr>
            <w:tcW w:w="50" w:type="pct"/>
            <w:vAlign w:val="center"/>
            <w:hideMark/>
          </w:tcPr>
          <w:p w14:paraId="28F275AA" w14:textId="77777777" w:rsidR="00000000" w:rsidRDefault="00C01C43">
            <w:pPr>
              <w:rPr>
                <w:rFonts w:eastAsia="Times New Roman"/>
                <w:sz w:val="20"/>
                <w:szCs w:val="20"/>
              </w:rPr>
            </w:pPr>
          </w:p>
        </w:tc>
        <w:tc>
          <w:tcPr>
            <w:tcW w:w="435" w:type="pct"/>
            <w:vAlign w:val="center"/>
            <w:hideMark/>
          </w:tcPr>
          <w:p w14:paraId="7898B905" w14:textId="77777777" w:rsidR="00000000" w:rsidRDefault="00C01C43">
            <w:pPr>
              <w:rPr>
                <w:rFonts w:eastAsia="Times New Roman"/>
                <w:sz w:val="20"/>
                <w:szCs w:val="20"/>
              </w:rPr>
            </w:pPr>
          </w:p>
        </w:tc>
        <w:tc>
          <w:tcPr>
            <w:tcW w:w="5" w:type="pct"/>
            <w:vAlign w:val="center"/>
            <w:hideMark/>
          </w:tcPr>
          <w:p w14:paraId="15FEF2D9" w14:textId="77777777" w:rsidR="00000000" w:rsidRDefault="00C01C43">
            <w:pPr>
              <w:rPr>
                <w:rFonts w:eastAsia="Times New Roman"/>
                <w:sz w:val="20"/>
                <w:szCs w:val="20"/>
              </w:rPr>
            </w:pPr>
          </w:p>
        </w:tc>
      </w:tr>
      <w:tr w:rsidR="00000000" w14:paraId="0B95553B" w14:textId="77777777">
        <w:trPr>
          <w:divId w:val="2145657544"/>
        </w:trPr>
        <w:tc>
          <w:tcPr>
            <w:tcW w:w="0" w:type="auto"/>
            <w:gridSpan w:val="3"/>
            <w:tcMar>
              <w:top w:w="0" w:type="dxa"/>
              <w:left w:w="20" w:type="dxa"/>
              <w:bottom w:w="0" w:type="dxa"/>
              <w:right w:w="20" w:type="dxa"/>
            </w:tcMar>
            <w:vAlign w:val="center"/>
            <w:hideMark/>
          </w:tcPr>
          <w:p w14:paraId="3FAE5FB6" w14:textId="77777777" w:rsidR="00000000" w:rsidRDefault="00C01C43">
            <w:pPr>
              <w:rPr>
                <w:rFonts w:eastAsia="Times New Roman"/>
                <w:sz w:val="20"/>
                <w:szCs w:val="20"/>
              </w:rPr>
            </w:pPr>
          </w:p>
        </w:tc>
        <w:tc>
          <w:tcPr>
            <w:tcW w:w="0" w:type="auto"/>
            <w:gridSpan w:val="9"/>
            <w:tcMar>
              <w:top w:w="30" w:type="dxa"/>
              <w:left w:w="20" w:type="dxa"/>
              <w:bottom w:w="30" w:type="dxa"/>
              <w:right w:w="20" w:type="dxa"/>
            </w:tcMar>
            <w:vAlign w:val="bottom"/>
            <w:hideMark/>
          </w:tcPr>
          <w:p w14:paraId="1F9AAAC0" w14:textId="77777777" w:rsidR="00000000" w:rsidRDefault="00C01C43">
            <w:pPr>
              <w:jc w:val="center"/>
              <w:rPr>
                <w:rFonts w:eastAsia="Times New Roman"/>
              </w:rPr>
            </w:pPr>
            <w:r>
              <w:rPr>
                <w:rFonts w:ascii="Arial" w:eastAsia="Times New Roman" w:hAnsi="Arial" w:cs="Arial"/>
                <w:b/>
                <w:bCs/>
                <w:color w:val="000000"/>
                <w:sz w:val="16"/>
                <w:szCs w:val="16"/>
              </w:rPr>
              <w:t>As of December 31,</w:t>
            </w:r>
          </w:p>
        </w:tc>
      </w:tr>
      <w:tr w:rsidR="00000000" w14:paraId="4C0B123C" w14:textId="77777777">
        <w:trPr>
          <w:divId w:val="2145657544"/>
        </w:trPr>
        <w:tc>
          <w:tcPr>
            <w:tcW w:w="0" w:type="auto"/>
            <w:gridSpan w:val="3"/>
            <w:tcMar>
              <w:top w:w="0" w:type="dxa"/>
              <w:left w:w="20" w:type="dxa"/>
              <w:bottom w:w="0" w:type="dxa"/>
              <w:right w:w="20" w:type="dxa"/>
            </w:tcMar>
            <w:vAlign w:val="center"/>
            <w:hideMark/>
          </w:tcPr>
          <w:p w14:paraId="7AF364DD"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716779"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79B6A18" w14:textId="77777777" w:rsidR="00000000" w:rsidRDefault="00C01C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41EC18" w14:textId="77777777" w:rsidR="00000000" w:rsidRDefault="00C01C43">
            <w:pPr>
              <w:jc w:val="center"/>
              <w:rPr>
                <w:rFonts w:eastAsia="Times New Roman"/>
              </w:rPr>
            </w:pPr>
            <w:r>
              <w:rPr>
                <w:rFonts w:ascii="Arial" w:eastAsia="Times New Roman" w:hAnsi="Arial" w:cs="Arial"/>
                <w:b/>
                <w:bCs/>
                <w:color w:val="000000"/>
                <w:sz w:val="16"/>
                <w:szCs w:val="16"/>
              </w:rPr>
              <w:t>2019</w:t>
            </w:r>
          </w:p>
        </w:tc>
      </w:tr>
      <w:tr w:rsidR="00000000" w14:paraId="07200880" w14:textId="77777777">
        <w:trPr>
          <w:divId w:val="2145657544"/>
        </w:trPr>
        <w:tc>
          <w:tcPr>
            <w:tcW w:w="0" w:type="auto"/>
            <w:gridSpan w:val="3"/>
            <w:vAlign w:val="center"/>
            <w:hideMark/>
          </w:tcPr>
          <w:p w14:paraId="5FC76681" w14:textId="77777777" w:rsidR="00000000" w:rsidRDefault="00C01C43">
            <w:pPr>
              <w:jc w:val="center"/>
              <w:rPr>
                <w:rFonts w:eastAsia="Times New Roman"/>
              </w:rPr>
            </w:pPr>
          </w:p>
        </w:tc>
        <w:tc>
          <w:tcPr>
            <w:tcW w:w="0" w:type="auto"/>
            <w:gridSpan w:val="3"/>
            <w:vAlign w:val="center"/>
            <w:hideMark/>
          </w:tcPr>
          <w:p w14:paraId="7FB4537A" w14:textId="77777777" w:rsidR="00000000" w:rsidRDefault="00C01C43">
            <w:pPr>
              <w:rPr>
                <w:rFonts w:eastAsia="Times New Roman"/>
                <w:sz w:val="20"/>
                <w:szCs w:val="20"/>
              </w:rPr>
            </w:pPr>
          </w:p>
        </w:tc>
        <w:tc>
          <w:tcPr>
            <w:tcW w:w="0" w:type="auto"/>
            <w:gridSpan w:val="3"/>
            <w:vAlign w:val="center"/>
            <w:hideMark/>
          </w:tcPr>
          <w:p w14:paraId="43F36FBF" w14:textId="77777777" w:rsidR="00000000" w:rsidRDefault="00C01C43">
            <w:pPr>
              <w:rPr>
                <w:rFonts w:eastAsia="Times New Roman"/>
                <w:sz w:val="20"/>
                <w:szCs w:val="20"/>
              </w:rPr>
            </w:pPr>
          </w:p>
        </w:tc>
        <w:tc>
          <w:tcPr>
            <w:tcW w:w="0" w:type="auto"/>
            <w:gridSpan w:val="3"/>
            <w:vAlign w:val="center"/>
            <w:hideMark/>
          </w:tcPr>
          <w:p w14:paraId="6D12D91C" w14:textId="77777777" w:rsidR="00000000" w:rsidRDefault="00C01C43">
            <w:pPr>
              <w:rPr>
                <w:rFonts w:eastAsia="Times New Roman"/>
                <w:sz w:val="20"/>
                <w:szCs w:val="20"/>
              </w:rPr>
            </w:pPr>
          </w:p>
        </w:tc>
      </w:tr>
      <w:tr w:rsidR="00000000" w14:paraId="0679B700" w14:textId="77777777">
        <w:trPr>
          <w:divId w:val="2145657544"/>
        </w:trPr>
        <w:tc>
          <w:tcPr>
            <w:tcW w:w="0" w:type="auto"/>
            <w:gridSpan w:val="3"/>
            <w:vAlign w:val="center"/>
            <w:hideMark/>
          </w:tcPr>
          <w:p w14:paraId="72F2DDC1" w14:textId="77777777" w:rsidR="00000000" w:rsidRDefault="00C01C43">
            <w:pPr>
              <w:rPr>
                <w:rFonts w:eastAsia="Times New Roman"/>
                <w:sz w:val="20"/>
                <w:szCs w:val="20"/>
              </w:rPr>
            </w:pPr>
          </w:p>
        </w:tc>
        <w:tc>
          <w:tcPr>
            <w:tcW w:w="0" w:type="auto"/>
            <w:gridSpan w:val="3"/>
            <w:vAlign w:val="center"/>
            <w:hideMark/>
          </w:tcPr>
          <w:p w14:paraId="6A322B59" w14:textId="77777777" w:rsidR="00000000" w:rsidRDefault="00C01C43">
            <w:pPr>
              <w:rPr>
                <w:rFonts w:eastAsia="Times New Roman"/>
                <w:sz w:val="20"/>
                <w:szCs w:val="20"/>
              </w:rPr>
            </w:pPr>
          </w:p>
        </w:tc>
        <w:tc>
          <w:tcPr>
            <w:tcW w:w="0" w:type="auto"/>
            <w:gridSpan w:val="3"/>
            <w:vAlign w:val="center"/>
            <w:hideMark/>
          </w:tcPr>
          <w:p w14:paraId="21B5E773" w14:textId="77777777" w:rsidR="00000000" w:rsidRDefault="00C01C43">
            <w:pPr>
              <w:rPr>
                <w:rFonts w:eastAsia="Times New Roman"/>
                <w:sz w:val="20"/>
                <w:szCs w:val="20"/>
              </w:rPr>
            </w:pPr>
          </w:p>
        </w:tc>
        <w:tc>
          <w:tcPr>
            <w:tcW w:w="0" w:type="auto"/>
            <w:gridSpan w:val="3"/>
            <w:vAlign w:val="center"/>
            <w:hideMark/>
          </w:tcPr>
          <w:p w14:paraId="5A7CF2C1" w14:textId="77777777" w:rsidR="00000000" w:rsidRDefault="00C01C43">
            <w:pPr>
              <w:rPr>
                <w:rFonts w:eastAsia="Times New Roman"/>
                <w:sz w:val="20"/>
                <w:szCs w:val="20"/>
              </w:rPr>
            </w:pPr>
          </w:p>
        </w:tc>
      </w:tr>
      <w:tr w:rsidR="00000000" w14:paraId="5A9F9B19" w14:textId="77777777">
        <w:trPr>
          <w:divId w:val="2145657544"/>
        </w:trPr>
        <w:tc>
          <w:tcPr>
            <w:tcW w:w="0" w:type="auto"/>
            <w:gridSpan w:val="3"/>
            <w:vAlign w:val="center"/>
            <w:hideMark/>
          </w:tcPr>
          <w:p w14:paraId="066E2929" w14:textId="77777777" w:rsidR="00000000" w:rsidRDefault="00C01C43">
            <w:pPr>
              <w:rPr>
                <w:rFonts w:eastAsia="Times New Roman"/>
                <w:sz w:val="20"/>
                <w:szCs w:val="20"/>
              </w:rPr>
            </w:pPr>
          </w:p>
        </w:tc>
        <w:tc>
          <w:tcPr>
            <w:tcW w:w="0" w:type="auto"/>
            <w:gridSpan w:val="3"/>
            <w:vAlign w:val="center"/>
            <w:hideMark/>
          </w:tcPr>
          <w:p w14:paraId="4B2DB92D" w14:textId="77777777" w:rsidR="00000000" w:rsidRDefault="00C01C43">
            <w:pPr>
              <w:rPr>
                <w:rFonts w:eastAsia="Times New Roman"/>
                <w:sz w:val="20"/>
                <w:szCs w:val="20"/>
              </w:rPr>
            </w:pPr>
          </w:p>
        </w:tc>
        <w:tc>
          <w:tcPr>
            <w:tcW w:w="0" w:type="auto"/>
            <w:gridSpan w:val="3"/>
            <w:vAlign w:val="center"/>
            <w:hideMark/>
          </w:tcPr>
          <w:p w14:paraId="3425BE6D" w14:textId="77777777" w:rsidR="00000000" w:rsidRDefault="00C01C43">
            <w:pPr>
              <w:rPr>
                <w:rFonts w:eastAsia="Times New Roman"/>
                <w:sz w:val="20"/>
                <w:szCs w:val="20"/>
              </w:rPr>
            </w:pPr>
          </w:p>
        </w:tc>
        <w:tc>
          <w:tcPr>
            <w:tcW w:w="0" w:type="auto"/>
            <w:gridSpan w:val="3"/>
            <w:vAlign w:val="center"/>
            <w:hideMark/>
          </w:tcPr>
          <w:p w14:paraId="27073597" w14:textId="77777777" w:rsidR="00000000" w:rsidRDefault="00C01C43">
            <w:pPr>
              <w:rPr>
                <w:rFonts w:eastAsia="Times New Roman"/>
                <w:sz w:val="20"/>
                <w:szCs w:val="20"/>
              </w:rPr>
            </w:pPr>
          </w:p>
        </w:tc>
      </w:tr>
      <w:tr w:rsidR="00000000" w14:paraId="504BC07E" w14:textId="77777777">
        <w:trPr>
          <w:divId w:val="2145657544"/>
        </w:trPr>
        <w:tc>
          <w:tcPr>
            <w:tcW w:w="0" w:type="auto"/>
            <w:gridSpan w:val="3"/>
            <w:vAlign w:val="center"/>
            <w:hideMark/>
          </w:tcPr>
          <w:p w14:paraId="380E0598" w14:textId="77777777" w:rsidR="00000000" w:rsidRDefault="00C01C43">
            <w:pPr>
              <w:rPr>
                <w:rFonts w:eastAsia="Times New Roman"/>
                <w:sz w:val="20"/>
                <w:szCs w:val="20"/>
              </w:rPr>
            </w:pPr>
          </w:p>
        </w:tc>
        <w:tc>
          <w:tcPr>
            <w:tcW w:w="0" w:type="auto"/>
            <w:gridSpan w:val="3"/>
            <w:vAlign w:val="center"/>
            <w:hideMark/>
          </w:tcPr>
          <w:p w14:paraId="0CF96732" w14:textId="77777777" w:rsidR="00000000" w:rsidRDefault="00C01C43">
            <w:pPr>
              <w:rPr>
                <w:rFonts w:eastAsia="Times New Roman"/>
                <w:sz w:val="20"/>
                <w:szCs w:val="20"/>
              </w:rPr>
            </w:pPr>
          </w:p>
        </w:tc>
        <w:tc>
          <w:tcPr>
            <w:tcW w:w="0" w:type="auto"/>
            <w:gridSpan w:val="3"/>
            <w:vAlign w:val="center"/>
            <w:hideMark/>
          </w:tcPr>
          <w:p w14:paraId="56F8ADDF" w14:textId="77777777" w:rsidR="00000000" w:rsidRDefault="00C01C43">
            <w:pPr>
              <w:rPr>
                <w:rFonts w:eastAsia="Times New Roman"/>
                <w:sz w:val="20"/>
                <w:szCs w:val="20"/>
              </w:rPr>
            </w:pPr>
          </w:p>
        </w:tc>
        <w:tc>
          <w:tcPr>
            <w:tcW w:w="0" w:type="auto"/>
            <w:gridSpan w:val="3"/>
            <w:vAlign w:val="center"/>
            <w:hideMark/>
          </w:tcPr>
          <w:p w14:paraId="1D333382" w14:textId="77777777" w:rsidR="00000000" w:rsidRDefault="00C01C43">
            <w:pPr>
              <w:rPr>
                <w:rFonts w:eastAsia="Times New Roman"/>
                <w:sz w:val="20"/>
                <w:szCs w:val="20"/>
              </w:rPr>
            </w:pPr>
          </w:p>
        </w:tc>
      </w:tr>
      <w:tr w:rsidR="00000000" w14:paraId="3AC0FF2C" w14:textId="77777777">
        <w:trPr>
          <w:divId w:val="2145657544"/>
        </w:trPr>
        <w:tc>
          <w:tcPr>
            <w:tcW w:w="0" w:type="auto"/>
            <w:gridSpan w:val="3"/>
            <w:vAlign w:val="center"/>
            <w:hideMark/>
          </w:tcPr>
          <w:p w14:paraId="05247972" w14:textId="77777777" w:rsidR="00000000" w:rsidRDefault="00C01C43">
            <w:pPr>
              <w:rPr>
                <w:rFonts w:eastAsia="Times New Roman"/>
                <w:sz w:val="20"/>
                <w:szCs w:val="20"/>
              </w:rPr>
            </w:pPr>
          </w:p>
        </w:tc>
        <w:tc>
          <w:tcPr>
            <w:tcW w:w="0" w:type="auto"/>
            <w:gridSpan w:val="3"/>
            <w:vAlign w:val="center"/>
            <w:hideMark/>
          </w:tcPr>
          <w:p w14:paraId="6353AB75" w14:textId="77777777" w:rsidR="00000000" w:rsidRDefault="00C01C43">
            <w:pPr>
              <w:rPr>
                <w:rFonts w:eastAsia="Times New Roman"/>
                <w:sz w:val="20"/>
                <w:szCs w:val="20"/>
              </w:rPr>
            </w:pPr>
          </w:p>
        </w:tc>
        <w:tc>
          <w:tcPr>
            <w:tcW w:w="0" w:type="auto"/>
            <w:gridSpan w:val="3"/>
            <w:vAlign w:val="center"/>
            <w:hideMark/>
          </w:tcPr>
          <w:p w14:paraId="1BE58551" w14:textId="77777777" w:rsidR="00000000" w:rsidRDefault="00C01C43">
            <w:pPr>
              <w:rPr>
                <w:rFonts w:eastAsia="Times New Roman"/>
                <w:sz w:val="20"/>
                <w:szCs w:val="20"/>
              </w:rPr>
            </w:pPr>
          </w:p>
        </w:tc>
        <w:tc>
          <w:tcPr>
            <w:tcW w:w="0" w:type="auto"/>
            <w:gridSpan w:val="3"/>
            <w:vAlign w:val="center"/>
            <w:hideMark/>
          </w:tcPr>
          <w:p w14:paraId="4F3837C9" w14:textId="77777777" w:rsidR="00000000" w:rsidRDefault="00C01C43">
            <w:pPr>
              <w:rPr>
                <w:rFonts w:eastAsia="Times New Roman"/>
                <w:sz w:val="20"/>
                <w:szCs w:val="20"/>
              </w:rPr>
            </w:pPr>
          </w:p>
        </w:tc>
      </w:tr>
      <w:tr w:rsidR="00000000" w14:paraId="44ECBEB3" w14:textId="77777777">
        <w:trPr>
          <w:divId w:val="2145657544"/>
        </w:trPr>
        <w:tc>
          <w:tcPr>
            <w:tcW w:w="0" w:type="auto"/>
            <w:gridSpan w:val="3"/>
            <w:vAlign w:val="center"/>
            <w:hideMark/>
          </w:tcPr>
          <w:p w14:paraId="190A1D11" w14:textId="77777777" w:rsidR="00000000" w:rsidRDefault="00C01C43">
            <w:pPr>
              <w:rPr>
                <w:rFonts w:eastAsia="Times New Roman"/>
                <w:sz w:val="20"/>
                <w:szCs w:val="20"/>
              </w:rPr>
            </w:pPr>
          </w:p>
        </w:tc>
        <w:tc>
          <w:tcPr>
            <w:tcW w:w="0" w:type="auto"/>
            <w:gridSpan w:val="3"/>
            <w:vAlign w:val="center"/>
            <w:hideMark/>
          </w:tcPr>
          <w:p w14:paraId="3409E619" w14:textId="77777777" w:rsidR="00000000" w:rsidRDefault="00C01C43">
            <w:pPr>
              <w:rPr>
                <w:rFonts w:eastAsia="Times New Roman"/>
                <w:sz w:val="20"/>
                <w:szCs w:val="20"/>
              </w:rPr>
            </w:pPr>
          </w:p>
        </w:tc>
        <w:tc>
          <w:tcPr>
            <w:tcW w:w="0" w:type="auto"/>
            <w:gridSpan w:val="3"/>
            <w:vAlign w:val="center"/>
            <w:hideMark/>
          </w:tcPr>
          <w:p w14:paraId="7ACD2D83" w14:textId="77777777" w:rsidR="00000000" w:rsidRDefault="00C01C43">
            <w:pPr>
              <w:rPr>
                <w:rFonts w:eastAsia="Times New Roman"/>
                <w:sz w:val="20"/>
                <w:szCs w:val="20"/>
              </w:rPr>
            </w:pPr>
          </w:p>
        </w:tc>
        <w:tc>
          <w:tcPr>
            <w:tcW w:w="0" w:type="auto"/>
            <w:gridSpan w:val="3"/>
            <w:vAlign w:val="center"/>
            <w:hideMark/>
          </w:tcPr>
          <w:p w14:paraId="2C57F207" w14:textId="77777777" w:rsidR="00000000" w:rsidRDefault="00C01C43">
            <w:pPr>
              <w:rPr>
                <w:rFonts w:eastAsia="Times New Roman"/>
                <w:sz w:val="20"/>
                <w:szCs w:val="20"/>
              </w:rPr>
            </w:pPr>
          </w:p>
        </w:tc>
      </w:tr>
      <w:tr w:rsidR="00000000" w14:paraId="5BF729D0" w14:textId="77777777">
        <w:trPr>
          <w:divId w:val="2145657544"/>
        </w:trPr>
        <w:tc>
          <w:tcPr>
            <w:tcW w:w="0" w:type="auto"/>
            <w:gridSpan w:val="3"/>
            <w:vAlign w:val="center"/>
            <w:hideMark/>
          </w:tcPr>
          <w:p w14:paraId="495CAFCB" w14:textId="77777777" w:rsidR="00000000" w:rsidRDefault="00C01C43">
            <w:pPr>
              <w:rPr>
                <w:rFonts w:eastAsia="Times New Roman"/>
                <w:sz w:val="20"/>
                <w:szCs w:val="20"/>
              </w:rPr>
            </w:pPr>
          </w:p>
        </w:tc>
        <w:tc>
          <w:tcPr>
            <w:tcW w:w="0" w:type="auto"/>
            <w:gridSpan w:val="3"/>
            <w:vAlign w:val="center"/>
            <w:hideMark/>
          </w:tcPr>
          <w:p w14:paraId="03D0E5A0" w14:textId="77777777" w:rsidR="00000000" w:rsidRDefault="00C01C43">
            <w:pPr>
              <w:rPr>
                <w:rFonts w:eastAsia="Times New Roman"/>
                <w:sz w:val="20"/>
                <w:szCs w:val="20"/>
              </w:rPr>
            </w:pPr>
          </w:p>
        </w:tc>
        <w:tc>
          <w:tcPr>
            <w:tcW w:w="0" w:type="auto"/>
            <w:gridSpan w:val="3"/>
            <w:vAlign w:val="center"/>
            <w:hideMark/>
          </w:tcPr>
          <w:p w14:paraId="0005EDAA" w14:textId="77777777" w:rsidR="00000000" w:rsidRDefault="00C01C43">
            <w:pPr>
              <w:rPr>
                <w:rFonts w:eastAsia="Times New Roman"/>
                <w:sz w:val="20"/>
                <w:szCs w:val="20"/>
              </w:rPr>
            </w:pPr>
          </w:p>
        </w:tc>
        <w:tc>
          <w:tcPr>
            <w:tcW w:w="0" w:type="auto"/>
            <w:gridSpan w:val="3"/>
            <w:vAlign w:val="center"/>
            <w:hideMark/>
          </w:tcPr>
          <w:p w14:paraId="7E7B519F" w14:textId="77777777" w:rsidR="00000000" w:rsidRDefault="00C01C43">
            <w:pPr>
              <w:rPr>
                <w:rFonts w:eastAsia="Times New Roman"/>
                <w:sz w:val="20"/>
                <w:szCs w:val="20"/>
              </w:rPr>
            </w:pPr>
          </w:p>
        </w:tc>
      </w:tr>
      <w:tr w:rsidR="00000000" w14:paraId="61483637" w14:textId="77777777">
        <w:trPr>
          <w:divId w:val="2145657544"/>
        </w:trPr>
        <w:tc>
          <w:tcPr>
            <w:tcW w:w="0" w:type="auto"/>
            <w:gridSpan w:val="3"/>
            <w:vAlign w:val="center"/>
            <w:hideMark/>
          </w:tcPr>
          <w:p w14:paraId="340BEB4D" w14:textId="77777777" w:rsidR="00000000" w:rsidRDefault="00C01C43">
            <w:pPr>
              <w:rPr>
                <w:rFonts w:eastAsia="Times New Roman"/>
                <w:sz w:val="20"/>
                <w:szCs w:val="20"/>
              </w:rPr>
            </w:pPr>
          </w:p>
        </w:tc>
        <w:tc>
          <w:tcPr>
            <w:tcW w:w="0" w:type="auto"/>
            <w:gridSpan w:val="3"/>
            <w:vAlign w:val="center"/>
            <w:hideMark/>
          </w:tcPr>
          <w:p w14:paraId="484EC18A" w14:textId="77777777" w:rsidR="00000000" w:rsidRDefault="00C01C43">
            <w:pPr>
              <w:rPr>
                <w:rFonts w:eastAsia="Times New Roman"/>
                <w:sz w:val="20"/>
                <w:szCs w:val="20"/>
              </w:rPr>
            </w:pPr>
          </w:p>
        </w:tc>
        <w:tc>
          <w:tcPr>
            <w:tcW w:w="0" w:type="auto"/>
            <w:gridSpan w:val="3"/>
            <w:vAlign w:val="center"/>
            <w:hideMark/>
          </w:tcPr>
          <w:p w14:paraId="10639970" w14:textId="77777777" w:rsidR="00000000" w:rsidRDefault="00C01C43">
            <w:pPr>
              <w:rPr>
                <w:rFonts w:eastAsia="Times New Roman"/>
                <w:sz w:val="20"/>
                <w:szCs w:val="20"/>
              </w:rPr>
            </w:pPr>
          </w:p>
        </w:tc>
        <w:tc>
          <w:tcPr>
            <w:tcW w:w="0" w:type="auto"/>
            <w:gridSpan w:val="3"/>
            <w:vAlign w:val="center"/>
            <w:hideMark/>
          </w:tcPr>
          <w:p w14:paraId="58020A0B" w14:textId="77777777" w:rsidR="00000000" w:rsidRDefault="00C01C43">
            <w:pPr>
              <w:rPr>
                <w:rFonts w:eastAsia="Times New Roman"/>
                <w:sz w:val="20"/>
                <w:szCs w:val="20"/>
              </w:rPr>
            </w:pPr>
          </w:p>
        </w:tc>
      </w:tr>
      <w:tr w:rsidR="00000000" w14:paraId="281786AD" w14:textId="77777777">
        <w:trPr>
          <w:divId w:val="2145657544"/>
        </w:trPr>
        <w:tc>
          <w:tcPr>
            <w:tcW w:w="0" w:type="auto"/>
            <w:gridSpan w:val="3"/>
            <w:vAlign w:val="center"/>
            <w:hideMark/>
          </w:tcPr>
          <w:p w14:paraId="2A54BD3D" w14:textId="77777777" w:rsidR="00000000" w:rsidRDefault="00C01C43">
            <w:pPr>
              <w:rPr>
                <w:rFonts w:eastAsia="Times New Roman"/>
                <w:sz w:val="20"/>
                <w:szCs w:val="20"/>
              </w:rPr>
            </w:pPr>
          </w:p>
        </w:tc>
        <w:tc>
          <w:tcPr>
            <w:tcW w:w="0" w:type="auto"/>
            <w:gridSpan w:val="3"/>
            <w:vAlign w:val="center"/>
            <w:hideMark/>
          </w:tcPr>
          <w:p w14:paraId="0FEC9E29" w14:textId="77777777" w:rsidR="00000000" w:rsidRDefault="00C01C43">
            <w:pPr>
              <w:rPr>
                <w:rFonts w:eastAsia="Times New Roman"/>
                <w:sz w:val="20"/>
                <w:szCs w:val="20"/>
              </w:rPr>
            </w:pPr>
          </w:p>
        </w:tc>
        <w:tc>
          <w:tcPr>
            <w:tcW w:w="0" w:type="auto"/>
            <w:gridSpan w:val="3"/>
            <w:vAlign w:val="center"/>
            <w:hideMark/>
          </w:tcPr>
          <w:p w14:paraId="037C4BF0" w14:textId="77777777" w:rsidR="00000000" w:rsidRDefault="00C01C43">
            <w:pPr>
              <w:rPr>
                <w:rFonts w:eastAsia="Times New Roman"/>
                <w:sz w:val="20"/>
                <w:szCs w:val="20"/>
              </w:rPr>
            </w:pPr>
          </w:p>
        </w:tc>
        <w:tc>
          <w:tcPr>
            <w:tcW w:w="0" w:type="auto"/>
            <w:gridSpan w:val="3"/>
            <w:vAlign w:val="center"/>
            <w:hideMark/>
          </w:tcPr>
          <w:p w14:paraId="5279DCC6" w14:textId="77777777" w:rsidR="00000000" w:rsidRDefault="00C01C43">
            <w:pPr>
              <w:rPr>
                <w:rFonts w:eastAsia="Times New Roman"/>
                <w:sz w:val="20"/>
                <w:szCs w:val="20"/>
              </w:rPr>
            </w:pPr>
          </w:p>
        </w:tc>
      </w:tr>
      <w:tr w:rsidR="00000000" w14:paraId="72F5DF47" w14:textId="77777777">
        <w:trPr>
          <w:divId w:val="2145657544"/>
        </w:trPr>
        <w:tc>
          <w:tcPr>
            <w:tcW w:w="0" w:type="auto"/>
            <w:gridSpan w:val="3"/>
            <w:vAlign w:val="center"/>
            <w:hideMark/>
          </w:tcPr>
          <w:p w14:paraId="29966028" w14:textId="77777777" w:rsidR="00000000" w:rsidRDefault="00C01C43">
            <w:pPr>
              <w:rPr>
                <w:rFonts w:eastAsia="Times New Roman"/>
                <w:sz w:val="20"/>
                <w:szCs w:val="20"/>
              </w:rPr>
            </w:pPr>
          </w:p>
        </w:tc>
        <w:tc>
          <w:tcPr>
            <w:tcW w:w="0" w:type="auto"/>
            <w:gridSpan w:val="3"/>
            <w:vAlign w:val="center"/>
            <w:hideMark/>
          </w:tcPr>
          <w:p w14:paraId="08F3B90C" w14:textId="77777777" w:rsidR="00000000" w:rsidRDefault="00C01C43">
            <w:pPr>
              <w:rPr>
                <w:rFonts w:eastAsia="Times New Roman"/>
                <w:sz w:val="20"/>
                <w:szCs w:val="20"/>
              </w:rPr>
            </w:pPr>
          </w:p>
        </w:tc>
        <w:tc>
          <w:tcPr>
            <w:tcW w:w="0" w:type="auto"/>
            <w:gridSpan w:val="3"/>
            <w:vAlign w:val="center"/>
            <w:hideMark/>
          </w:tcPr>
          <w:p w14:paraId="090EC506" w14:textId="77777777" w:rsidR="00000000" w:rsidRDefault="00C01C43">
            <w:pPr>
              <w:rPr>
                <w:rFonts w:eastAsia="Times New Roman"/>
                <w:sz w:val="20"/>
                <w:szCs w:val="20"/>
              </w:rPr>
            </w:pPr>
          </w:p>
        </w:tc>
        <w:tc>
          <w:tcPr>
            <w:tcW w:w="0" w:type="auto"/>
            <w:gridSpan w:val="3"/>
            <w:vAlign w:val="center"/>
            <w:hideMark/>
          </w:tcPr>
          <w:p w14:paraId="16A92B7C" w14:textId="77777777" w:rsidR="00000000" w:rsidRDefault="00C01C43">
            <w:pPr>
              <w:rPr>
                <w:rFonts w:eastAsia="Times New Roman"/>
                <w:sz w:val="20"/>
                <w:szCs w:val="20"/>
              </w:rPr>
            </w:pPr>
          </w:p>
        </w:tc>
      </w:tr>
      <w:tr w:rsidR="00000000" w14:paraId="282CF45A" w14:textId="77777777">
        <w:trPr>
          <w:divId w:val="2145657544"/>
        </w:trPr>
        <w:tc>
          <w:tcPr>
            <w:tcW w:w="0" w:type="auto"/>
            <w:gridSpan w:val="3"/>
            <w:vAlign w:val="center"/>
            <w:hideMark/>
          </w:tcPr>
          <w:p w14:paraId="5D839F93" w14:textId="77777777" w:rsidR="00000000" w:rsidRDefault="00C01C43">
            <w:pPr>
              <w:rPr>
                <w:rFonts w:eastAsia="Times New Roman"/>
                <w:sz w:val="20"/>
                <w:szCs w:val="20"/>
              </w:rPr>
            </w:pPr>
          </w:p>
        </w:tc>
        <w:tc>
          <w:tcPr>
            <w:tcW w:w="0" w:type="auto"/>
            <w:gridSpan w:val="3"/>
            <w:vAlign w:val="center"/>
            <w:hideMark/>
          </w:tcPr>
          <w:p w14:paraId="1D8DC31D" w14:textId="77777777" w:rsidR="00000000" w:rsidRDefault="00C01C43">
            <w:pPr>
              <w:rPr>
                <w:rFonts w:eastAsia="Times New Roman"/>
                <w:sz w:val="20"/>
                <w:szCs w:val="20"/>
              </w:rPr>
            </w:pPr>
          </w:p>
        </w:tc>
        <w:tc>
          <w:tcPr>
            <w:tcW w:w="0" w:type="auto"/>
            <w:gridSpan w:val="3"/>
            <w:vAlign w:val="center"/>
            <w:hideMark/>
          </w:tcPr>
          <w:p w14:paraId="6282FAE9" w14:textId="77777777" w:rsidR="00000000" w:rsidRDefault="00C01C43">
            <w:pPr>
              <w:rPr>
                <w:rFonts w:eastAsia="Times New Roman"/>
                <w:sz w:val="20"/>
                <w:szCs w:val="20"/>
              </w:rPr>
            </w:pPr>
          </w:p>
        </w:tc>
        <w:tc>
          <w:tcPr>
            <w:tcW w:w="0" w:type="auto"/>
            <w:gridSpan w:val="3"/>
            <w:vAlign w:val="center"/>
            <w:hideMark/>
          </w:tcPr>
          <w:p w14:paraId="55E0B281" w14:textId="77777777" w:rsidR="00000000" w:rsidRDefault="00C01C43">
            <w:pPr>
              <w:rPr>
                <w:rFonts w:eastAsia="Times New Roman"/>
                <w:sz w:val="20"/>
                <w:szCs w:val="20"/>
              </w:rPr>
            </w:pPr>
          </w:p>
        </w:tc>
      </w:tr>
      <w:tr w:rsidR="00000000" w14:paraId="57C3341F" w14:textId="77777777">
        <w:trPr>
          <w:divId w:val="2145657544"/>
        </w:trPr>
        <w:tc>
          <w:tcPr>
            <w:tcW w:w="0" w:type="auto"/>
            <w:gridSpan w:val="3"/>
            <w:vAlign w:val="center"/>
            <w:hideMark/>
          </w:tcPr>
          <w:p w14:paraId="5FA6F357" w14:textId="77777777" w:rsidR="00000000" w:rsidRDefault="00C01C43">
            <w:pPr>
              <w:rPr>
                <w:rFonts w:eastAsia="Times New Roman"/>
                <w:sz w:val="20"/>
                <w:szCs w:val="20"/>
              </w:rPr>
            </w:pPr>
          </w:p>
        </w:tc>
        <w:tc>
          <w:tcPr>
            <w:tcW w:w="0" w:type="auto"/>
            <w:gridSpan w:val="3"/>
            <w:vAlign w:val="center"/>
            <w:hideMark/>
          </w:tcPr>
          <w:p w14:paraId="22D237DC" w14:textId="77777777" w:rsidR="00000000" w:rsidRDefault="00C01C43">
            <w:pPr>
              <w:rPr>
                <w:rFonts w:eastAsia="Times New Roman"/>
                <w:sz w:val="20"/>
                <w:szCs w:val="20"/>
              </w:rPr>
            </w:pPr>
          </w:p>
        </w:tc>
        <w:tc>
          <w:tcPr>
            <w:tcW w:w="0" w:type="auto"/>
            <w:gridSpan w:val="3"/>
            <w:vAlign w:val="center"/>
            <w:hideMark/>
          </w:tcPr>
          <w:p w14:paraId="75B5B1EF" w14:textId="77777777" w:rsidR="00000000" w:rsidRDefault="00C01C43">
            <w:pPr>
              <w:rPr>
                <w:rFonts w:eastAsia="Times New Roman"/>
                <w:sz w:val="20"/>
                <w:szCs w:val="20"/>
              </w:rPr>
            </w:pPr>
          </w:p>
        </w:tc>
        <w:tc>
          <w:tcPr>
            <w:tcW w:w="0" w:type="auto"/>
            <w:gridSpan w:val="3"/>
            <w:vAlign w:val="center"/>
            <w:hideMark/>
          </w:tcPr>
          <w:p w14:paraId="567814CF" w14:textId="77777777" w:rsidR="00000000" w:rsidRDefault="00C01C43">
            <w:pPr>
              <w:rPr>
                <w:rFonts w:eastAsia="Times New Roman"/>
                <w:sz w:val="20"/>
                <w:szCs w:val="20"/>
              </w:rPr>
            </w:pPr>
          </w:p>
        </w:tc>
      </w:tr>
      <w:tr w:rsidR="00000000" w14:paraId="2EE4BDD3" w14:textId="77777777">
        <w:trPr>
          <w:divId w:val="214565754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6B36AD1" w14:textId="77777777" w:rsidR="00000000" w:rsidRDefault="00C01C43">
            <w:pPr>
              <w:rPr>
                <w:rFonts w:eastAsia="Times New Roman"/>
              </w:rPr>
            </w:pPr>
            <w:r>
              <w:rPr>
                <w:rFonts w:ascii="Arial" w:eastAsia="Times New Roman" w:hAnsi="Arial" w:cs="Arial"/>
                <w:color w:val="000000"/>
                <w:sz w:val="20"/>
                <w:szCs w:val="20"/>
              </w:rPr>
              <w:t>Property and equipment,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15C0CC"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92291A"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3F9FDE" w14:textId="77777777" w:rsidR="00000000" w:rsidRDefault="00C01C43">
            <w:pPr>
              <w:rPr>
                <w:rFonts w:eastAsia="Times New Roman"/>
                <w:sz w:val="20"/>
                <w:szCs w:val="20"/>
              </w:rPr>
            </w:pPr>
          </w:p>
        </w:tc>
      </w:tr>
      <w:tr w:rsidR="00000000" w14:paraId="7031746A" w14:textId="77777777">
        <w:trPr>
          <w:divId w:val="2145657544"/>
        </w:trPr>
        <w:tc>
          <w:tcPr>
            <w:tcW w:w="0" w:type="auto"/>
            <w:gridSpan w:val="3"/>
            <w:shd w:val="clear" w:color="auto" w:fill="FFFFFF"/>
            <w:tcMar>
              <w:top w:w="30" w:type="dxa"/>
              <w:left w:w="20" w:type="dxa"/>
              <w:bottom w:w="30" w:type="dxa"/>
              <w:right w:w="20" w:type="dxa"/>
            </w:tcMar>
            <w:vAlign w:val="bottom"/>
            <w:hideMark/>
          </w:tcPr>
          <w:p w14:paraId="185307A5" w14:textId="77777777" w:rsidR="00000000" w:rsidRDefault="00C01C43">
            <w:pPr>
              <w:rPr>
                <w:rFonts w:eastAsia="Times New Roman"/>
              </w:rPr>
            </w:pPr>
            <w:r>
              <w:rPr>
                <w:rFonts w:ascii="Arial" w:eastAsia="Times New Roman" w:hAnsi="Arial" w:cs="Arial"/>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4458FD10"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4F12A87" w14:textId="77777777" w:rsidR="00000000" w:rsidRDefault="00C01C43">
            <w:pPr>
              <w:jc w:val="right"/>
              <w:rPr>
                <w:rFonts w:eastAsia="Times New Roman"/>
              </w:rPr>
            </w:pPr>
            <w:r>
              <w:rPr>
                <w:rFonts w:ascii="Arial" w:eastAsia="Times New Roman" w:hAnsi="Arial" w:cs="Arial"/>
                <w:color w:val="000000"/>
                <w:sz w:val="20"/>
                <w:szCs w:val="20"/>
              </w:rPr>
              <w:t>177.6 </w:t>
            </w:r>
          </w:p>
        </w:tc>
        <w:tc>
          <w:tcPr>
            <w:tcW w:w="0" w:type="auto"/>
            <w:shd w:val="clear" w:color="auto" w:fill="FFFFFF"/>
            <w:tcMar>
              <w:top w:w="30" w:type="dxa"/>
              <w:left w:w="0" w:type="dxa"/>
              <w:bottom w:w="30" w:type="dxa"/>
              <w:right w:w="20" w:type="dxa"/>
            </w:tcMar>
            <w:vAlign w:val="bottom"/>
            <w:hideMark/>
          </w:tcPr>
          <w:p w14:paraId="52F93D1B"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A1A43"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BE53EF"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6A6B844" w14:textId="77777777" w:rsidR="00000000" w:rsidRDefault="00C01C43">
            <w:pPr>
              <w:jc w:val="right"/>
              <w:rPr>
                <w:rFonts w:eastAsia="Times New Roman"/>
              </w:rPr>
            </w:pPr>
            <w:r>
              <w:rPr>
                <w:rFonts w:ascii="Arial" w:eastAsia="Times New Roman" w:hAnsi="Arial" w:cs="Arial"/>
                <w:color w:val="000000"/>
                <w:sz w:val="20"/>
                <w:szCs w:val="20"/>
              </w:rPr>
              <w:t>173.0 </w:t>
            </w:r>
          </w:p>
        </w:tc>
        <w:tc>
          <w:tcPr>
            <w:tcW w:w="0" w:type="auto"/>
            <w:shd w:val="clear" w:color="auto" w:fill="FFFFFF"/>
            <w:tcMar>
              <w:top w:w="30" w:type="dxa"/>
              <w:left w:w="0" w:type="dxa"/>
              <w:bottom w:w="30" w:type="dxa"/>
              <w:right w:w="20" w:type="dxa"/>
            </w:tcMar>
            <w:vAlign w:val="bottom"/>
            <w:hideMark/>
          </w:tcPr>
          <w:p w14:paraId="44F7C445" w14:textId="77777777" w:rsidR="00000000" w:rsidRDefault="00C01C43">
            <w:pPr>
              <w:jc w:val="right"/>
              <w:rPr>
                <w:rFonts w:eastAsia="Times New Roman"/>
              </w:rPr>
            </w:pPr>
          </w:p>
        </w:tc>
      </w:tr>
      <w:tr w:rsidR="00000000" w14:paraId="6234226D" w14:textId="77777777">
        <w:trPr>
          <w:divId w:val="2145657544"/>
        </w:trPr>
        <w:tc>
          <w:tcPr>
            <w:tcW w:w="0" w:type="auto"/>
            <w:gridSpan w:val="3"/>
            <w:shd w:val="clear" w:color="auto" w:fill="CCEEFF"/>
            <w:tcMar>
              <w:top w:w="30" w:type="dxa"/>
              <w:left w:w="20" w:type="dxa"/>
              <w:bottom w:w="30" w:type="dxa"/>
              <w:right w:w="20" w:type="dxa"/>
            </w:tcMar>
            <w:vAlign w:val="bottom"/>
            <w:hideMark/>
          </w:tcPr>
          <w:p w14:paraId="344BEF2F" w14:textId="77777777" w:rsidR="00000000" w:rsidRDefault="00C01C43">
            <w:pPr>
              <w:rPr>
                <w:rFonts w:eastAsia="Times New Roman"/>
              </w:rPr>
            </w:pPr>
            <w:r>
              <w:rPr>
                <w:rFonts w:ascii="Arial" w:eastAsia="Times New Roman" w:hAnsi="Arial" w:cs="Arial"/>
                <w:color w:val="000000"/>
                <w:sz w:val="20"/>
                <w:szCs w:val="20"/>
              </w:rPr>
              <w:t>EMEA</w:t>
            </w:r>
          </w:p>
        </w:tc>
        <w:tc>
          <w:tcPr>
            <w:tcW w:w="0" w:type="auto"/>
            <w:gridSpan w:val="2"/>
            <w:shd w:val="clear" w:color="auto" w:fill="CCEEFF"/>
            <w:tcMar>
              <w:top w:w="30" w:type="dxa"/>
              <w:left w:w="20" w:type="dxa"/>
              <w:bottom w:w="30" w:type="dxa"/>
              <w:right w:w="0" w:type="dxa"/>
            </w:tcMar>
            <w:vAlign w:val="bottom"/>
            <w:hideMark/>
          </w:tcPr>
          <w:p w14:paraId="6023AE78" w14:textId="77777777" w:rsidR="00000000" w:rsidRDefault="00C01C43">
            <w:pPr>
              <w:jc w:val="right"/>
              <w:rPr>
                <w:rFonts w:eastAsia="Times New Roman"/>
              </w:rPr>
            </w:pPr>
            <w:r>
              <w:rPr>
                <w:rFonts w:ascii="Arial" w:eastAsia="Times New Roman" w:hAnsi="Arial" w:cs="Arial"/>
                <w:color w:val="000000"/>
                <w:sz w:val="20"/>
                <w:szCs w:val="20"/>
              </w:rPr>
              <w:t>144.1 </w:t>
            </w:r>
          </w:p>
        </w:tc>
        <w:tc>
          <w:tcPr>
            <w:tcW w:w="0" w:type="auto"/>
            <w:shd w:val="clear" w:color="auto" w:fill="CCEEFF"/>
            <w:tcMar>
              <w:top w:w="30" w:type="dxa"/>
              <w:left w:w="0" w:type="dxa"/>
              <w:bottom w:w="30" w:type="dxa"/>
              <w:right w:w="20" w:type="dxa"/>
            </w:tcMar>
            <w:vAlign w:val="bottom"/>
            <w:hideMark/>
          </w:tcPr>
          <w:p w14:paraId="53E92DF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5976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DD29A0" w14:textId="77777777" w:rsidR="00000000" w:rsidRDefault="00C01C43">
            <w:pPr>
              <w:jc w:val="right"/>
              <w:rPr>
                <w:rFonts w:eastAsia="Times New Roman"/>
              </w:rPr>
            </w:pPr>
            <w:r>
              <w:rPr>
                <w:rFonts w:ascii="Arial" w:eastAsia="Times New Roman" w:hAnsi="Arial" w:cs="Arial"/>
                <w:color w:val="000000"/>
                <w:sz w:val="20"/>
                <w:szCs w:val="20"/>
              </w:rPr>
              <w:t>135.7 </w:t>
            </w:r>
          </w:p>
        </w:tc>
        <w:tc>
          <w:tcPr>
            <w:tcW w:w="0" w:type="auto"/>
            <w:shd w:val="clear" w:color="auto" w:fill="CCEEFF"/>
            <w:tcMar>
              <w:top w:w="30" w:type="dxa"/>
              <w:left w:w="0" w:type="dxa"/>
              <w:bottom w:w="30" w:type="dxa"/>
              <w:right w:w="20" w:type="dxa"/>
            </w:tcMar>
            <w:vAlign w:val="bottom"/>
            <w:hideMark/>
          </w:tcPr>
          <w:p w14:paraId="1B929A3F" w14:textId="77777777" w:rsidR="00000000" w:rsidRDefault="00C01C43">
            <w:pPr>
              <w:jc w:val="right"/>
              <w:rPr>
                <w:rFonts w:eastAsia="Times New Roman"/>
              </w:rPr>
            </w:pPr>
          </w:p>
        </w:tc>
      </w:tr>
      <w:tr w:rsidR="00000000" w14:paraId="437876A8" w14:textId="77777777">
        <w:trPr>
          <w:divId w:val="2145657544"/>
        </w:trPr>
        <w:tc>
          <w:tcPr>
            <w:tcW w:w="0" w:type="auto"/>
            <w:gridSpan w:val="3"/>
            <w:shd w:val="clear" w:color="auto" w:fill="FFFFFF"/>
            <w:tcMar>
              <w:top w:w="30" w:type="dxa"/>
              <w:left w:w="20" w:type="dxa"/>
              <w:bottom w:w="30" w:type="dxa"/>
              <w:right w:w="20" w:type="dxa"/>
            </w:tcMar>
            <w:vAlign w:val="bottom"/>
            <w:hideMark/>
          </w:tcPr>
          <w:p w14:paraId="05198AA4" w14:textId="77777777" w:rsidR="00000000" w:rsidRDefault="00C01C43">
            <w:pPr>
              <w:rPr>
                <w:rFonts w:eastAsia="Times New Roman"/>
              </w:rPr>
            </w:pPr>
            <w:r>
              <w:rPr>
                <w:rFonts w:ascii="Arial" w:eastAsia="Times New Roman" w:hAnsi="Arial" w:cs="Arial"/>
                <w:color w:val="000000"/>
                <w:sz w:val="20"/>
                <w:szCs w:val="20"/>
              </w:rPr>
              <w:t>Asia Pacific</w:t>
            </w:r>
          </w:p>
        </w:tc>
        <w:tc>
          <w:tcPr>
            <w:tcW w:w="0" w:type="auto"/>
            <w:gridSpan w:val="2"/>
            <w:shd w:val="clear" w:color="auto" w:fill="FFFFFF"/>
            <w:tcMar>
              <w:top w:w="30" w:type="dxa"/>
              <w:left w:w="20" w:type="dxa"/>
              <w:bottom w:w="30" w:type="dxa"/>
              <w:right w:w="0" w:type="dxa"/>
            </w:tcMar>
            <w:vAlign w:val="bottom"/>
            <w:hideMark/>
          </w:tcPr>
          <w:p w14:paraId="3FE85D4A" w14:textId="77777777" w:rsidR="00000000" w:rsidRDefault="00C01C43">
            <w:pPr>
              <w:jc w:val="right"/>
              <w:rPr>
                <w:rFonts w:eastAsia="Times New Roman"/>
              </w:rPr>
            </w:pPr>
            <w:r>
              <w:rPr>
                <w:rFonts w:ascii="Arial" w:eastAsia="Times New Roman" w:hAnsi="Arial" w:cs="Arial"/>
                <w:color w:val="000000"/>
                <w:sz w:val="20"/>
                <w:szCs w:val="20"/>
              </w:rPr>
              <w:t>7.9 </w:t>
            </w:r>
          </w:p>
        </w:tc>
        <w:tc>
          <w:tcPr>
            <w:tcW w:w="0" w:type="auto"/>
            <w:shd w:val="clear" w:color="auto" w:fill="FFFFFF"/>
            <w:tcMar>
              <w:top w:w="30" w:type="dxa"/>
              <w:left w:w="0" w:type="dxa"/>
              <w:bottom w:w="30" w:type="dxa"/>
              <w:right w:w="20" w:type="dxa"/>
            </w:tcMar>
            <w:vAlign w:val="bottom"/>
            <w:hideMark/>
          </w:tcPr>
          <w:p w14:paraId="504FC41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16E09"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87090A" w14:textId="77777777" w:rsidR="00000000" w:rsidRDefault="00C01C43">
            <w:pPr>
              <w:jc w:val="right"/>
              <w:rPr>
                <w:rFonts w:eastAsia="Times New Roman"/>
              </w:rPr>
            </w:pPr>
            <w:r>
              <w:rPr>
                <w:rFonts w:ascii="Arial" w:eastAsia="Times New Roman" w:hAnsi="Arial" w:cs="Arial"/>
                <w:color w:val="000000"/>
                <w:sz w:val="20"/>
                <w:szCs w:val="20"/>
              </w:rPr>
              <w:t>44.2 </w:t>
            </w:r>
          </w:p>
        </w:tc>
        <w:tc>
          <w:tcPr>
            <w:tcW w:w="0" w:type="auto"/>
            <w:shd w:val="clear" w:color="auto" w:fill="FFFFFF"/>
            <w:tcMar>
              <w:top w:w="30" w:type="dxa"/>
              <w:left w:w="0" w:type="dxa"/>
              <w:bottom w:w="30" w:type="dxa"/>
              <w:right w:w="20" w:type="dxa"/>
            </w:tcMar>
            <w:vAlign w:val="bottom"/>
            <w:hideMark/>
          </w:tcPr>
          <w:p w14:paraId="3772A032" w14:textId="77777777" w:rsidR="00000000" w:rsidRDefault="00C01C43">
            <w:pPr>
              <w:jc w:val="right"/>
              <w:rPr>
                <w:rFonts w:eastAsia="Times New Roman"/>
              </w:rPr>
            </w:pPr>
          </w:p>
        </w:tc>
      </w:tr>
      <w:tr w:rsidR="00000000" w14:paraId="556DD72C" w14:textId="77777777">
        <w:trPr>
          <w:divId w:val="2145657544"/>
        </w:trPr>
        <w:tc>
          <w:tcPr>
            <w:tcW w:w="0" w:type="auto"/>
            <w:gridSpan w:val="3"/>
            <w:shd w:val="clear" w:color="auto" w:fill="CCEEFF"/>
            <w:tcMar>
              <w:top w:w="30" w:type="dxa"/>
              <w:left w:w="20" w:type="dxa"/>
              <w:bottom w:w="30" w:type="dxa"/>
              <w:right w:w="20" w:type="dxa"/>
            </w:tcMar>
            <w:vAlign w:val="bottom"/>
            <w:hideMark/>
          </w:tcPr>
          <w:p w14:paraId="7F6CD25C" w14:textId="77777777" w:rsidR="00000000" w:rsidRDefault="00C01C43">
            <w:pPr>
              <w:rPr>
                <w:rFonts w:eastAsia="Times New Roman"/>
              </w:rPr>
            </w:pPr>
            <w:r>
              <w:rPr>
                <w:rFonts w:ascii="Arial" w:eastAsia="Times New Roman" w:hAnsi="Arial" w:cs="Arial"/>
                <w:color w:val="000000"/>
                <w:sz w:val="20"/>
                <w:szCs w:val="20"/>
              </w:rPr>
              <w:t>Americas, excluding United States</w:t>
            </w:r>
          </w:p>
        </w:tc>
        <w:tc>
          <w:tcPr>
            <w:tcW w:w="0" w:type="auto"/>
            <w:gridSpan w:val="2"/>
            <w:shd w:val="clear" w:color="auto" w:fill="CCEEFF"/>
            <w:tcMar>
              <w:top w:w="30" w:type="dxa"/>
              <w:left w:w="20" w:type="dxa"/>
              <w:bottom w:w="30" w:type="dxa"/>
              <w:right w:w="0" w:type="dxa"/>
            </w:tcMar>
            <w:vAlign w:val="bottom"/>
            <w:hideMark/>
          </w:tcPr>
          <w:p w14:paraId="0CCF10A1" w14:textId="77777777" w:rsidR="00000000" w:rsidRDefault="00C01C43">
            <w:pPr>
              <w:jc w:val="right"/>
              <w:rPr>
                <w:rFonts w:eastAsia="Times New Roman"/>
              </w:rPr>
            </w:pPr>
            <w:r>
              <w:rPr>
                <w:rFonts w:ascii="Arial" w:eastAsia="Times New Roman" w:hAnsi="Arial" w:cs="Arial"/>
                <w:color w:val="000000"/>
                <w:sz w:val="20"/>
                <w:szCs w:val="20"/>
              </w:rPr>
              <w:t>13.1 </w:t>
            </w:r>
          </w:p>
        </w:tc>
        <w:tc>
          <w:tcPr>
            <w:tcW w:w="0" w:type="auto"/>
            <w:shd w:val="clear" w:color="auto" w:fill="CCEEFF"/>
            <w:tcMar>
              <w:top w:w="30" w:type="dxa"/>
              <w:left w:w="0" w:type="dxa"/>
              <w:bottom w:w="30" w:type="dxa"/>
              <w:right w:w="20" w:type="dxa"/>
            </w:tcMar>
            <w:vAlign w:val="bottom"/>
            <w:hideMark/>
          </w:tcPr>
          <w:p w14:paraId="7EBDB80B"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4A69B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C77FA7" w14:textId="77777777" w:rsidR="00000000" w:rsidRDefault="00C01C43">
            <w:pPr>
              <w:jc w:val="right"/>
              <w:rPr>
                <w:rFonts w:eastAsia="Times New Roman"/>
              </w:rPr>
            </w:pPr>
            <w:r>
              <w:rPr>
                <w:rFonts w:ascii="Arial" w:eastAsia="Times New Roman" w:hAnsi="Arial" w:cs="Arial"/>
                <w:color w:val="000000"/>
                <w:sz w:val="20"/>
                <w:szCs w:val="20"/>
              </w:rPr>
              <w:t>8.0 </w:t>
            </w:r>
          </w:p>
        </w:tc>
        <w:tc>
          <w:tcPr>
            <w:tcW w:w="0" w:type="auto"/>
            <w:shd w:val="clear" w:color="auto" w:fill="CCEEFF"/>
            <w:tcMar>
              <w:top w:w="30" w:type="dxa"/>
              <w:left w:w="0" w:type="dxa"/>
              <w:bottom w:w="30" w:type="dxa"/>
              <w:right w:w="20" w:type="dxa"/>
            </w:tcMar>
            <w:vAlign w:val="bottom"/>
            <w:hideMark/>
          </w:tcPr>
          <w:p w14:paraId="24791D82" w14:textId="77777777" w:rsidR="00000000" w:rsidRDefault="00C01C43">
            <w:pPr>
              <w:jc w:val="right"/>
              <w:rPr>
                <w:rFonts w:eastAsia="Times New Roman"/>
              </w:rPr>
            </w:pPr>
          </w:p>
        </w:tc>
      </w:tr>
      <w:tr w:rsidR="00000000" w14:paraId="1932FF44" w14:textId="77777777">
        <w:trPr>
          <w:divId w:val="2145657544"/>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71E48FBE" w14:textId="77777777" w:rsidR="00000000" w:rsidRDefault="00C01C43">
            <w:pPr>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6B674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660759" w14:textId="77777777" w:rsidR="00000000" w:rsidRDefault="00C01C43">
            <w:pPr>
              <w:jc w:val="right"/>
              <w:rPr>
                <w:rFonts w:eastAsia="Times New Roman"/>
              </w:rPr>
            </w:pPr>
            <w:r>
              <w:rPr>
                <w:rFonts w:ascii="Arial" w:eastAsia="Times New Roman" w:hAnsi="Arial" w:cs="Arial"/>
                <w:color w:val="000000"/>
                <w:sz w:val="20"/>
                <w:szCs w:val="20"/>
              </w:rPr>
              <w:t>342.6 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34EB81"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D3B653E"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A7C9E5"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F9563F" w14:textId="77777777" w:rsidR="00000000" w:rsidRDefault="00C01C43">
            <w:pPr>
              <w:jc w:val="right"/>
              <w:rPr>
                <w:rFonts w:eastAsia="Times New Roman"/>
              </w:rPr>
            </w:pPr>
            <w:r>
              <w:rPr>
                <w:rFonts w:ascii="Arial" w:eastAsia="Times New Roman" w:hAnsi="Arial" w:cs="Arial"/>
                <w:color w:val="000000"/>
                <w:sz w:val="20"/>
                <w:szCs w:val="20"/>
              </w:rPr>
              <w:t>360.9 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6E72B3" w14:textId="77777777" w:rsidR="00000000" w:rsidRDefault="00C01C43">
            <w:pPr>
              <w:jc w:val="right"/>
              <w:rPr>
                <w:rFonts w:eastAsia="Times New Roman"/>
              </w:rPr>
            </w:pPr>
          </w:p>
        </w:tc>
      </w:tr>
    </w:tbl>
    <w:p w14:paraId="54779D0F" w14:textId="77777777" w:rsidR="00000000" w:rsidRDefault="00C01C43">
      <w:pPr>
        <w:ind w:hanging="720"/>
        <w:jc w:val="both"/>
        <w:divId w:val="1457677727"/>
        <w:rPr>
          <w:rFonts w:eastAsia="Times New Roman"/>
        </w:rPr>
      </w:pPr>
      <w:r>
        <w:rPr>
          <w:rFonts w:ascii="Arial" w:eastAsia="Times New Roman" w:hAnsi="Arial" w:cs="Arial"/>
          <w:color w:val="000000"/>
          <w:sz w:val="16"/>
          <w:szCs w:val="16"/>
        </w:rPr>
        <w:t>(1)Includes revenue related to the U.K. of $3.1 billion, $5.5 billion and $6.3 billion for 2020, 2019 and 2018, respectively.</w:t>
      </w:r>
    </w:p>
    <w:p w14:paraId="0BD11BA0" w14:textId="77777777" w:rsidR="00000000" w:rsidRDefault="00C01C43">
      <w:pPr>
        <w:ind w:hanging="360"/>
        <w:jc w:val="both"/>
        <w:rPr>
          <w:rFonts w:eastAsia="Times New Roman"/>
        </w:rPr>
      </w:pPr>
    </w:p>
    <w:p w14:paraId="701D6E10" w14:textId="77777777" w:rsidR="00000000" w:rsidRDefault="00C01C43">
      <w:pPr>
        <w:ind w:hanging="720"/>
        <w:jc w:val="both"/>
        <w:rPr>
          <w:rFonts w:eastAsia="Times New Roman"/>
        </w:rPr>
      </w:pPr>
      <w:r>
        <w:rPr>
          <w:rFonts w:ascii="Arial" w:eastAsia="Times New Roman" w:hAnsi="Arial" w:cs="Arial"/>
          <w:color w:val="000000"/>
          <w:sz w:val="16"/>
          <w:szCs w:val="16"/>
        </w:rPr>
        <w:t>(2)</w:t>
      </w:r>
      <w:r>
        <w:rPr>
          <w:rFonts w:ascii="Arial" w:eastAsia="Times New Roman" w:hAnsi="Arial" w:cs="Arial"/>
          <w:color w:val="000000"/>
          <w:sz w:val="16"/>
          <w:szCs w:val="16"/>
        </w:rPr>
        <w:t>Includes revenue related to Singapore of $3.0 billion, $4.5 billion and $5.4 billion for 2020, 2019 and 2018, respectively.</w:t>
      </w:r>
    </w:p>
    <w:p w14:paraId="34144AB5" w14:textId="77777777" w:rsidR="00000000" w:rsidRDefault="00C01C43">
      <w:pPr>
        <w:ind w:hanging="360"/>
        <w:jc w:val="both"/>
        <w:rPr>
          <w:rFonts w:eastAsia="Times New Roman"/>
        </w:rPr>
      </w:pPr>
    </w:p>
    <w:p w14:paraId="0982D501" w14:textId="77777777" w:rsidR="00000000" w:rsidRDefault="00C01C43">
      <w:pPr>
        <w:ind w:hanging="720"/>
        <w:jc w:val="both"/>
        <w:divId w:val="542012915"/>
        <w:rPr>
          <w:rFonts w:eastAsia="Times New Roman"/>
        </w:rPr>
      </w:pPr>
      <w:r>
        <w:rPr>
          <w:rFonts w:ascii="Arial" w:eastAsia="Times New Roman" w:hAnsi="Arial" w:cs="Arial"/>
          <w:color w:val="000000"/>
          <w:sz w:val="16"/>
          <w:szCs w:val="16"/>
        </w:rPr>
        <w:t xml:space="preserve">(3)Geographic revenue information in this table includes impacts from derivatives and hedging activities, which are excluded from </w:t>
      </w:r>
      <w:r>
        <w:rPr>
          <w:rFonts w:ascii="Arial" w:eastAsia="Times New Roman" w:hAnsi="Arial" w:cs="Arial"/>
          <w:color w:val="000000"/>
          <w:sz w:val="16"/>
          <w:szCs w:val="16"/>
        </w:rPr>
        <w:t>that geographic revenue information presented at "Note 14. Revenue."</w:t>
      </w:r>
    </w:p>
    <w:p w14:paraId="7B323345" w14:textId="77777777" w:rsidR="00000000" w:rsidRDefault="00C01C43">
      <w:pPr>
        <w:jc w:val="both"/>
        <w:divId w:val="693191429"/>
        <w:rPr>
          <w:rFonts w:eastAsia="Times New Roman"/>
        </w:rPr>
      </w:pPr>
    </w:p>
    <w:p w14:paraId="4FE5C8D7" w14:textId="77777777" w:rsidR="00000000" w:rsidRDefault="00C01C43">
      <w:pPr>
        <w:jc w:val="center"/>
        <w:divId w:val="1128741128"/>
        <w:rPr>
          <w:rFonts w:eastAsia="Times New Roman"/>
        </w:rPr>
      </w:pPr>
      <w:r>
        <w:rPr>
          <w:rFonts w:ascii="Arial" w:eastAsia="Times New Roman" w:hAnsi="Arial" w:cs="Arial"/>
          <w:color w:val="000000"/>
          <w:sz w:val="16"/>
          <w:szCs w:val="16"/>
        </w:rPr>
        <w:t>87</w:t>
      </w:r>
    </w:p>
    <w:p w14:paraId="3D56B3CD" w14:textId="77777777" w:rsidR="00000000" w:rsidRDefault="00C01C43">
      <w:pPr>
        <w:rPr>
          <w:rFonts w:eastAsia="Times New Roman"/>
        </w:rPr>
      </w:pPr>
      <w:r>
        <w:rPr>
          <w:rFonts w:eastAsia="Times New Roman"/>
        </w:rPr>
        <w:pict w14:anchorId="2349E211">
          <v:rect id="_x0000_i1116" style="width:0;height:1.5pt" o:hralign="center" o:hrstd="t" o:hr="t" fillcolor="#a0a0a0" stroked="f"/>
        </w:pict>
      </w:r>
    </w:p>
    <w:p w14:paraId="423C9531" w14:textId="77777777" w:rsidR="00000000" w:rsidRDefault="00C01C43">
      <w:pPr>
        <w:divId w:val="879785493"/>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29344AD9" w14:textId="77777777" w:rsidR="00000000" w:rsidRDefault="00C01C43">
      <w:pPr>
        <w:jc w:val="both"/>
        <w:divId w:val="179122764"/>
        <w:rPr>
          <w:rFonts w:eastAsia="Times New Roman"/>
        </w:rPr>
      </w:pPr>
      <w:r>
        <w:rPr>
          <w:rFonts w:ascii="Arial" w:eastAsia="Times New Roman" w:hAnsi="Arial" w:cs="Arial"/>
          <w:b/>
          <w:bCs/>
          <w:color w:val="000000"/>
          <w:sz w:val="20"/>
          <w:szCs w:val="20"/>
        </w:rPr>
        <w:t>Major Customers</w:t>
      </w:r>
    </w:p>
    <w:p w14:paraId="56283CB3" w14:textId="77777777" w:rsidR="00000000" w:rsidRDefault="00C01C43">
      <w:pPr>
        <w:jc w:val="both"/>
        <w:rPr>
          <w:rFonts w:eastAsia="Times New Roman"/>
        </w:rPr>
      </w:pPr>
      <w:r>
        <w:rPr>
          <w:rFonts w:ascii="Arial" w:eastAsia="Times New Roman" w:hAnsi="Arial" w:cs="Arial"/>
          <w:color w:val="000000"/>
          <w:sz w:val="20"/>
          <w:szCs w:val="20"/>
        </w:rPr>
        <w:t>During each of the periods presented on the Consolidat</w:t>
      </w:r>
      <w:r>
        <w:rPr>
          <w:rFonts w:ascii="Arial" w:eastAsia="Times New Roman" w:hAnsi="Arial" w:cs="Arial"/>
          <w:color w:val="000000"/>
          <w:sz w:val="20"/>
          <w:szCs w:val="20"/>
        </w:rPr>
        <w:t>ed Statements of Income and Comprehensive Income, none of our customers accounted for more than 10% of total consolidated revenue. Sales to government customers, which principally consist of sales to NATO in support of military operations in Afghanistan, h</w:t>
      </w:r>
      <w:r>
        <w:rPr>
          <w:rFonts w:ascii="Arial" w:eastAsia="Times New Roman" w:hAnsi="Arial" w:cs="Arial"/>
          <w:color w:val="000000"/>
          <w:sz w:val="20"/>
          <w:szCs w:val="20"/>
        </w:rPr>
        <w:t>ave accounted for a material portion of our profitability in recent years. The profitability associated with our government business can be significantly impacted by supply disruptions, border closures, road blockages, hostility-related product losses, inv</w:t>
      </w:r>
      <w:r>
        <w:rPr>
          <w:rFonts w:ascii="Arial" w:eastAsia="Times New Roman" w:hAnsi="Arial" w:cs="Arial"/>
          <w:color w:val="000000"/>
          <w:sz w:val="20"/>
          <w:szCs w:val="20"/>
        </w:rPr>
        <w:t xml:space="preserve">entory shortages and other logistical difficulties that can arise when sourcing and delivering fuel in areas that are actively engaged in war or other military conflicts. Our sales to government customers may fluctuate significantly from time to time as a </w:t>
      </w:r>
      <w:r>
        <w:rPr>
          <w:rFonts w:ascii="Arial" w:eastAsia="Times New Roman" w:hAnsi="Arial" w:cs="Arial"/>
          <w:color w:val="000000"/>
          <w:sz w:val="20"/>
          <w:szCs w:val="20"/>
        </w:rPr>
        <w:t>result of the foregoing factors, as well as the level of troop deployments and related activity in a particular region or area or the commencement, extension, renewal or completion of existing and new government contracts.</w:t>
      </w:r>
    </w:p>
    <w:p w14:paraId="60AD7F02" w14:textId="77777777" w:rsidR="00000000" w:rsidRDefault="00C01C43">
      <w:pPr>
        <w:jc w:val="both"/>
        <w:rPr>
          <w:rFonts w:eastAsia="Times New Roman"/>
        </w:rPr>
      </w:pPr>
    </w:p>
    <w:p w14:paraId="7AEE63B6" w14:textId="77777777" w:rsidR="00000000" w:rsidRDefault="00C01C43">
      <w:pPr>
        <w:jc w:val="both"/>
        <w:rPr>
          <w:rFonts w:eastAsia="Times New Roman"/>
        </w:rPr>
      </w:pPr>
      <w:r>
        <w:rPr>
          <w:rFonts w:ascii="Arial" w:eastAsia="Times New Roman" w:hAnsi="Arial" w:cs="Arial"/>
          <w:b/>
          <w:bCs/>
          <w:color w:val="000000"/>
          <w:sz w:val="20"/>
          <w:szCs w:val="20"/>
        </w:rPr>
        <w:t>14. Revenue from Contracts with</w:t>
      </w:r>
      <w:r>
        <w:rPr>
          <w:rFonts w:ascii="Arial" w:eastAsia="Times New Roman" w:hAnsi="Arial" w:cs="Arial"/>
          <w:b/>
          <w:bCs/>
          <w:color w:val="000000"/>
          <w:sz w:val="20"/>
          <w:szCs w:val="20"/>
        </w:rPr>
        <w:t xml:space="preserve"> Customers</w:t>
      </w:r>
    </w:p>
    <w:p w14:paraId="26744437" w14:textId="77777777" w:rsidR="00000000" w:rsidRDefault="00C01C43">
      <w:pPr>
        <w:jc w:val="both"/>
        <w:rPr>
          <w:rFonts w:eastAsia="Times New Roman"/>
        </w:rPr>
      </w:pPr>
    </w:p>
    <w:p w14:paraId="5569B8A3" w14:textId="77777777" w:rsidR="00000000" w:rsidRDefault="00C01C43">
      <w:pPr>
        <w:jc w:val="both"/>
        <w:rPr>
          <w:rFonts w:eastAsia="Times New Roman"/>
        </w:rPr>
      </w:pPr>
      <w:r>
        <w:rPr>
          <w:rFonts w:ascii="Arial" w:eastAsia="Times New Roman" w:hAnsi="Arial" w:cs="Arial"/>
          <w:color w:val="000000"/>
          <w:sz w:val="20"/>
          <w:szCs w:val="20"/>
        </w:rPr>
        <w:t>Our contracts with customers, which are mainly master sales agreements in combination with different types of nominations or standalone agreements, primarily require us to deliver fuel and fuel-related products, while other arrangements requir</w:t>
      </w:r>
      <w:r>
        <w:rPr>
          <w:rFonts w:ascii="Arial" w:eastAsia="Times New Roman" w:hAnsi="Arial" w:cs="Arial"/>
          <w:color w:val="000000"/>
          <w:sz w:val="20"/>
          <w:szCs w:val="20"/>
        </w:rPr>
        <w:t>e us to complete agreed-upon services. As our contracts go through a formal credit approval process, we only enter into contracts when we determine the amount we expect to be entitled to is probable of collections. Our billing and payment terms generally i</w:t>
      </w:r>
      <w:r>
        <w:rPr>
          <w:rFonts w:ascii="Arial" w:eastAsia="Times New Roman" w:hAnsi="Arial" w:cs="Arial"/>
          <w:color w:val="000000"/>
          <w:sz w:val="20"/>
          <w:szCs w:val="20"/>
        </w:rPr>
        <w:t>nclude monthly invoicing for the prior month's activities with average payment terms of one to three months. We have elected not to adjust the contract consideration for the effect of a significant financing component for any contract in which the period b</w:t>
      </w:r>
      <w:r>
        <w:rPr>
          <w:rFonts w:ascii="Arial" w:eastAsia="Times New Roman" w:hAnsi="Arial" w:cs="Arial"/>
          <w:color w:val="000000"/>
          <w:sz w:val="20"/>
          <w:szCs w:val="20"/>
        </w:rPr>
        <w:t>etween when the Company transfers the promises in the contract and when the customer pays is a year or less. However, since our contracts have relatively short payment terms, they do not typically result in the provision of significant financing.</w:t>
      </w:r>
    </w:p>
    <w:p w14:paraId="53DD2A11" w14:textId="77777777" w:rsidR="00000000" w:rsidRDefault="00C01C43">
      <w:pPr>
        <w:ind w:firstLine="360"/>
        <w:jc w:val="both"/>
        <w:rPr>
          <w:rFonts w:eastAsia="Times New Roman"/>
        </w:rPr>
      </w:pPr>
    </w:p>
    <w:p w14:paraId="66A3BABF" w14:textId="77777777" w:rsidR="00000000" w:rsidRDefault="00C01C43">
      <w:pPr>
        <w:jc w:val="both"/>
        <w:rPr>
          <w:rFonts w:eastAsia="Times New Roman"/>
        </w:rPr>
      </w:pPr>
      <w:r>
        <w:rPr>
          <w:rFonts w:ascii="Arial" w:eastAsia="Times New Roman" w:hAnsi="Arial" w:cs="Arial"/>
          <w:color w:val="000000"/>
          <w:sz w:val="20"/>
          <w:szCs w:val="20"/>
        </w:rPr>
        <w:t>We gene</w:t>
      </w:r>
      <w:r>
        <w:rPr>
          <w:rFonts w:ascii="Arial" w:eastAsia="Times New Roman" w:hAnsi="Arial" w:cs="Arial"/>
          <w:color w:val="000000"/>
          <w:sz w:val="20"/>
          <w:szCs w:val="20"/>
        </w:rPr>
        <w:t>rally recognize fuel sales and services revenue on a gross basis as we have control of the products or services before they are delivered to our customers. In drawing this conclusion, we considered various factors, including inventory risk management, lati</w:t>
      </w:r>
      <w:r>
        <w:rPr>
          <w:rFonts w:ascii="Arial" w:eastAsia="Times New Roman" w:hAnsi="Arial" w:cs="Arial"/>
          <w:color w:val="000000"/>
          <w:sz w:val="20"/>
          <w:szCs w:val="20"/>
        </w:rPr>
        <w:t>tude in establishing the sales price, discretion in the supplier selection and that we are normally the primary obligor in our sales arrangements.</w:t>
      </w:r>
    </w:p>
    <w:p w14:paraId="324012CB" w14:textId="77777777" w:rsidR="00000000" w:rsidRDefault="00C01C43">
      <w:pPr>
        <w:ind w:firstLine="360"/>
        <w:jc w:val="both"/>
        <w:rPr>
          <w:rFonts w:eastAsia="Times New Roman"/>
        </w:rPr>
      </w:pPr>
    </w:p>
    <w:p w14:paraId="5F1DD4AE" w14:textId="77777777" w:rsidR="00000000" w:rsidRDefault="00C01C43">
      <w:pPr>
        <w:jc w:val="both"/>
        <w:rPr>
          <w:rFonts w:eastAsia="Times New Roman"/>
        </w:rPr>
      </w:pPr>
      <w:r>
        <w:rPr>
          <w:rFonts w:ascii="Arial" w:eastAsia="Times New Roman" w:hAnsi="Arial" w:cs="Arial"/>
          <w:color w:val="000000"/>
          <w:sz w:val="20"/>
          <w:szCs w:val="20"/>
        </w:rPr>
        <w:t>The majority of our consolidated revenues are generated through the sale of fuel and fuel-related products.</w:t>
      </w:r>
      <w:r>
        <w:rPr>
          <w:rFonts w:ascii="Arial" w:eastAsia="Times New Roman" w:hAnsi="Arial" w:cs="Arial"/>
          <w:color w:val="000000"/>
          <w:sz w:val="20"/>
          <w:szCs w:val="20"/>
        </w:rPr>
        <w:t xml:space="preserve"> Revenue from the sale of fuel is recognized when our customers obtain control of the fuel, which is typically upon delivery of each promised gallon or barrel to an agreed-upon delivery point. We have determined that each gallon or barrel represents a sepa</w:t>
      </w:r>
      <w:r>
        <w:rPr>
          <w:rFonts w:ascii="Arial" w:eastAsia="Times New Roman" w:hAnsi="Arial" w:cs="Arial"/>
          <w:color w:val="000000"/>
          <w:sz w:val="20"/>
          <w:szCs w:val="20"/>
        </w:rPr>
        <w:t xml:space="preserve">rate performance obligation, and revenue is recognized at the point in time when control of each gallon or barrel transfer to our customer. We may also incur costs for the transportation of products to the delivery points. Reimbursements of such costs are </w:t>
      </w:r>
      <w:r>
        <w:rPr>
          <w:rFonts w:ascii="Arial" w:eastAsia="Times New Roman" w:hAnsi="Arial" w:cs="Arial"/>
          <w:color w:val="000000"/>
          <w:sz w:val="20"/>
          <w:szCs w:val="20"/>
        </w:rPr>
        <w:t>normally included in the transaction price. In the limited cases, when we coordinate shipping and handling activities after our customer obtains control of goods or services, we have elected to account for these shipping and handling costs as activities to</w:t>
      </w:r>
      <w:r>
        <w:rPr>
          <w:rFonts w:ascii="Arial" w:eastAsia="Times New Roman" w:hAnsi="Arial" w:cs="Arial"/>
          <w:color w:val="000000"/>
          <w:sz w:val="20"/>
          <w:szCs w:val="20"/>
        </w:rPr>
        <w:t xml:space="preserve"> fulfill the promise to transfer the goods.</w:t>
      </w:r>
    </w:p>
    <w:p w14:paraId="1674F65F" w14:textId="77777777" w:rsidR="00000000" w:rsidRDefault="00C01C43">
      <w:pPr>
        <w:ind w:firstLine="360"/>
        <w:jc w:val="both"/>
        <w:rPr>
          <w:rFonts w:eastAsia="Times New Roman"/>
        </w:rPr>
      </w:pPr>
    </w:p>
    <w:p w14:paraId="201C6837" w14:textId="77777777" w:rsidR="00000000" w:rsidRDefault="00C01C43">
      <w:pPr>
        <w:jc w:val="both"/>
        <w:rPr>
          <w:rFonts w:eastAsia="Times New Roman"/>
        </w:rPr>
      </w:pPr>
      <w:r>
        <w:rPr>
          <w:rFonts w:ascii="Arial" w:eastAsia="Times New Roman" w:hAnsi="Arial" w:cs="Arial"/>
          <w:color w:val="000000"/>
          <w:sz w:val="20"/>
          <w:szCs w:val="20"/>
        </w:rPr>
        <w:t>Our contracts may contain fixed or variable pricing (such as market or index-based pricing) or some combination of those. The pricing structures of our fuel sales that involve variable prices, such as market or</w:t>
      </w:r>
      <w:r>
        <w:rPr>
          <w:rFonts w:ascii="Arial" w:eastAsia="Times New Roman" w:hAnsi="Arial" w:cs="Arial"/>
          <w:color w:val="000000"/>
          <w:sz w:val="20"/>
          <w:szCs w:val="20"/>
        </w:rPr>
        <w:t xml:space="preserve"> index-based pricing or reimbursements of costs, typically correspond to our efforts to transfer the promised fuel, and we recognize revenue based on those variable prices for the related gallons or barrels that we have delivered. In addition, we have elec</w:t>
      </w:r>
      <w:r>
        <w:rPr>
          <w:rFonts w:ascii="Arial" w:eastAsia="Times New Roman" w:hAnsi="Arial" w:cs="Arial"/>
          <w:color w:val="000000"/>
          <w:sz w:val="20"/>
          <w:szCs w:val="20"/>
        </w:rPr>
        <w:t>ted to exclude from the transaction price the amount of certain taxes assessed by a government authority that we collect (or recover) from our customer and remit in connection with our sales transactions, such as certain sales or excise taxes.</w:t>
      </w:r>
    </w:p>
    <w:p w14:paraId="7CD6C751" w14:textId="77777777" w:rsidR="00000000" w:rsidRDefault="00C01C43">
      <w:pPr>
        <w:ind w:firstLine="360"/>
        <w:jc w:val="both"/>
        <w:rPr>
          <w:rFonts w:eastAsia="Times New Roman"/>
        </w:rPr>
      </w:pPr>
    </w:p>
    <w:p w14:paraId="56A95740" w14:textId="77777777" w:rsidR="00000000" w:rsidRDefault="00C01C43">
      <w:pPr>
        <w:jc w:val="both"/>
        <w:rPr>
          <w:rFonts w:eastAsia="Times New Roman"/>
        </w:rPr>
      </w:pPr>
      <w:r>
        <w:rPr>
          <w:rFonts w:ascii="Arial" w:eastAsia="Times New Roman" w:hAnsi="Arial" w:cs="Arial"/>
          <w:color w:val="000000"/>
          <w:sz w:val="20"/>
          <w:szCs w:val="20"/>
        </w:rPr>
        <w:t>Within our</w:t>
      </w:r>
      <w:r>
        <w:rPr>
          <w:rFonts w:ascii="Arial" w:eastAsia="Times New Roman" w:hAnsi="Arial" w:cs="Arial"/>
          <w:color w:val="000000"/>
          <w:sz w:val="20"/>
          <w:szCs w:val="20"/>
        </w:rPr>
        <w:t xml:space="preserve"> land and aviation segments, contracts with customers may include multi-year sales contracts, which are priced at market-based indices and require minimum volume purchase commitments from our customers. The consideration expected from these contracts is co</w:t>
      </w:r>
      <w:r>
        <w:rPr>
          <w:rFonts w:ascii="Arial" w:eastAsia="Times New Roman" w:hAnsi="Arial" w:cs="Arial"/>
          <w:color w:val="000000"/>
          <w:sz w:val="20"/>
          <w:szCs w:val="20"/>
        </w:rPr>
        <w:t>nsidered variable due to the market-based pricing and the variability is not resolved until delivery is made to our customers. We have elected to apply the optional exemption from estimating and disclosing the variable consideration from our remaining perf</w:t>
      </w:r>
      <w:r>
        <w:rPr>
          <w:rFonts w:ascii="Arial" w:eastAsia="Times New Roman" w:hAnsi="Arial" w:cs="Arial"/>
          <w:color w:val="000000"/>
          <w:sz w:val="20"/>
          <w:szCs w:val="20"/>
        </w:rPr>
        <w:t>ormance obligations under these contracts.</w:t>
      </w:r>
    </w:p>
    <w:p w14:paraId="39851096" w14:textId="77777777" w:rsidR="00000000" w:rsidRDefault="00C01C43">
      <w:pPr>
        <w:ind w:firstLine="360"/>
        <w:jc w:val="both"/>
        <w:rPr>
          <w:rFonts w:eastAsia="Times New Roman"/>
        </w:rPr>
      </w:pPr>
    </w:p>
    <w:p w14:paraId="40DA1845" w14:textId="77777777" w:rsidR="00000000" w:rsidRDefault="00C01C43">
      <w:pPr>
        <w:jc w:val="center"/>
        <w:divId w:val="552153608"/>
        <w:rPr>
          <w:rFonts w:eastAsia="Times New Roman"/>
        </w:rPr>
      </w:pPr>
      <w:r>
        <w:rPr>
          <w:rFonts w:ascii="Arial" w:eastAsia="Times New Roman" w:hAnsi="Arial" w:cs="Arial"/>
          <w:color w:val="000000"/>
          <w:sz w:val="16"/>
          <w:szCs w:val="16"/>
        </w:rPr>
        <w:t>88</w:t>
      </w:r>
    </w:p>
    <w:p w14:paraId="09E1D760" w14:textId="77777777" w:rsidR="00000000" w:rsidRDefault="00C01C43">
      <w:pPr>
        <w:rPr>
          <w:rFonts w:eastAsia="Times New Roman"/>
        </w:rPr>
      </w:pPr>
      <w:r>
        <w:rPr>
          <w:rFonts w:eastAsia="Times New Roman"/>
        </w:rPr>
        <w:pict w14:anchorId="64727692">
          <v:rect id="_x0000_i1117" style="width:0;height:1.5pt" o:hralign="center" o:hrstd="t" o:hr="t" fillcolor="#a0a0a0" stroked="f"/>
        </w:pict>
      </w:r>
    </w:p>
    <w:p w14:paraId="38103C37" w14:textId="77777777" w:rsidR="00000000" w:rsidRDefault="00C01C43">
      <w:pPr>
        <w:divId w:val="469980235"/>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61E2E89D" w14:textId="77777777" w:rsidR="00000000" w:rsidRDefault="00C01C43">
      <w:pPr>
        <w:jc w:val="both"/>
        <w:rPr>
          <w:rFonts w:eastAsia="Times New Roman"/>
        </w:rPr>
      </w:pPr>
      <w:r>
        <w:rPr>
          <w:rFonts w:ascii="Arial" w:eastAsia="Times New Roman" w:hAnsi="Arial" w:cs="Arial"/>
          <w:color w:val="000000"/>
          <w:sz w:val="20"/>
          <w:szCs w:val="20"/>
        </w:rPr>
        <w:t>We also have fixed price fuel and fuel-related product sale contracts with a contract term of less than one year (typically one month). For these contracts, we apply the optional exemption, to not disclose the amount of transaction price allocated to remai</w:t>
      </w:r>
      <w:r>
        <w:rPr>
          <w:rFonts w:ascii="Arial" w:eastAsia="Times New Roman" w:hAnsi="Arial" w:cs="Arial"/>
          <w:color w:val="000000"/>
          <w:sz w:val="20"/>
          <w:szCs w:val="20"/>
        </w:rPr>
        <w:t>ning performance obligations. We also apply this exemption to those contracts in which the right to consideration corresponds directly with the value to the customer of the entity's performance to date. In limited cases, we may have multi-period fixed pric</w:t>
      </w:r>
      <w:r>
        <w:rPr>
          <w:rFonts w:ascii="Arial" w:eastAsia="Times New Roman" w:hAnsi="Arial" w:cs="Arial"/>
          <w:color w:val="000000"/>
          <w:sz w:val="20"/>
          <w:szCs w:val="20"/>
        </w:rPr>
        <w:t>e contracts. Because our long-term supply arrangements that exceed one year are typically based on market index prices as previously discussed, the transaction price associated with remaining performance obligations under multi-year fixed price fuel sale c</w:t>
      </w:r>
      <w:r>
        <w:rPr>
          <w:rFonts w:ascii="Arial" w:eastAsia="Times New Roman" w:hAnsi="Arial" w:cs="Arial"/>
          <w:color w:val="000000"/>
          <w:sz w:val="20"/>
          <w:szCs w:val="20"/>
        </w:rPr>
        <w:t>ontracts are not significant.</w:t>
      </w:r>
    </w:p>
    <w:p w14:paraId="5902B8AF" w14:textId="77777777" w:rsidR="00000000" w:rsidRDefault="00C01C43">
      <w:pPr>
        <w:jc w:val="both"/>
        <w:rPr>
          <w:rFonts w:eastAsia="Times New Roman"/>
        </w:rPr>
      </w:pPr>
    </w:p>
    <w:p w14:paraId="5873EFC2" w14:textId="77777777" w:rsidR="00000000" w:rsidRDefault="00C01C43">
      <w:pPr>
        <w:jc w:val="both"/>
        <w:rPr>
          <w:rFonts w:eastAsia="Times New Roman"/>
        </w:rPr>
      </w:pPr>
      <w:r>
        <w:rPr>
          <w:rFonts w:ascii="Arial" w:eastAsia="Times New Roman" w:hAnsi="Arial" w:cs="Arial"/>
          <w:color w:val="000000"/>
          <w:sz w:val="20"/>
          <w:szCs w:val="20"/>
        </w:rPr>
        <w:t>We also earn a minor amount of revenue from contracts to provide services, including energy procurement advisory services, international trip planning support, and transaction and payment management processing, which typical</w:t>
      </w:r>
      <w:r>
        <w:rPr>
          <w:rFonts w:ascii="Arial" w:eastAsia="Times New Roman" w:hAnsi="Arial" w:cs="Arial"/>
          <w:color w:val="000000"/>
          <w:sz w:val="20"/>
          <w:szCs w:val="20"/>
        </w:rPr>
        <w:t>ly represent a single performance obligation for the series of daily services. We generally recognize revenue over the contract period when services have been performed based on our right to invoice for those services.</w:t>
      </w:r>
    </w:p>
    <w:p w14:paraId="72C1CBAD" w14:textId="77777777" w:rsidR="00000000" w:rsidRDefault="00C01C43">
      <w:pPr>
        <w:jc w:val="both"/>
        <w:rPr>
          <w:rFonts w:eastAsia="Times New Roman"/>
        </w:rPr>
      </w:pPr>
    </w:p>
    <w:p w14:paraId="0FAFA2C3" w14:textId="77777777" w:rsidR="00000000" w:rsidRDefault="00C01C43">
      <w:pPr>
        <w:jc w:val="both"/>
        <w:rPr>
          <w:rFonts w:eastAsia="Times New Roman"/>
        </w:rPr>
      </w:pPr>
      <w:r>
        <w:rPr>
          <w:rFonts w:ascii="Arial" w:eastAsia="Times New Roman" w:hAnsi="Arial" w:cs="Arial"/>
          <w:b/>
          <w:bCs/>
          <w:color w:val="000000"/>
          <w:sz w:val="20"/>
          <w:szCs w:val="20"/>
        </w:rPr>
        <w:t>Disaggregated revenue</w:t>
      </w:r>
    </w:p>
    <w:p w14:paraId="6003D081" w14:textId="77777777" w:rsidR="00000000" w:rsidRDefault="00C01C43">
      <w:pPr>
        <w:jc w:val="both"/>
        <w:rPr>
          <w:rFonts w:eastAsia="Times New Roman"/>
        </w:rPr>
      </w:pPr>
    </w:p>
    <w:p w14:paraId="0D62D183" w14:textId="77777777" w:rsidR="00000000" w:rsidRDefault="00C01C43">
      <w:pPr>
        <w:jc w:val="both"/>
        <w:rPr>
          <w:rFonts w:eastAsia="Times New Roman"/>
        </w:rPr>
      </w:pPr>
      <w:r>
        <w:rPr>
          <w:rFonts w:ascii="Arial" w:eastAsia="Times New Roman" w:hAnsi="Arial" w:cs="Arial"/>
          <w:color w:val="000000"/>
          <w:sz w:val="20"/>
          <w:szCs w:val="20"/>
        </w:rPr>
        <w:t>The followi</w:t>
      </w:r>
      <w:r>
        <w:rPr>
          <w:rFonts w:ascii="Arial" w:eastAsia="Times New Roman" w:hAnsi="Arial" w:cs="Arial"/>
          <w:color w:val="000000"/>
          <w:sz w:val="20"/>
          <w:szCs w:val="20"/>
        </w:rPr>
        <w:t>ng table presents our revenues from contracts with customers disaggregated by major geographic areas and by segment (in millions):</w:t>
      </w:r>
    </w:p>
    <w:tbl>
      <w:tblPr>
        <w:tblW w:w="4978" w:type="pct"/>
        <w:tblCellMar>
          <w:top w:w="15" w:type="dxa"/>
          <w:left w:w="15" w:type="dxa"/>
          <w:bottom w:w="15" w:type="dxa"/>
          <w:right w:w="15" w:type="dxa"/>
        </w:tblCellMar>
        <w:tblLook w:val="04A0" w:firstRow="1" w:lastRow="0" w:firstColumn="1" w:lastColumn="0" w:noHBand="0" w:noVBand="1"/>
      </w:tblPr>
      <w:tblGrid>
        <w:gridCol w:w="38"/>
        <w:gridCol w:w="5431"/>
        <w:gridCol w:w="37"/>
        <w:gridCol w:w="36"/>
        <w:gridCol w:w="36"/>
        <w:gridCol w:w="36"/>
        <w:gridCol w:w="109"/>
        <w:gridCol w:w="668"/>
        <w:gridCol w:w="36"/>
        <w:gridCol w:w="36"/>
        <w:gridCol w:w="36"/>
        <w:gridCol w:w="36"/>
        <w:gridCol w:w="109"/>
        <w:gridCol w:w="668"/>
        <w:gridCol w:w="36"/>
        <w:gridCol w:w="36"/>
        <w:gridCol w:w="36"/>
        <w:gridCol w:w="36"/>
        <w:gridCol w:w="109"/>
        <w:gridCol w:w="668"/>
        <w:gridCol w:w="36"/>
      </w:tblGrid>
      <w:tr w:rsidR="00000000" w14:paraId="3EF1401C" w14:textId="77777777">
        <w:trPr>
          <w:divId w:val="588999194"/>
        </w:trPr>
        <w:tc>
          <w:tcPr>
            <w:tcW w:w="50" w:type="pct"/>
            <w:vAlign w:val="center"/>
            <w:hideMark/>
          </w:tcPr>
          <w:p w14:paraId="230C509B" w14:textId="77777777" w:rsidR="00000000" w:rsidRDefault="00C01C43">
            <w:pPr>
              <w:jc w:val="both"/>
              <w:rPr>
                <w:rFonts w:eastAsia="Times New Roman"/>
              </w:rPr>
            </w:pPr>
          </w:p>
        </w:tc>
        <w:tc>
          <w:tcPr>
            <w:tcW w:w="3315" w:type="pct"/>
            <w:vAlign w:val="center"/>
            <w:hideMark/>
          </w:tcPr>
          <w:p w14:paraId="2A7CFEC3" w14:textId="77777777" w:rsidR="00000000" w:rsidRDefault="00C01C43">
            <w:pPr>
              <w:rPr>
                <w:rFonts w:eastAsia="Times New Roman"/>
                <w:sz w:val="20"/>
                <w:szCs w:val="20"/>
              </w:rPr>
            </w:pPr>
          </w:p>
        </w:tc>
        <w:tc>
          <w:tcPr>
            <w:tcW w:w="5" w:type="pct"/>
            <w:vAlign w:val="center"/>
            <w:hideMark/>
          </w:tcPr>
          <w:p w14:paraId="18463803" w14:textId="77777777" w:rsidR="00000000" w:rsidRDefault="00C01C43">
            <w:pPr>
              <w:rPr>
                <w:rFonts w:eastAsia="Times New Roman"/>
                <w:sz w:val="20"/>
                <w:szCs w:val="20"/>
              </w:rPr>
            </w:pPr>
          </w:p>
        </w:tc>
        <w:tc>
          <w:tcPr>
            <w:tcW w:w="5" w:type="pct"/>
            <w:vAlign w:val="center"/>
            <w:hideMark/>
          </w:tcPr>
          <w:p w14:paraId="58DF9545" w14:textId="77777777" w:rsidR="00000000" w:rsidRDefault="00C01C43">
            <w:pPr>
              <w:rPr>
                <w:rFonts w:eastAsia="Times New Roman"/>
                <w:sz w:val="20"/>
                <w:szCs w:val="20"/>
              </w:rPr>
            </w:pPr>
          </w:p>
        </w:tc>
        <w:tc>
          <w:tcPr>
            <w:tcW w:w="26" w:type="pct"/>
            <w:vAlign w:val="center"/>
            <w:hideMark/>
          </w:tcPr>
          <w:p w14:paraId="146E4B2A" w14:textId="77777777" w:rsidR="00000000" w:rsidRDefault="00C01C43">
            <w:pPr>
              <w:rPr>
                <w:rFonts w:eastAsia="Times New Roman"/>
                <w:sz w:val="20"/>
                <w:szCs w:val="20"/>
              </w:rPr>
            </w:pPr>
          </w:p>
        </w:tc>
        <w:tc>
          <w:tcPr>
            <w:tcW w:w="5" w:type="pct"/>
            <w:vAlign w:val="center"/>
            <w:hideMark/>
          </w:tcPr>
          <w:p w14:paraId="66464E97" w14:textId="77777777" w:rsidR="00000000" w:rsidRDefault="00C01C43">
            <w:pPr>
              <w:rPr>
                <w:rFonts w:eastAsia="Times New Roman"/>
                <w:sz w:val="20"/>
                <w:szCs w:val="20"/>
              </w:rPr>
            </w:pPr>
          </w:p>
        </w:tc>
        <w:tc>
          <w:tcPr>
            <w:tcW w:w="50" w:type="pct"/>
            <w:vAlign w:val="center"/>
            <w:hideMark/>
          </w:tcPr>
          <w:p w14:paraId="3241E9DF" w14:textId="77777777" w:rsidR="00000000" w:rsidRDefault="00C01C43">
            <w:pPr>
              <w:rPr>
                <w:rFonts w:eastAsia="Times New Roman"/>
                <w:sz w:val="20"/>
                <w:szCs w:val="20"/>
              </w:rPr>
            </w:pPr>
          </w:p>
        </w:tc>
        <w:tc>
          <w:tcPr>
            <w:tcW w:w="451" w:type="pct"/>
            <w:vAlign w:val="center"/>
            <w:hideMark/>
          </w:tcPr>
          <w:p w14:paraId="25B5E2E2" w14:textId="77777777" w:rsidR="00000000" w:rsidRDefault="00C01C43">
            <w:pPr>
              <w:rPr>
                <w:rFonts w:eastAsia="Times New Roman"/>
                <w:sz w:val="20"/>
                <w:szCs w:val="20"/>
              </w:rPr>
            </w:pPr>
          </w:p>
        </w:tc>
        <w:tc>
          <w:tcPr>
            <w:tcW w:w="5" w:type="pct"/>
            <w:vAlign w:val="center"/>
            <w:hideMark/>
          </w:tcPr>
          <w:p w14:paraId="4DCDCDE5" w14:textId="77777777" w:rsidR="00000000" w:rsidRDefault="00C01C43">
            <w:pPr>
              <w:rPr>
                <w:rFonts w:eastAsia="Times New Roman"/>
                <w:sz w:val="20"/>
                <w:szCs w:val="20"/>
              </w:rPr>
            </w:pPr>
          </w:p>
        </w:tc>
        <w:tc>
          <w:tcPr>
            <w:tcW w:w="5" w:type="pct"/>
            <w:vAlign w:val="center"/>
            <w:hideMark/>
          </w:tcPr>
          <w:p w14:paraId="6B60A334" w14:textId="77777777" w:rsidR="00000000" w:rsidRDefault="00C01C43">
            <w:pPr>
              <w:rPr>
                <w:rFonts w:eastAsia="Times New Roman"/>
                <w:sz w:val="20"/>
                <w:szCs w:val="20"/>
              </w:rPr>
            </w:pPr>
          </w:p>
        </w:tc>
        <w:tc>
          <w:tcPr>
            <w:tcW w:w="26" w:type="pct"/>
            <w:vAlign w:val="center"/>
            <w:hideMark/>
          </w:tcPr>
          <w:p w14:paraId="7561F9FF" w14:textId="77777777" w:rsidR="00000000" w:rsidRDefault="00C01C43">
            <w:pPr>
              <w:rPr>
                <w:rFonts w:eastAsia="Times New Roman"/>
                <w:sz w:val="20"/>
                <w:szCs w:val="20"/>
              </w:rPr>
            </w:pPr>
          </w:p>
        </w:tc>
        <w:tc>
          <w:tcPr>
            <w:tcW w:w="5" w:type="pct"/>
            <w:vAlign w:val="center"/>
            <w:hideMark/>
          </w:tcPr>
          <w:p w14:paraId="4AC0B26F" w14:textId="77777777" w:rsidR="00000000" w:rsidRDefault="00C01C43">
            <w:pPr>
              <w:rPr>
                <w:rFonts w:eastAsia="Times New Roman"/>
                <w:sz w:val="20"/>
                <w:szCs w:val="20"/>
              </w:rPr>
            </w:pPr>
          </w:p>
        </w:tc>
        <w:tc>
          <w:tcPr>
            <w:tcW w:w="50" w:type="pct"/>
            <w:vAlign w:val="center"/>
            <w:hideMark/>
          </w:tcPr>
          <w:p w14:paraId="5D8A1D78" w14:textId="77777777" w:rsidR="00000000" w:rsidRDefault="00C01C43">
            <w:pPr>
              <w:rPr>
                <w:rFonts w:eastAsia="Times New Roman"/>
                <w:sz w:val="20"/>
                <w:szCs w:val="20"/>
              </w:rPr>
            </w:pPr>
          </w:p>
        </w:tc>
        <w:tc>
          <w:tcPr>
            <w:tcW w:w="451" w:type="pct"/>
            <w:vAlign w:val="center"/>
            <w:hideMark/>
          </w:tcPr>
          <w:p w14:paraId="169979EF" w14:textId="77777777" w:rsidR="00000000" w:rsidRDefault="00C01C43">
            <w:pPr>
              <w:rPr>
                <w:rFonts w:eastAsia="Times New Roman"/>
                <w:sz w:val="20"/>
                <w:szCs w:val="20"/>
              </w:rPr>
            </w:pPr>
          </w:p>
        </w:tc>
        <w:tc>
          <w:tcPr>
            <w:tcW w:w="5" w:type="pct"/>
            <w:vAlign w:val="center"/>
            <w:hideMark/>
          </w:tcPr>
          <w:p w14:paraId="18E78A89" w14:textId="77777777" w:rsidR="00000000" w:rsidRDefault="00C01C43">
            <w:pPr>
              <w:rPr>
                <w:rFonts w:eastAsia="Times New Roman"/>
                <w:sz w:val="20"/>
                <w:szCs w:val="20"/>
              </w:rPr>
            </w:pPr>
          </w:p>
        </w:tc>
        <w:tc>
          <w:tcPr>
            <w:tcW w:w="5" w:type="pct"/>
            <w:vAlign w:val="center"/>
            <w:hideMark/>
          </w:tcPr>
          <w:p w14:paraId="05BA72E7" w14:textId="77777777" w:rsidR="00000000" w:rsidRDefault="00C01C43">
            <w:pPr>
              <w:rPr>
                <w:rFonts w:eastAsia="Times New Roman"/>
                <w:sz w:val="20"/>
                <w:szCs w:val="20"/>
              </w:rPr>
            </w:pPr>
          </w:p>
        </w:tc>
        <w:tc>
          <w:tcPr>
            <w:tcW w:w="26" w:type="pct"/>
            <w:vAlign w:val="center"/>
            <w:hideMark/>
          </w:tcPr>
          <w:p w14:paraId="5CD6C62F" w14:textId="77777777" w:rsidR="00000000" w:rsidRDefault="00C01C43">
            <w:pPr>
              <w:rPr>
                <w:rFonts w:eastAsia="Times New Roman"/>
                <w:sz w:val="20"/>
                <w:szCs w:val="20"/>
              </w:rPr>
            </w:pPr>
          </w:p>
        </w:tc>
        <w:tc>
          <w:tcPr>
            <w:tcW w:w="5" w:type="pct"/>
            <w:vAlign w:val="center"/>
            <w:hideMark/>
          </w:tcPr>
          <w:p w14:paraId="367DD0BE" w14:textId="77777777" w:rsidR="00000000" w:rsidRDefault="00C01C43">
            <w:pPr>
              <w:rPr>
                <w:rFonts w:eastAsia="Times New Roman"/>
                <w:sz w:val="20"/>
                <w:szCs w:val="20"/>
              </w:rPr>
            </w:pPr>
          </w:p>
        </w:tc>
        <w:tc>
          <w:tcPr>
            <w:tcW w:w="50" w:type="pct"/>
            <w:vAlign w:val="center"/>
            <w:hideMark/>
          </w:tcPr>
          <w:p w14:paraId="13BDD06F" w14:textId="77777777" w:rsidR="00000000" w:rsidRDefault="00C01C43">
            <w:pPr>
              <w:rPr>
                <w:rFonts w:eastAsia="Times New Roman"/>
                <w:sz w:val="20"/>
                <w:szCs w:val="20"/>
              </w:rPr>
            </w:pPr>
          </w:p>
        </w:tc>
        <w:tc>
          <w:tcPr>
            <w:tcW w:w="451" w:type="pct"/>
            <w:vAlign w:val="center"/>
            <w:hideMark/>
          </w:tcPr>
          <w:p w14:paraId="73F1E9C5" w14:textId="77777777" w:rsidR="00000000" w:rsidRDefault="00C01C43">
            <w:pPr>
              <w:rPr>
                <w:rFonts w:eastAsia="Times New Roman"/>
                <w:sz w:val="20"/>
                <w:szCs w:val="20"/>
              </w:rPr>
            </w:pPr>
          </w:p>
        </w:tc>
        <w:tc>
          <w:tcPr>
            <w:tcW w:w="5" w:type="pct"/>
            <w:vAlign w:val="center"/>
            <w:hideMark/>
          </w:tcPr>
          <w:p w14:paraId="22A2144B" w14:textId="77777777" w:rsidR="00000000" w:rsidRDefault="00C01C43">
            <w:pPr>
              <w:rPr>
                <w:rFonts w:eastAsia="Times New Roman"/>
                <w:sz w:val="20"/>
                <w:szCs w:val="20"/>
              </w:rPr>
            </w:pPr>
          </w:p>
        </w:tc>
      </w:tr>
      <w:tr w:rsidR="00000000" w14:paraId="4A96A8D2" w14:textId="77777777">
        <w:trPr>
          <w:divId w:val="588999194"/>
        </w:trPr>
        <w:tc>
          <w:tcPr>
            <w:tcW w:w="0" w:type="auto"/>
            <w:gridSpan w:val="3"/>
            <w:tcMar>
              <w:top w:w="0" w:type="dxa"/>
              <w:left w:w="20" w:type="dxa"/>
              <w:bottom w:w="0" w:type="dxa"/>
              <w:right w:w="20" w:type="dxa"/>
            </w:tcMar>
            <w:vAlign w:val="center"/>
            <w:hideMark/>
          </w:tcPr>
          <w:p w14:paraId="48355B39"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41F96682" w14:textId="77777777" w:rsidR="00000000" w:rsidRDefault="00C01C43">
            <w:pPr>
              <w:rPr>
                <w:rFonts w:eastAsia="Times New Roman"/>
                <w:sz w:val="20"/>
                <w:szCs w:val="20"/>
              </w:rPr>
            </w:pPr>
          </w:p>
        </w:tc>
        <w:tc>
          <w:tcPr>
            <w:tcW w:w="0" w:type="auto"/>
            <w:gridSpan w:val="15"/>
            <w:tcMar>
              <w:top w:w="30" w:type="dxa"/>
              <w:left w:w="20" w:type="dxa"/>
              <w:bottom w:w="30" w:type="dxa"/>
              <w:right w:w="20" w:type="dxa"/>
            </w:tcMar>
            <w:vAlign w:val="bottom"/>
            <w:hideMark/>
          </w:tcPr>
          <w:p w14:paraId="17DE6A09" w14:textId="77777777" w:rsidR="00000000" w:rsidRDefault="00C01C43">
            <w:pPr>
              <w:jc w:val="center"/>
              <w:rPr>
                <w:rFonts w:eastAsia="Times New Roman"/>
              </w:rPr>
            </w:pPr>
            <w:r>
              <w:rPr>
                <w:rFonts w:ascii="Arial" w:eastAsia="Times New Roman" w:hAnsi="Arial" w:cs="Arial"/>
                <w:b/>
                <w:bCs/>
                <w:color w:val="000000"/>
                <w:sz w:val="16"/>
                <w:szCs w:val="16"/>
              </w:rPr>
              <w:t>For the Year Ended December 31,</w:t>
            </w:r>
          </w:p>
        </w:tc>
      </w:tr>
      <w:tr w:rsidR="00000000" w14:paraId="7D4C10B2" w14:textId="77777777">
        <w:trPr>
          <w:divId w:val="588999194"/>
        </w:trPr>
        <w:tc>
          <w:tcPr>
            <w:tcW w:w="0" w:type="auto"/>
            <w:gridSpan w:val="3"/>
            <w:tcMar>
              <w:top w:w="0" w:type="dxa"/>
              <w:left w:w="20" w:type="dxa"/>
              <w:bottom w:w="0" w:type="dxa"/>
              <w:right w:w="20" w:type="dxa"/>
            </w:tcMar>
            <w:vAlign w:val="center"/>
            <w:hideMark/>
          </w:tcPr>
          <w:p w14:paraId="10D75A0E" w14:textId="77777777" w:rsidR="00000000" w:rsidRDefault="00C01C43">
            <w:pPr>
              <w:jc w:val="center"/>
              <w:rPr>
                <w:rFonts w:eastAsia="Times New Roman"/>
              </w:rPr>
            </w:pPr>
          </w:p>
        </w:tc>
        <w:tc>
          <w:tcPr>
            <w:tcW w:w="0" w:type="auto"/>
            <w:gridSpan w:val="3"/>
            <w:tcMar>
              <w:top w:w="0" w:type="dxa"/>
              <w:left w:w="20" w:type="dxa"/>
              <w:bottom w:w="0" w:type="dxa"/>
              <w:right w:w="20" w:type="dxa"/>
            </w:tcMar>
            <w:vAlign w:val="center"/>
            <w:hideMark/>
          </w:tcPr>
          <w:p w14:paraId="30A695CA"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01CD43E6"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3AB2760B"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6B675345"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75F275A6"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71985D9C"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6552FDD1" w14:textId="77777777">
        <w:trPr>
          <w:divId w:val="58899919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A297393" w14:textId="77777777" w:rsidR="00000000" w:rsidRDefault="00C01C43">
            <w:pPr>
              <w:rPr>
                <w:rFonts w:eastAsia="Times New Roman"/>
              </w:rPr>
            </w:pPr>
            <w:r>
              <w:rPr>
                <w:rFonts w:ascii="Arial" w:eastAsia="Times New Roman" w:hAnsi="Arial" w:cs="Arial"/>
                <w:color w:val="000000"/>
                <w:sz w:val="16"/>
                <w:szCs w:val="16"/>
              </w:rPr>
              <w:t>Aviation</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343B26E" w14:textId="77777777" w:rsidR="00000000" w:rsidRDefault="00C01C4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21129B"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AD3ACAE" w14:textId="77777777" w:rsidR="00000000" w:rsidRDefault="00C01C43">
            <w:pPr>
              <w:jc w:val="right"/>
              <w:rPr>
                <w:rFonts w:eastAsia="Times New Roman"/>
              </w:rPr>
            </w:pPr>
            <w:r>
              <w:rPr>
                <w:rFonts w:ascii="Arial" w:eastAsia="Times New Roman" w:hAnsi="Arial" w:cs="Arial"/>
                <w:color w:val="000000"/>
                <w:sz w:val="16"/>
                <w:szCs w:val="16"/>
              </w:rPr>
              <w:t>542.1 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949064"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F74057F"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103C9AE"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5CEB4E" w14:textId="77777777" w:rsidR="00000000" w:rsidRDefault="00C01C43">
            <w:pPr>
              <w:jc w:val="right"/>
              <w:rPr>
                <w:rFonts w:eastAsia="Times New Roman"/>
              </w:rPr>
            </w:pPr>
            <w:r>
              <w:rPr>
                <w:rFonts w:ascii="Arial" w:eastAsia="Times New Roman" w:hAnsi="Arial" w:cs="Arial"/>
                <w:color w:val="000000"/>
                <w:sz w:val="16"/>
                <w:szCs w:val="16"/>
              </w:rPr>
              <w:t>1,410.2 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BBFA08"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73F7EC"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FAEBAE"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304EF9" w14:textId="77777777" w:rsidR="00000000" w:rsidRDefault="00C01C43">
            <w:pPr>
              <w:jc w:val="right"/>
              <w:rPr>
                <w:rFonts w:eastAsia="Times New Roman"/>
              </w:rPr>
            </w:pPr>
            <w:r>
              <w:rPr>
                <w:rFonts w:ascii="Arial" w:eastAsia="Times New Roman" w:hAnsi="Arial" w:cs="Arial"/>
                <w:color w:val="000000"/>
                <w:sz w:val="16"/>
                <w:szCs w:val="16"/>
              </w:rPr>
              <w:t>1,564.6 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527B5A" w14:textId="77777777" w:rsidR="00000000" w:rsidRDefault="00C01C43">
            <w:pPr>
              <w:jc w:val="right"/>
              <w:rPr>
                <w:rFonts w:eastAsia="Times New Roman"/>
              </w:rPr>
            </w:pPr>
          </w:p>
        </w:tc>
      </w:tr>
      <w:tr w:rsidR="00000000" w14:paraId="2FA7C379" w14:textId="77777777">
        <w:trPr>
          <w:divId w:val="588999194"/>
        </w:trPr>
        <w:tc>
          <w:tcPr>
            <w:tcW w:w="0" w:type="auto"/>
            <w:gridSpan w:val="3"/>
            <w:shd w:val="clear" w:color="auto" w:fill="CCEEFF"/>
            <w:tcMar>
              <w:top w:w="30" w:type="dxa"/>
              <w:left w:w="20" w:type="dxa"/>
              <w:bottom w:w="30" w:type="dxa"/>
              <w:right w:w="20" w:type="dxa"/>
            </w:tcMar>
            <w:vAlign w:val="bottom"/>
            <w:hideMark/>
          </w:tcPr>
          <w:p w14:paraId="3BE017C3" w14:textId="77777777" w:rsidR="00000000" w:rsidRDefault="00C01C43">
            <w:pPr>
              <w:rPr>
                <w:rFonts w:eastAsia="Times New Roman"/>
              </w:rPr>
            </w:pPr>
            <w:r>
              <w:rPr>
                <w:rFonts w:ascii="Arial" w:eastAsia="Times New Roman" w:hAnsi="Arial" w:cs="Arial"/>
                <w:color w:val="000000"/>
                <w:sz w:val="16"/>
                <w:szCs w:val="16"/>
              </w:rPr>
              <w:t>Land</w:t>
            </w:r>
          </w:p>
        </w:tc>
        <w:tc>
          <w:tcPr>
            <w:tcW w:w="0" w:type="auto"/>
            <w:gridSpan w:val="3"/>
            <w:shd w:val="clear" w:color="auto" w:fill="CCEEFF"/>
            <w:tcMar>
              <w:top w:w="0" w:type="dxa"/>
              <w:left w:w="20" w:type="dxa"/>
              <w:bottom w:w="0" w:type="dxa"/>
              <w:right w:w="20" w:type="dxa"/>
            </w:tcMar>
            <w:vAlign w:val="center"/>
            <w:hideMark/>
          </w:tcPr>
          <w:p w14:paraId="1EFC6FB4"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561A64" w14:textId="77777777" w:rsidR="00000000" w:rsidRDefault="00C01C43">
            <w:pPr>
              <w:jc w:val="right"/>
              <w:rPr>
                <w:rFonts w:eastAsia="Times New Roman"/>
              </w:rPr>
            </w:pPr>
            <w:r>
              <w:rPr>
                <w:rFonts w:ascii="Arial" w:eastAsia="Times New Roman" w:hAnsi="Arial" w:cs="Arial"/>
                <w:color w:val="000000"/>
                <w:sz w:val="16"/>
                <w:szCs w:val="16"/>
              </w:rPr>
              <w:t>10.6 </w:t>
            </w:r>
          </w:p>
        </w:tc>
        <w:tc>
          <w:tcPr>
            <w:tcW w:w="0" w:type="auto"/>
            <w:shd w:val="clear" w:color="auto" w:fill="CCEEFF"/>
            <w:tcMar>
              <w:top w:w="30" w:type="dxa"/>
              <w:left w:w="0" w:type="dxa"/>
              <w:bottom w:w="30" w:type="dxa"/>
              <w:right w:w="20" w:type="dxa"/>
            </w:tcMar>
            <w:vAlign w:val="bottom"/>
            <w:hideMark/>
          </w:tcPr>
          <w:p w14:paraId="633F4B8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1C57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4192B8" w14:textId="77777777" w:rsidR="00000000" w:rsidRDefault="00C01C43">
            <w:pPr>
              <w:jc w:val="right"/>
              <w:rPr>
                <w:rFonts w:eastAsia="Times New Roman"/>
              </w:rPr>
            </w:pPr>
            <w:r>
              <w:rPr>
                <w:rFonts w:ascii="Arial" w:eastAsia="Times New Roman" w:hAnsi="Arial" w:cs="Arial"/>
                <w:color w:val="000000"/>
                <w:sz w:val="16"/>
                <w:szCs w:val="16"/>
              </w:rPr>
              <w:t>18.2 </w:t>
            </w:r>
          </w:p>
        </w:tc>
        <w:tc>
          <w:tcPr>
            <w:tcW w:w="0" w:type="auto"/>
            <w:shd w:val="clear" w:color="auto" w:fill="CCEEFF"/>
            <w:tcMar>
              <w:top w:w="30" w:type="dxa"/>
              <w:left w:w="0" w:type="dxa"/>
              <w:bottom w:w="30" w:type="dxa"/>
              <w:right w:w="20" w:type="dxa"/>
            </w:tcMar>
            <w:vAlign w:val="bottom"/>
            <w:hideMark/>
          </w:tcPr>
          <w:p w14:paraId="4AA65590"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D6268"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251B9A" w14:textId="77777777" w:rsidR="00000000" w:rsidRDefault="00C01C43">
            <w:pPr>
              <w:jc w:val="right"/>
              <w:rPr>
                <w:rFonts w:eastAsia="Times New Roman"/>
              </w:rPr>
            </w:pPr>
            <w:r>
              <w:rPr>
                <w:rFonts w:ascii="Arial" w:eastAsia="Times New Roman" w:hAnsi="Arial" w:cs="Arial"/>
                <w:color w:val="000000"/>
                <w:sz w:val="16"/>
                <w:szCs w:val="16"/>
              </w:rPr>
              <w:t>3.3 </w:t>
            </w:r>
          </w:p>
        </w:tc>
        <w:tc>
          <w:tcPr>
            <w:tcW w:w="0" w:type="auto"/>
            <w:shd w:val="clear" w:color="auto" w:fill="CCEEFF"/>
            <w:tcMar>
              <w:top w:w="30" w:type="dxa"/>
              <w:left w:w="0" w:type="dxa"/>
              <w:bottom w:w="30" w:type="dxa"/>
              <w:right w:w="20" w:type="dxa"/>
            </w:tcMar>
            <w:vAlign w:val="bottom"/>
            <w:hideMark/>
          </w:tcPr>
          <w:p w14:paraId="2CA0CB66" w14:textId="77777777" w:rsidR="00000000" w:rsidRDefault="00C01C43">
            <w:pPr>
              <w:jc w:val="right"/>
              <w:rPr>
                <w:rFonts w:eastAsia="Times New Roman"/>
              </w:rPr>
            </w:pPr>
          </w:p>
        </w:tc>
      </w:tr>
      <w:tr w:rsidR="00000000" w14:paraId="6239B1A3" w14:textId="77777777">
        <w:trPr>
          <w:divId w:val="588999194"/>
        </w:trPr>
        <w:tc>
          <w:tcPr>
            <w:tcW w:w="0" w:type="auto"/>
            <w:gridSpan w:val="3"/>
            <w:shd w:val="clear" w:color="auto" w:fill="FFFFFF"/>
            <w:tcMar>
              <w:top w:w="30" w:type="dxa"/>
              <w:left w:w="20" w:type="dxa"/>
              <w:bottom w:w="30" w:type="dxa"/>
              <w:right w:w="20" w:type="dxa"/>
            </w:tcMar>
            <w:vAlign w:val="bottom"/>
            <w:hideMark/>
          </w:tcPr>
          <w:p w14:paraId="5202D45E" w14:textId="77777777" w:rsidR="00000000" w:rsidRDefault="00C01C43">
            <w:pPr>
              <w:rPr>
                <w:rFonts w:eastAsia="Times New Roman"/>
              </w:rPr>
            </w:pPr>
            <w:r>
              <w:rPr>
                <w:rFonts w:ascii="Arial" w:eastAsia="Times New Roman" w:hAnsi="Arial" w:cs="Arial"/>
                <w:color w:val="000000"/>
                <w:sz w:val="16"/>
                <w:szCs w:val="16"/>
              </w:rPr>
              <w:t>Marine</w:t>
            </w:r>
          </w:p>
        </w:tc>
        <w:tc>
          <w:tcPr>
            <w:tcW w:w="0" w:type="auto"/>
            <w:gridSpan w:val="3"/>
            <w:shd w:val="clear" w:color="auto" w:fill="FFFFFF"/>
            <w:tcMar>
              <w:top w:w="0" w:type="dxa"/>
              <w:left w:w="20" w:type="dxa"/>
              <w:bottom w:w="0" w:type="dxa"/>
              <w:right w:w="20" w:type="dxa"/>
            </w:tcMar>
            <w:vAlign w:val="center"/>
            <w:hideMark/>
          </w:tcPr>
          <w:p w14:paraId="519A0B11"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A75AC1" w14:textId="77777777" w:rsidR="00000000" w:rsidRDefault="00C01C43">
            <w:pPr>
              <w:jc w:val="right"/>
              <w:rPr>
                <w:rFonts w:eastAsia="Times New Roman"/>
              </w:rPr>
            </w:pPr>
            <w:r>
              <w:rPr>
                <w:rFonts w:ascii="Arial" w:eastAsia="Times New Roman" w:hAnsi="Arial" w:cs="Arial"/>
                <w:color w:val="000000"/>
                <w:sz w:val="16"/>
                <w:szCs w:val="16"/>
              </w:rPr>
              <w:t>2,436.8 </w:t>
            </w:r>
          </w:p>
        </w:tc>
        <w:tc>
          <w:tcPr>
            <w:tcW w:w="0" w:type="auto"/>
            <w:shd w:val="clear" w:color="auto" w:fill="FFFFFF"/>
            <w:tcMar>
              <w:top w:w="30" w:type="dxa"/>
              <w:left w:w="0" w:type="dxa"/>
              <w:bottom w:w="30" w:type="dxa"/>
              <w:right w:w="20" w:type="dxa"/>
            </w:tcMar>
            <w:vAlign w:val="bottom"/>
            <w:hideMark/>
          </w:tcPr>
          <w:p w14:paraId="38514DD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425F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D268E6" w14:textId="77777777" w:rsidR="00000000" w:rsidRDefault="00C01C43">
            <w:pPr>
              <w:jc w:val="right"/>
              <w:rPr>
                <w:rFonts w:eastAsia="Times New Roman"/>
              </w:rPr>
            </w:pPr>
            <w:r>
              <w:rPr>
                <w:rFonts w:ascii="Arial" w:eastAsia="Times New Roman" w:hAnsi="Arial" w:cs="Arial"/>
                <w:color w:val="000000"/>
                <w:sz w:val="16"/>
                <w:szCs w:val="16"/>
              </w:rPr>
              <w:t>2,929.2 </w:t>
            </w:r>
          </w:p>
        </w:tc>
        <w:tc>
          <w:tcPr>
            <w:tcW w:w="0" w:type="auto"/>
            <w:shd w:val="clear" w:color="auto" w:fill="FFFFFF"/>
            <w:tcMar>
              <w:top w:w="30" w:type="dxa"/>
              <w:left w:w="0" w:type="dxa"/>
              <w:bottom w:w="30" w:type="dxa"/>
              <w:right w:w="20" w:type="dxa"/>
            </w:tcMar>
            <w:vAlign w:val="bottom"/>
            <w:hideMark/>
          </w:tcPr>
          <w:p w14:paraId="260F216A"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19B87"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385079" w14:textId="77777777" w:rsidR="00000000" w:rsidRDefault="00C01C43">
            <w:pPr>
              <w:jc w:val="right"/>
              <w:rPr>
                <w:rFonts w:eastAsia="Times New Roman"/>
              </w:rPr>
            </w:pPr>
            <w:r>
              <w:rPr>
                <w:rFonts w:ascii="Arial" w:eastAsia="Times New Roman" w:hAnsi="Arial" w:cs="Arial"/>
                <w:color w:val="000000"/>
                <w:sz w:val="16"/>
                <w:szCs w:val="16"/>
              </w:rPr>
              <w:t>3,552.1 </w:t>
            </w:r>
          </w:p>
        </w:tc>
        <w:tc>
          <w:tcPr>
            <w:tcW w:w="0" w:type="auto"/>
            <w:shd w:val="clear" w:color="auto" w:fill="FFFFFF"/>
            <w:tcMar>
              <w:top w:w="30" w:type="dxa"/>
              <w:left w:w="0" w:type="dxa"/>
              <w:bottom w:w="30" w:type="dxa"/>
              <w:right w:w="20" w:type="dxa"/>
            </w:tcMar>
            <w:vAlign w:val="bottom"/>
            <w:hideMark/>
          </w:tcPr>
          <w:p w14:paraId="6B742844" w14:textId="77777777" w:rsidR="00000000" w:rsidRDefault="00C01C43">
            <w:pPr>
              <w:jc w:val="right"/>
              <w:rPr>
                <w:rFonts w:eastAsia="Times New Roman"/>
              </w:rPr>
            </w:pPr>
          </w:p>
        </w:tc>
      </w:tr>
      <w:tr w:rsidR="00000000" w14:paraId="7EBFE71E" w14:textId="77777777">
        <w:trPr>
          <w:divId w:val="588999194"/>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14:paraId="5A609AA5" w14:textId="77777777" w:rsidR="00000000" w:rsidRDefault="00C01C43">
            <w:pPr>
              <w:rPr>
                <w:rFonts w:eastAsia="Times New Roman"/>
              </w:rPr>
            </w:pPr>
            <w:r>
              <w:rPr>
                <w:rFonts w:ascii="Arial" w:eastAsia="Times New Roman" w:hAnsi="Arial" w:cs="Arial"/>
                <w:color w:val="000000"/>
                <w:sz w:val="16"/>
                <w:szCs w:val="16"/>
              </w:rPr>
              <w:t>Asia Pacific</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19A361" w14:textId="77777777" w:rsidR="00000000" w:rsidRDefault="00C01C4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9D883F" w14:textId="77777777" w:rsidR="00000000" w:rsidRDefault="00C01C43">
            <w:pPr>
              <w:jc w:val="right"/>
              <w:rPr>
                <w:rFonts w:eastAsia="Times New Roman"/>
              </w:rPr>
            </w:pPr>
            <w:r>
              <w:rPr>
                <w:rFonts w:ascii="Arial" w:eastAsia="Times New Roman" w:hAnsi="Arial" w:cs="Arial"/>
                <w:color w:val="000000"/>
                <w:sz w:val="16"/>
                <w:szCs w:val="16"/>
              </w:rPr>
              <w:t>2,989.4 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80A1B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C8D899"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2A4DBC" w14:textId="77777777" w:rsidR="00000000" w:rsidRDefault="00C01C43">
            <w:pPr>
              <w:jc w:val="right"/>
              <w:rPr>
                <w:rFonts w:eastAsia="Times New Roman"/>
              </w:rPr>
            </w:pPr>
            <w:r>
              <w:rPr>
                <w:rFonts w:ascii="Arial" w:eastAsia="Times New Roman" w:hAnsi="Arial" w:cs="Arial"/>
                <w:color w:val="000000"/>
                <w:sz w:val="16"/>
                <w:szCs w:val="16"/>
              </w:rPr>
              <w:t>4,357.7 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F4EB34"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F015CA"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80AF70" w14:textId="77777777" w:rsidR="00000000" w:rsidRDefault="00C01C43">
            <w:pPr>
              <w:jc w:val="right"/>
              <w:rPr>
                <w:rFonts w:eastAsia="Times New Roman"/>
              </w:rPr>
            </w:pPr>
            <w:r>
              <w:rPr>
                <w:rFonts w:ascii="Arial" w:eastAsia="Times New Roman" w:hAnsi="Arial" w:cs="Arial"/>
                <w:color w:val="000000"/>
                <w:sz w:val="16"/>
                <w:szCs w:val="16"/>
              </w:rPr>
              <w:t>5,120.1 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D73958" w14:textId="77777777" w:rsidR="00000000" w:rsidRDefault="00C01C43">
            <w:pPr>
              <w:jc w:val="right"/>
              <w:rPr>
                <w:rFonts w:eastAsia="Times New Roman"/>
              </w:rPr>
            </w:pPr>
          </w:p>
        </w:tc>
      </w:tr>
      <w:tr w:rsidR="00000000" w14:paraId="5148D8DC" w14:textId="77777777">
        <w:trPr>
          <w:divId w:val="588999194"/>
          <w:trHeight w:val="240"/>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312575F"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1AE9987"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44847D"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9BB54F"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58761F3"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C5A7B4"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ABF8B1D" w14:textId="77777777" w:rsidR="00000000" w:rsidRDefault="00C01C43">
            <w:pPr>
              <w:rPr>
                <w:rFonts w:eastAsia="Times New Roman"/>
                <w:sz w:val="20"/>
                <w:szCs w:val="20"/>
              </w:rPr>
            </w:pPr>
          </w:p>
        </w:tc>
      </w:tr>
      <w:tr w:rsidR="00000000" w14:paraId="59EEBC6D" w14:textId="77777777">
        <w:trPr>
          <w:divId w:val="588999194"/>
        </w:trPr>
        <w:tc>
          <w:tcPr>
            <w:tcW w:w="0" w:type="auto"/>
            <w:gridSpan w:val="3"/>
            <w:shd w:val="clear" w:color="auto" w:fill="CCEEFF"/>
            <w:tcMar>
              <w:top w:w="30" w:type="dxa"/>
              <w:left w:w="20" w:type="dxa"/>
              <w:bottom w:w="30" w:type="dxa"/>
              <w:right w:w="20" w:type="dxa"/>
            </w:tcMar>
            <w:vAlign w:val="bottom"/>
            <w:hideMark/>
          </w:tcPr>
          <w:p w14:paraId="72B45D64" w14:textId="77777777" w:rsidR="00000000" w:rsidRDefault="00C01C43">
            <w:pPr>
              <w:rPr>
                <w:rFonts w:eastAsia="Times New Roman"/>
              </w:rPr>
            </w:pPr>
            <w:r>
              <w:rPr>
                <w:rFonts w:ascii="Arial" w:eastAsia="Times New Roman" w:hAnsi="Arial" w:cs="Arial"/>
                <w:color w:val="000000"/>
                <w:sz w:val="16"/>
                <w:szCs w:val="16"/>
              </w:rPr>
              <w:t>Aviation</w:t>
            </w:r>
          </w:p>
        </w:tc>
        <w:tc>
          <w:tcPr>
            <w:tcW w:w="0" w:type="auto"/>
            <w:gridSpan w:val="3"/>
            <w:shd w:val="clear" w:color="auto" w:fill="CCEEFF"/>
            <w:tcMar>
              <w:top w:w="0" w:type="dxa"/>
              <w:left w:w="20" w:type="dxa"/>
              <w:bottom w:w="0" w:type="dxa"/>
              <w:right w:w="20" w:type="dxa"/>
            </w:tcMar>
            <w:vAlign w:val="center"/>
            <w:hideMark/>
          </w:tcPr>
          <w:p w14:paraId="0C6FADA2"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64CD56" w14:textId="77777777" w:rsidR="00000000" w:rsidRDefault="00C01C43">
            <w:pPr>
              <w:jc w:val="right"/>
              <w:rPr>
                <w:rFonts w:eastAsia="Times New Roman"/>
              </w:rPr>
            </w:pPr>
            <w:r>
              <w:rPr>
                <w:rFonts w:ascii="Arial" w:eastAsia="Times New Roman" w:hAnsi="Arial" w:cs="Arial"/>
                <w:color w:val="000000"/>
                <w:sz w:val="16"/>
                <w:szCs w:val="16"/>
              </w:rPr>
              <w:t>1,403.4 </w:t>
            </w:r>
          </w:p>
        </w:tc>
        <w:tc>
          <w:tcPr>
            <w:tcW w:w="0" w:type="auto"/>
            <w:shd w:val="clear" w:color="auto" w:fill="CCEEFF"/>
            <w:tcMar>
              <w:top w:w="30" w:type="dxa"/>
              <w:left w:w="0" w:type="dxa"/>
              <w:bottom w:w="30" w:type="dxa"/>
              <w:right w:w="20" w:type="dxa"/>
            </w:tcMar>
            <w:vAlign w:val="bottom"/>
            <w:hideMark/>
          </w:tcPr>
          <w:p w14:paraId="3D26198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AE6692"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A1EC05" w14:textId="77777777" w:rsidR="00000000" w:rsidRDefault="00C01C43">
            <w:pPr>
              <w:jc w:val="right"/>
              <w:rPr>
                <w:rFonts w:eastAsia="Times New Roman"/>
              </w:rPr>
            </w:pPr>
            <w:r>
              <w:rPr>
                <w:rFonts w:ascii="Arial" w:eastAsia="Times New Roman" w:hAnsi="Arial" w:cs="Arial"/>
                <w:color w:val="000000"/>
                <w:sz w:val="16"/>
                <w:szCs w:val="16"/>
              </w:rPr>
              <w:t>3,824.3 </w:t>
            </w:r>
          </w:p>
        </w:tc>
        <w:tc>
          <w:tcPr>
            <w:tcW w:w="0" w:type="auto"/>
            <w:shd w:val="clear" w:color="auto" w:fill="CCEEFF"/>
            <w:tcMar>
              <w:top w:w="30" w:type="dxa"/>
              <w:left w:w="0" w:type="dxa"/>
              <w:bottom w:w="30" w:type="dxa"/>
              <w:right w:w="20" w:type="dxa"/>
            </w:tcMar>
            <w:vAlign w:val="bottom"/>
            <w:hideMark/>
          </w:tcPr>
          <w:p w14:paraId="08E854C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8614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87DF17" w14:textId="77777777" w:rsidR="00000000" w:rsidRDefault="00C01C43">
            <w:pPr>
              <w:jc w:val="right"/>
              <w:rPr>
                <w:rFonts w:eastAsia="Times New Roman"/>
              </w:rPr>
            </w:pPr>
            <w:r>
              <w:rPr>
                <w:rFonts w:ascii="Arial" w:eastAsia="Times New Roman" w:hAnsi="Arial" w:cs="Arial"/>
                <w:color w:val="000000"/>
                <w:sz w:val="16"/>
                <w:szCs w:val="16"/>
              </w:rPr>
              <w:t>3,641.4 </w:t>
            </w:r>
          </w:p>
        </w:tc>
        <w:tc>
          <w:tcPr>
            <w:tcW w:w="0" w:type="auto"/>
            <w:shd w:val="clear" w:color="auto" w:fill="CCEEFF"/>
            <w:tcMar>
              <w:top w:w="30" w:type="dxa"/>
              <w:left w:w="0" w:type="dxa"/>
              <w:bottom w:w="30" w:type="dxa"/>
              <w:right w:w="20" w:type="dxa"/>
            </w:tcMar>
            <w:vAlign w:val="bottom"/>
            <w:hideMark/>
          </w:tcPr>
          <w:p w14:paraId="57866572" w14:textId="77777777" w:rsidR="00000000" w:rsidRDefault="00C01C43">
            <w:pPr>
              <w:jc w:val="right"/>
              <w:rPr>
                <w:rFonts w:eastAsia="Times New Roman"/>
              </w:rPr>
            </w:pPr>
          </w:p>
        </w:tc>
      </w:tr>
      <w:tr w:rsidR="00000000" w14:paraId="7E8CEF30" w14:textId="77777777">
        <w:trPr>
          <w:divId w:val="588999194"/>
        </w:trPr>
        <w:tc>
          <w:tcPr>
            <w:tcW w:w="0" w:type="auto"/>
            <w:gridSpan w:val="3"/>
            <w:shd w:val="clear" w:color="auto" w:fill="FFFFFF"/>
            <w:tcMar>
              <w:top w:w="30" w:type="dxa"/>
              <w:left w:w="20" w:type="dxa"/>
              <w:bottom w:w="30" w:type="dxa"/>
              <w:right w:w="20" w:type="dxa"/>
            </w:tcMar>
            <w:vAlign w:val="bottom"/>
            <w:hideMark/>
          </w:tcPr>
          <w:p w14:paraId="36BF7EA9" w14:textId="77777777" w:rsidR="00000000" w:rsidRDefault="00C01C43">
            <w:pPr>
              <w:rPr>
                <w:rFonts w:eastAsia="Times New Roman"/>
              </w:rPr>
            </w:pPr>
            <w:r>
              <w:rPr>
                <w:rFonts w:ascii="Arial" w:eastAsia="Times New Roman" w:hAnsi="Arial" w:cs="Arial"/>
                <w:color w:val="000000"/>
                <w:sz w:val="16"/>
                <w:szCs w:val="16"/>
              </w:rPr>
              <w:t>Land</w:t>
            </w:r>
          </w:p>
        </w:tc>
        <w:tc>
          <w:tcPr>
            <w:tcW w:w="0" w:type="auto"/>
            <w:gridSpan w:val="3"/>
            <w:shd w:val="clear" w:color="auto" w:fill="FFFFFF"/>
            <w:tcMar>
              <w:top w:w="0" w:type="dxa"/>
              <w:left w:w="20" w:type="dxa"/>
              <w:bottom w:w="0" w:type="dxa"/>
              <w:right w:w="20" w:type="dxa"/>
            </w:tcMar>
            <w:vAlign w:val="center"/>
            <w:hideMark/>
          </w:tcPr>
          <w:p w14:paraId="6B6AE3CC"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B1F11B" w14:textId="77777777" w:rsidR="00000000" w:rsidRDefault="00C01C43">
            <w:pPr>
              <w:jc w:val="right"/>
              <w:rPr>
                <w:rFonts w:eastAsia="Times New Roman"/>
              </w:rPr>
            </w:pPr>
            <w:r>
              <w:rPr>
                <w:rFonts w:ascii="Arial" w:eastAsia="Times New Roman" w:hAnsi="Arial" w:cs="Arial"/>
                <w:color w:val="000000"/>
                <w:sz w:val="16"/>
                <w:szCs w:val="16"/>
              </w:rPr>
              <w:t>1,744.5 </w:t>
            </w:r>
          </w:p>
        </w:tc>
        <w:tc>
          <w:tcPr>
            <w:tcW w:w="0" w:type="auto"/>
            <w:shd w:val="clear" w:color="auto" w:fill="FFFFFF"/>
            <w:tcMar>
              <w:top w:w="30" w:type="dxa"/>
              <w:left w:w="0" w:type="dxa"/>
              <w:bottom w:w="30" w:type="dxa"/>
              <w:right w:w="20" w:type="dxa"/>
            </w:tcMar>
            <w:vAlign w:val="bottom"/>
            <w:hideMark/>
          </w:tcPr>
          <w:p w14:paraId="0B7B9D8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6521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97988B" w14:textId="77777777" w:rsidR="00000000" w:rsidRDefault="00C01C43">
            <w:pPr>
              <w:jc w:val="right"/>
              <w:rPr>
                <w:rFonts w:eastAsia="Times New Roman"/>
              </w:rPr>
            </w:pPr>
            <w:r>
              <w:rPr>
                <w:rFonts w:ascii="Arial" w:eastAsia="Times New Roman" w:hAnsi="Arial" w:cs="Arial"/>
                <w:color w:val="000000"/>
                <w:sz w:val="16"/>
                <w:szCs w:val="16"/>
              </w:rPr>
              <w:t>2,425.4 </w:t>
            </w:r>
          </w:p>
        </w:tc>
        <w:tc>
          <w:tcPr>
            <w:tcW w:w="0" w:type="auto"/>
            <w:shd w:val="clear" w:color="auto" w:fill="FFFFFF"/>
            <w:tcMar>
              <w:top w:w="30" w:type="dxa"/>
              <w:left w:w="0" w:type="dxa"/>
              <w:bottom w:w="30" w:type="dxa"/>
              <w:right w:w="20" w:type="dxa"/>
            </w:tcMar>
            <w:vAlign w:val="bottom"/>
            <w:hideMark/>
          </w:tcPr>
          <w:p w14:paraId="14C3C6B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AB397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C9568B" w14:textId="77777777" w:rsidR="00000000" w:rsidRDefault="00C01C43">
            <w:pPr>
              <w:jc w:val="right"/>
              <w:rPr>
                <w:rFonts w:eastAsia="Times New Roman"/>
              </w:rPr>
            </w:pPr>
            <w:r>
              <w:rPr>
                <w:rFonts w:ascii="Arial" w:eastAsia="Times New Roman" w:hAnsi="Arial" w:cs="Arial"/>
                <w:color w:val="000000"/>
                <w:sz w:val="16"/>
                <w:szCs w:val="16"/>
              </w:rPr>
              <w:t>2,563.6 </w:t>
            </w:r>
          </w:p>
        </w:tc>
        <w:tc>
          <w:tcPr>
            <w:tcW w:w="0" w:type="auto"/>
            <w:shd w:val="clear" w:color="auto" w:fill="FFFFFF"/>
            <w:tcMar>
              <w:top w:w="30" w:type="dxa"/>
              <w:left w:w="0" w:type="dxa"/>
              <w:bottom w:w="30" w:type="dxa"/>
              <w:right w:w="20" w:type="dxa"/>
            </w:tcMar>
            <w:vAlign w:val="bottom"/>
            <w:hideMark/>
          </w:tcPr>
          <w:p w14:paraId="3B09B5B7" w14:textId="77777777" w:rsidR="00000000" w:rsidRDefault="00C01C43">
            <w:pPr>
              <w:jc w:val="right"/>
              <w:rPr>
                <w:rFonts w:eastAsia="Times New Roman"/>
              </w:rPr>
            </w:pPr>
          </w:p>
        </w:tc>
      </w:tr>
      <w:tr w:rsidR="00000000" w14:paraId="00EF460C" w14:textId="77777777">
        <w:trPr>
          <w:divId w:val="588999194"/>
        </w:trPr>
        <w:tc>
          <w:tcPr>
            <w:tcW w:w="0" w:type="auto"/>
            <w:gridSpan w:val="3"/>
            <w:shd w:val="clear" w:color="auto" w:fill="CCEEFF"/>
            <w:tcMar>
              <w:top w:w="30" w:type="dxa"/>
              <w:left w:w="20" w:type="dxa"/>
              <w:bottom w:w="30" w:type="dxa"/>
              <w:right w:w="20" w:type="dxa"/>
            </w:tcMar>
            <w:vAlign w:val="bottom"/>
            <w:hideMark/>
          </w:tcPr>
          <w:p w14:paraId="7FC1101A" w14:textId="77777777" w:rsidR="00000000" w:rsidRDefault="00C01C43">
            <w:pPr>
              <w:rPr>
                <w:rFonts w:eastAsia="Times New Roman"/>
              </w:rPr>
            </w:pPr>
            <w:r>
              <w:rPr>
                <w:rFonts w:ascii="Arial" w:eastAsia="Times New Roman" w:hAnsi="Arial" w:cs="Arial"/>
                <w:color w:val="000000"/>
                <w:sz w:val="16"/>
                <w:szCs w:val="16"/>
              </w:rPr>
              <w:t>Marine</w:t>
            </w:r>
          </w:p>
        </w:tc>
        <w:tc>
          <w:tcPr>
            <w:tcW w:w="0" w:type="auto"/>
            <w:gridSpan w:val="3"/>
            <w:shd w:val="clear" w:color="auto" w:fill="CCEEFF"/>
            <w:tcMar>
              <w:top w:w="0" w:type="dxa"/>
              <w:left w:w="20" w:type="dxa"/>
              <w:bottom w:w="0" w:type="dxa"/>
              <w:right w:w="20" w:type="dxa"/>
            </w:tcMar>
            <w:vAlign w:val="center"/>
            <w:hideMark/>
          </w:tcPr>
          <w:p w14:paraId="2C93A577"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3F8EFD" w14:textId="77777777" w:rsidR="00000000" w:rsidRDefault="00C01C43">
            <w:pPr>
              <w:jc w:val="right"/>
              <w:rPr>
                <w:rFonts w:eastAsia="Times New Roman"/>
              </w:rPr>
            </w:pPr>
            <w:r>
              <w:rPr>
                <w:rFonts w:ascii="Arial" w:eastAsia="Times New Roman" w:hAnsi="Arial" w:cs="Arial"/>
                <w:color w:val="000000"/>
                <w:sz w:val="16"/>
                <w:szCs w:val="16"/>
              </w:rPr>
              <w:t>1,630.8 </w:t>
            </w:r>
          </w:p>
        </w:tc>
        <w:tc>
          <w:tcPr>
            <w:tcW w:w="0" w:type="auto"/>
            <w:shd w:val="clear" w:color="auto" w:fill="CCEEFF"/>
            <w:tcMar>
              <w:top w:w="30" w:type="dxa"/>
              <w:left w:w="0" w:type="dxa"/>
              <w:bottom w:w="30" w:type="dxa"/>
              <w:right w:w="20" w:type="dxa"/>
            </w:tcMar>
            <w:vAlign w:val="bottom"/>
            <w:hideMark/>
          </w:tcPr>
          <w:p w14:paraId="1C5D41B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E35F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57FDB8" w14:textId="77777777" w:rsidR="00000000" w:rsidRDefault="00C01C43">
            <w:pPr>
              <w:jc w:val="right"/>
              <w:rPr>
                <w:rFonts w:eastAsia="Times New Roman"/>
              </w:rPr>
            </w:pPr>
            <w:r>
              <w:rPr>
                <w:rFonts w:ascii="Arial" w:eastAsia="Times New Roman" w:hAnsi="Arial" w:cs="Arial"/>
                <w:color w:val="000000"/>
                <w:sz w:val="16"/>
                <w:szCs w:val="16"/>
              </w:rPr>
              <w:t>2,739.1 </w:t>
            </w:r>
          </w:p>
        </w:tc>
        <w:tc>
          <w:tcPr>
            <w:tcW w:w="0" w:type="auto"/>
            <w:shd w:val="clear" w:color="auto" w:fill="CCEEFF"/>
            <w:tcMar>
              <w:top w:w="30" w:type="dxa"/>
              <w:left w:w="0" w:type="dxa"/>
              <w:bottom w:w="30" w:type="dxa"/>
              <w:right w:w="20" w:type="dxa"/>
            </w:tcMar>
            <w:vAlign w:val="bottom"/>
            <w:hideMark/>
          </w:tcPr>
          <w:p w14:paraId="28AD6B4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8C71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FA06A9" w14:textId="77777777" w:rsidR="00000000" w:rsidRDefault="00C01C43">
            <w:pPr>
              <w:jc w:val="right"/>
              <w:rPr>
                <w:rFonts w:eastAsia="Times New Roman"/>
              </w:rPr>
            </w:pPr>
            <w:r>
              <w:rPr>
                <w:rFonts w:ascii="Arial" w:eastAsia="Times New Roman" w:hAnsi="Arial" w:cs="Arial"/>
                <w:color w:val="000000"/>
                <w:sz w:val="16"/>
                <w:szCs w:val="16"/>
              </w:rPr>
              <w:t>3,148.3 </w:t>
            </w:r>
          </w:p>
        </w:tc>
        <w:tc>
          <w:tcPr>
            <w:tcW w:w="0" w:type="auto"/>
            <w:shd w:val="clear" w:color="auto" w:fill="CCEEFF"/>
            <w:tcMar>
              <w:top w:w="30" w:type="dxa"/>
              <w:left w:w="0" w:type="dxa"/>
              <w:bottom w:w="30" w:type="dxa"/>
              <w:right w:w="20" w:type="dxa"/>
            </w:tcMar>
            <w:vAlign w:val="bottom"/>
            <w:hideMark/>
          </w:tcPr>
          <w:p w14:paraId="03DE444F" w14:textId="77777777" w:rsidR="00000000" w:rsidRDefault="00C01C43">
            <w:pPr>
              <w:jc w:val="right"/>
              <w:rPr>
                <w:rFonts w:eastAsia="Times New Roman"/>
              </w:rPr>
            </w:pPr>
          </w:p>
        </w:tc>
      </w:tr>
      <w:tr w:rsidR="00000000" w14:paraId="1665F140" w14:textId="77777777">
        <w:trPr>
          <w:divId w:val="588999194"/>
        </w:trPr>
        <w:tc>
          <w:tcPr>
            <w:tcW w:w="0" w:type="auto"/>
            <w:gridSpan w:val="3"/>
            <w:tcBorders>
              <w:top w:val="single" w:sz="8" w:space="0" w:color="000000"/>
            </w:tcBorders>
            <w:shd w:val="clear" w:color="auto" w:fill="FFFFFF"/>
            <w:tcMar>
              <w:top w:w="30" w:type="dxa"/>
              <w:left w:w="155" w:type="dxa"/>
              <w:bottom w:w="30" w:type="dxa"/>
              <w:right w:w="20" w:type="dxa"/>
            </w:tcMar>
            <w:vAlign w:val="bottom"/>
            <w:hideMark/>
          </w:tcPr>
          <w:p w14:paraId="765EE870" w14:textId="77777777" w:rsidR="00000000" w:rsidRDefault="00C01C43">
            <w:pPr>
              <w:rPr>
                <w:rFonts w:eastAsia="Times New Roman"/>
              </w:rPr>
            </w:pPr>
            <w:r>
              <w:rPr>
                <w:rFonts w:ascii="Arial" w:eastAsia="Times New Roman" w:hAnsi="Arial" w:cs="Arial"/>
                <w:color w:val="000000"/>
                <w:sz w:val="16"/>
                <w:szCs w:val="16"/>
              </w:rPr>
              <w:t>EMEA</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20805BA" w14:textId="77777777" w:rsidR="00000000" w:rsidRDefault="00C01C4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D08B4E" w14:textId="77777777" w:rsidR="00000000" w:rsidRDefault="00C01C43">
            <w:pPr>
              <w:jc w:val="right"/>
              <w:rPr>
                <w:rFonts w:eastAsia="Times New Roman"/>
              </w:rPr>
            </w:pPr>
            <w:r>
              <w:rPr>
                <w:rFonts w:ascii="Arial" w:eastAsia="Times New Roman" w:hAnsi="Arial" w:cs="Arial"/>
                <w:color w:val="000000"/>
                <w:sz w:val="16"/>
                <w:szCs w:val="16"/>
              </w:rPr>
              <w:t>4,778.7 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7D2E43"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464B528"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8679E6" w14:textId="77777777" w:rsidR="00000000" w:rsidRDefault="00C01C43">
            <w:pPr>
              <w:jc w:val="right"/>
              <w:rPr>
                <w:rFonts w:eastAsia="Times New Roman"/>
              </w:rPr>
            </w:pPr>
            <w:r>
              <w:rPr>
                <w:rFonts w:ascii="Arial" w:eastAsia="Times New Roman" w:hAnsi="Arial" w:cs="Arial"/>
                <w:color w:val="000000"/>
                <w:sz w:val="16"/>
                <w:szCs w:val="16"/>
              </w:rPr>
              <w:t>8,988.9 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FF5980"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196162"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B9DD4B" w14:textId="77777777" w:rsidR="00000000" w:rsidRDefault="00C01C43">
            <w:pPr>
              <w:jc w:val="right"/>
              <w:rPr>
                <w:rFonts w:eastAsia="Times New Roman"/>
              </w:rPr>
            </w:pPr>
            <w:r>
              <w:rPr>
                <w:rFonts w:ascii="Arial" w:eastAsia="Times New Roman" w:hAnsi="Arial" w:cs="Arial"/>
                <w:color w:val="000000"/>
                <w:sz w:val="16"/>
                <w:szCs w:val="16"/>
              </w:rPr>
              <w:t>9,353.4 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6B6747" w14:textId="77777777" w:rsidR="00000000" w:rsidRDefault="00C01C43">
            <w:pPr>
              <w:jc w:val="right"/>
              <w:rPr>
                <w:rFonts w:eastAsia="Times New Roman"/>
              </w:rPr>
            </w:pPr>
          </w:p>
        </w:tc>
      </w:tr>
      <w:tr w:rsidR="00000000" w14:paraId="53A5A835" w14:textId="77777777">
        <w:trPr>
          <w:divId w:val="588999194"/>
          <w:trHeight w:val="240"/>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E4F1A6"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175F7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B75E15"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A12876"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9A3918"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8D1BD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72FECC" w14:textId="77777777" w:rsidR="00000000" w:rsidRDefault="00C01C43">
            <w:pPr>
              <w:rPr>
                <w:rFonts w:eastAsia="Times New Roman"/>
                <w:sz w:val="20"/>
                <w:szCs w:val="20"/>
              </w:rPr>
            </w:pPr>
          </w:p>
        </w:tc>
      </w:tr>
      <w:tr w:rsidR="00000000" w14:paraId="6BF59939" w14:textId="77777777">
        <w:trPr>
          <w:divId w:val="588999194"/>
        </w:trPr>
        <w:tc>
          <w:tcPr>
            <w:tcW w:w="0" w:type="auto"/>
            <w:gridSpan w:val="3"/>
            <w:shd w:val="clear" w:color="auto" w:fill="FFFFFF"/>
            <w:tcMar>
              <w:top w:w="30" w:type="dxa"/>
              <w:left w:w="20" w:type="dxa"/>
              <w:bottom w:w="30" w:type="dxa"/>
              <w:right w:w="20" w:type="dxa"/>
            </w:tcMar>
            <w:vAlign w:val="bottom"/>
            <w:hideMark/>
          </w:tcPr>
          <w:p w14:paraId="1532D9C4" w14:textId="77777777" w:rsidR="00000000" w:rsidRDefault="00C01C43">
            <w:pPr>
              <w:rPr>
                <w:rFonts w:eastAsia="Times New Roman"/>
              </w:rPr>
            </w:pPr>
            <w:r>
              <w:rPr>
                <w:rFonts w:ascii="Arial" w:eastAsia="Times New Roman" w:hAnsi="Arial" w:cs="Arial"/>
                <w:color w:val="000000"/>
                <w:sz w:val="16"/>
                <w:szCs w:val="16"/>
              </w:rPr>
              <w:t>Aviation</w:t>
            </w:r>
          </w:p>
        </w:tc>
        <w:tc>
          <w:tcPr>
            <w:tcW w:w="0" w:type="auto"/>
            <w:gridSpan w:val="3"/>
            <w:shd w:val="clear" w:color="auto" w:fill="FFFFFF"/>
            <w:tcMar>
              <w:top w:w="0" w:type="dxa"/>
              <w:left w:w="20" w:type="dxa"/>
              <w:bottom w:w="0" w:type="dxa"/>
              <w:right w:w="20" w:type="dxa"/>
            </w:tcMar>
            <w:vAlign w:val="center"/>
            <w:hideMark/>
          </w:tcPr>
          <w:p w14:paraId="5AD8E5E1"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F7D2FC" w14:textId="77777777" w:rsidR="00000000" w:rsidRDefault="00C01C43">
            <w:pPr>
              <w:jc w:val="right"/>
              <w:rPr>
                <w:rFonts w:eastAsia="Times New Roman"/>
              </w:rPr>
            </w:pPr>
            <w:r>
              <w:rPr>
                <w:rFonts w:ascii="Arial" w:eastAsia="Times New Roman" w:hAnsi="Arial" w:cs="Arial"/>
                <w:color w:val="000000"/>
                <w:sz w:val="16"/>
                <w:szCs w:val="16"/>
              </w:rPr>
              <w:t>1,069.9 </w:t>
            </w:r>
          </w:p>
        </w:tc>
        <w:tc>
          <w:tcPr>
            <w:tcW w:w="0" w:type="auto"/>
            <w:shd w:val="clear" w:color="auto" w:fill="FFFFFF"/>
            <w:tcMar>
              <w:top w:w="30" w:type="dxa"/>
              <w:left w:w="0" w:type="dxa"/>
              <w:bottom w:w="30" w:type="dxa"/>
              <w:right w:w="20" w:type="dxa"/>
            </w:tcMar>
            <w:vAlign w:val="bottom"/>
            <w:hideMark/>
          </w:tcPr>
          <w:p w14:paraId="3765FD1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AC2D2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4C44E6" w14:textId="77777777" w:rsidR="00000000" w:rsidRDefault="00C01C43">
            <w:pPr>
              <w:jc w:val="right"/>
              <w:rPr>
                <w:rFonts w:eastAsia="Times New Roman"/>
              </w:rPr>
            </w:pPr>
            <w:r>
              <w:rPr>
                <w:rFonts w:ascii="Arial" w:eastAsia="Times New Roman" w:hAnsi="Arial" w:cs="Arial"/>
                <w:color w:val="000000"/>
                <w:sz w:val="16"/>
                <w:szCs w:val="16"/>
              </w:rPr>
              <w:t>2,347.1 </w:t>
            </w:r>
          </w:p>
        </w:tc>
        <w:tc>
          <w:tcPr>
            <w:tcW w:w="0" w:type="auto"/>
            <w:shd w:val="clear" w:color="auto" w:fill="FFFFFF"/>
            <w:tcMar>
              <w:top w:w="30" w:type="dxa"/>
              <w:left w:w="0" w:type="dxa"/>
              <w:bottom w:w="30" w:type="dxa"/>
              <w:right w:w="20" w:type="dxa"/>
            </w:tcMar>
            <w:vAlign w:val="bottom"/>
            <w:hideMark/>
          </w:tcPr>
          <w:p w14:paraId="1EFBF35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30488"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C1AA86" w14:textId="77777777" w:rsidR="00000000" w:rsidRDefault="00C01C43">
            <w:pPr>
              <w:jc w:val="right"/>
              <w:rPr>
                <w:rFonts w:eastAsia="Times New Roman"/>
              </w:rPr>
            </w:pPr>
            <w:r>
              <w:rPr>
                <w:rFonts w:ascii="Arial" w:eastAsia="Times New Roman" w:hAnsi="Arial" w:cs="Arial"/>
                <w:color w:val="000000"/>
                <w:sz w:val="16"/>
                <w:szCs w:val="16"/>
              </w:rPr>
              <w:t>1,931.6 </w:t>
            </w:r>
          </w:p>
        </w:tc>
        <w:tc>
          <w:tcPr>
            <w:tcW w:w="0" w:type="auto"/>
            <w:shd w:val="clear" w:color="auto" w:fill="FFFFFF"/>
            <w:tcMar>
              <w:top w:w="30" w:type="dxa"/>
              <w:left w:w="0" w:type="dxa"/>
              <w:bottom w:w="30" w:type="dxa"/>
              <w:right w:w="20" w:type="dxa"/>
            </w:tcMar>
            <w:vAlign w:val="bottom"/>
            <w:hideMark/>
          </w:tcPr>
          <w:p w14:paraId="68B7BDB4" w14:textId="77777777" w:rsidR="00000000" w:rsidRDefault="00C01C43">
            <w:pPr>
              <w:jc w:val="right"/>
              <w:rPr>
                <w:rFonts w:eastAsia="Times New Roman"/>
              </w:rPr>
            </w:pPr>
          </w:p>
        </w:tc>
      </w:tr>
      <w:tr w:rsidR="00000000" w14:paraId="6ADFCA81" w14:textId="77777777">
        <w:trPr>
          <w:divId w:val="588999194"/>
        </w:trPr>
        <w:tc>
          <w:tcPr>
            <w:tcW w:w="0" w:type="auto"/>
            <w:gridSpan w:val="3"/>
            <w:shd w:val="clear" w:color="auto" w:fill="CCEEFF"/>
            <w:tcMar>
              <w:top w:w="30" w:type="dxa"/>
              <w:left w:w="20" w:type="dxa"/>
              <w:bottom w:w="30" w:type="dxa"/>
              <w:right w:w="20" w:type="dxa"/>
            </w:tcMar>
            <w:vAlign w:val="bottom"/>
            <w:hideMark/>
          </w:tcPr>
          <w:p w14:paraId="4804230E" w14:textId="77777777" w:rsidR="00000000" w:rsidRDefault="00C01C43">
            <w:pPr>
              <w:rPr>
                <w:rFonts w:eastAsia="Times New Roman"/>
              </w:rPr>
            </w:pPr>
            <w:r>
              <w:rPr>
                <w:rFonts w:ascii="Arial" w:eastAsia="Times New Roman" w:hAnsi="Arial" w:cs="Arial"/>
                <w:color w:val="000000"/>
                <w:sz w:val="16"/>
                <w:szCs w:val="16"/>
              </w:rPr>
              <w:t>Land</w:t>
            </w:r>
          </w:p>
        </w:tc>
        <w:tc>
          <w:tcPr>
            <w:tcW w:w="0" w:type="auto"/>
            <w:gridSpan w:val="3"/>
            <w:shd w:val="clear" w:color="auto" w:fill="CCEEFF"/>
            <w:tcMar>
              <w:top w:w="0" w:type="dxa"/>
              <w:left w:w="20" w:type="dxa"/>
              <w:bottom w:w="0" w:type="dxa"/>
              <w:right w:w="20" w:type="dxa"/>
            </w:tcMar>
            <w:vAlign w:val="center"/>
            <w:hideMark/>
          </w:tcPr>
          <w:p w14:paraId="61C1B9F5"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07DF18" w14:textId="77777777" w:rsidR="00000000" w:rsidRDefault="00C01C43">
            <w:pPr>
              <w:jc w:val="right"/>
              <w:rPr>
                <w:rFonts w:eastAsia="Times New Roman"/>
              </w:rPr>
            </w:pPr>
            <w:r>
              <w:rPr>
                <w:rFonts w:ascii="Arial" w:eastAsia="Times New Roman" w:hAnsi="Arial" w:cs="Arial"/>
                <w:color w:val="000000"/>
                <w:sz w:val="16"/>
                <w:szCs w:val="16"/>
              </w:rPr>
              <w:t>440.1 </w:t>
            </w:r>
          </w:p>
        </w:tc>
        <w:tc>
          <w:tcPr>
            <w:tcW w:w="0" w:type="auto"/>
            <w:shd w:val="clear" w:color="auto" w:fill="CCEEFF"/>
            <w:tcMar>
              <w:top w:w="30" w:type="dxa"/>
              <w:left w:w="0" w:type="dxa"/>
              <w:bottom w:w="30" w:type="dxa"/>
              <w:right w:w="20" w:type="dxa"/>
            </w:tcMar>
            <w:vAlign w:val="bottom"/>
            <w:hideMark/>
          </w:tcPr>
          <w:p w14:paraId="2906758F"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8C09E"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626D27" w14:textId="77777777" w:rsidR="00000000" w:rsidRDefault="00C01C43">
            <w:pPr>
              <w:jc w:val="right"/>
              <w:rPr>
                <w:rFonts w:eastAsia="Times New Roman"/>
              </w:rPr>
            </w:pPr>
            <w:r>
              <w:rPr>
                <w:rFonts w:ascii="Arial" w:eastAsia="Times New Roman" w:hAnsi="Arial" w:cs="Arial"/>
                <w:color w:val="000000"/>
                <w:sz w:val="16"/>
                <w:szCs w:val="16"/>
              </w:rPr>
              <w:t>612.4 </w:t>
            </w:r>
          </w:p>
        </w:tc>
        <w:tc>
          <w:tcPr>
            <w:tcW w:w="0" w:type="auto"/>
            <w:shd w:val="clear" w:color="auto" w:fill="CCEEFF"/>
            <w:tcMar>
              <w:top w:w="30" w:type="dxa"/>
              <w:left w:w="0" w:type="dxa"/>
              <w:bottom w:w="30" w:type="dxa"/>
              <w:right w:w="20" w:type="dxa"/>
            </w:tcMar>
            <w:vAlign w:val="bottom"/>
            <w:hideMark/>
          </w:tcPr>
          <w:p w14:paraId="48023F78"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49B15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243848" w14:textId="77777777" w:rsidR="00000000" w:rsidRDefault="00C01C43">
            <w:pPr>
              <w:jc w:val="right"/>
              <w:rPr>
                <w:rFonts w:eastAsia="Times New Roman"/>
              </w:rPr>
            </w:pPr>
            <w:r>
              <w:rPr>
                <w:rFonts w:ascii="Arial" w:eastAsia="Times New Roman" w:hAnsi="Arial" w:cs="Arial"/>
                <w:color w:val="000000"/>
                <w:sz w:val="16"/>
                <w:szCs w:val="16"/>
              </w:rPr>
              <w:t>631.8 </w:t>
            </w:r>
          </w:p>
        </w:tc>
        <w:tc>
          <w:tcPr>
            <w:tcW w:w="0" w:type="auto"/>
            <w:shd w:val="clear" w:color="auto" w:fill="CCEEFF"/>
            <w:tcMar>
              <w:top w:w="30" w:type="dxa"/>
              <w:left w:w="0" w:type="dxa"/>
              <w:bottom w:w="30" w:type="dxa"/>
              <w:right w:w="20" w:type="dxa"/>
            </w:tcMar>
            <w:vAlign w:val="bottom"/>
            <w:hideMark/>
          </w:tcPr>
          <w:p w14:paraId="77900369" w14:textId="77777777" w:rsidR="00000000" w:rsidRDefault="00C01C43">
            <w:pPr>
              <w:jc w:val="right"/>
              <w:rPr>
                <w:rFonts w:eastAsia="Times New Roman"/>
              </w:rPr>
            </w:pPr>
          </w:p>
        </w:tc>
      </w:tr>
      <w:tr w:rsidR="00000000" w14:paraId="781E9441" w14:textId="77777777">
        <w:trPr>
          <w:divId w:val="588999194"/>
        </w:trPr>
        <w:tc>
          <w:tcPr>
            <w:tcW w:w="0" w:type="auto"/>
            <w:gridSpan w:val="3"/>
            <w:shd w:val="clear" w:color="auto" w:fill="FFFFFF"/>
            <w:tcMar>
              <w:top w:w="30" w:type="dxa"/>
              <w:left w:w="20" w:type="dxa"/>
              <w:bottom w:w="30" w:type="dxa"/>
              <w:right w:w="20" w:type="dxa"/>
            </w:tcMar>
            <w:vAlign w:val="bottom"/>
            <w:hideMark/>
          </w:tcPr>
          <w:p w14:paraId="26689E57" w14:textId="77777777" w:rsidR="00000000" w:rsidRDefault="00C01C43">
            <w:pPr>
              <w:rPr>
                <w:rFonts w:eastAsia="Times New Roman"/>
              </w:rPr>
            </w:pPr>
            <w:r>
              <w:rPr>
                <w:rFonts w:ascii="Arial" w:eastAsia="Times New Roman" w:hAnsi="Arial" w:cs="Arial"/>
                <w:color w:val="000000"/>
                <w:sz w:val="16"/>
                <w:szCs w:val="16"/>
              </w:rPr>
              <w:t>Marine</w:t>
            </w:r>
          </w:p>
        </w:tc>
        <w:tc>
          <w:tcPr>
            <w:tcW w:w="0" w:type="auto"/>
            <w:gridSpan w:val="3"/>
            <w:shd w:val="clear" w:color="auto" w:fill="FFFFFF"/>
            <w:tcMar>
              <w:top w:w="0" w:type="dxa"/>
              <w:left w:w="20" w:type="dxa"/>
              <w:bottom w:w="0" w:type="dxa"/>
              <w:right w:w="20" w:type="dxa"/>
            </w:tcMar>
            <w:vAlign w:val="center"/>
            <w:hideMark/>
          </w:tcPr>
          <w:p w14:paraId="168F439A"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21362D" w14:textId="77777777" w:rsidR="00000000" w:rsidRDefault="00C01C43">
            <w:pPr>
              <w:jc w:val="right"/>
              <w:rPr>
                <w:rFonts w:eastAsia="Times New Roman"/>
              </w:rPr>
            </w:pPr>
            <w:r>
              <w:rPr>
                <w:rFonts w:ascii="Arial" w:eastAsia="Times New Roman" w:hAnsi="Arial" w:cs="Arial"/>
                <w:color w:val="000000"/>
                <w:sz w:val="16"/>
                <w:szCs w:val="16"/>
              </w:rPr>
              <w:t>483.5 </w:t>
            </w:r>
          </w:p>
        </w:tc>
        <w:tc>
          <w:tcPr>
            <w:tcW w:w="0" w:type="auto"/>
            <w:shd w:val="clear" w:color="auto" w:fill="FFFFFF"/>
            <w:tcMar>
              <w:top w:w="30" w:type="dxa"/>
              <w:left w:w="0" w:type="dxa"/>
              <w:bottom w:w="30" w:type="dxa"/>
              <w:right w:w="20" w:type="dxa"/>
            </w:tcMar>
            <w:vAlign w:val="bottom"/>
            <w:hideMark/>
          </w:tcPr>
          <w:p w14:paraId="42281DE9"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104B0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1A83FD" w14:textId="77777777" w:rsidR="00000000" w:rsidRDefault="00C01C43">
            <w:pPr>
              <w:jc w:val="right"/>
              <w:rPr>
                <w:rFonts w:eastAsia="Times New Roman"/>
              </w:rPr>
            </w:pPr>
            <w:r>
              <w:rPr>
                <w:rFonts w:ascii="Arial" w:eastAsia="Times New Roman" w:hAnsi="Arial" w:cs="Arial"/>
                <w:color w:val="000000"/>
                <w:sz w:val="16"/>
                <w:szCs w:val="16"/>
              </w:rPr>
              <w:t>678.1 </w:t>
            </w:r>
          </w:p>
        </w:tc>
        <w:tc>
          <w:tcPr>
            <w:tcW w:w="0" w:type="auto"/>
            <w:shd w:val="clear" w:color="auto" w:fill="FFFFFF"/>
            <w:tcMar>
              <w:top w:w="30" w:type="dxa"/>
              <w:left w:w="0" w:type="dxa"/>
              <w:bottom w:w="30" w:type="dxa"/>
              <w:right w:w="20" w:type="dxa"/>
            </w:tcMar>
            <w:vAlign w:val="bottom"/>
            <w:hideMark/>
          </w:tcPr>
          <w:p w14:paraId="484648D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654855"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94B1C2" w14:textId="77777777" w:rsidR="00000000" w:rsidRDefault="00C01C43">
            <w:pPr>
              <w:jc w:val="right"/>
              <w:rPr>
                <w:rFonts w:eastAsia="Times New Roman"/>
              </w:rPr>
            </w:pPr>
            <w:r>
              <w:rPr>
                <w:rFonts w:ascii="Arial" w:eastAsia="Times New Roman" w:hAnsi="Arial" w:cs="Arial"/>
                <w:color w:val="000000"/>
                <w:sz w:val="16"/>
                <w:szCs w:val="16"/>
              </w:rPr>
              <w:t>610.2 </w:t>
            </w:r>
          </w:p>
        </w:tc>
        <w:tc>
          <w:tcPr>
            <w:tcW w:w="0" w:type="auto"/>
            <w:shd w:val="clear" w:color="auto" w:fill="FFFFFF"/>
            <w:tcMar>
              <w:top w:w="30" w:type="dxa"/>
              <w:left w:w="0" w:type="dxa"/>
              <w:bottom w:w="30" w:type="dxa"/>
              <w:right w:w="20" w:type="dxa"/>
            </w:tcMar>
            <w:vAlign w:val="bottom"/>
            <w:hideMark/>
          </w:tcPr>
          <w:p w14:paraId="6E7420E3" w14:textId="77777777" w:rsidR="00000000" w:rsidRDefault="00C01C43">
            <w:pPr>
              <w:jc w:val="right"/>
              <w:rPr>
                <w:rFonts w:eastAsia="Times New Roman"/>
              </w:rPr>
            </w:pPr>
          </w:p>
        </w:tc>
      </w:tr>
      <w:tr w:rsidR="00000000" w14:paraId="6E3DA814" w14:textId="77777777">
        <w:trPr>
          <w:divId w:val="588999194"/>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14:paraId="482A821D" w14:textId="77777777" w:rsidR="00000000" w:rsidRDefault="00C01C43">
            <w:pPr>
              <w:rPr>
                <w:rFonts w:eastAsia="Times New Roman"/>
              </w:rPr>
            </w:pPr>
            <w:r>
              <w:rPr>
                <w:rFonts w:ascii="Arial" w:eastAsia="Times New Roman" w:hAnsi="Arial" w:cs="Arial"/>
                <w:color w:val="000000"/>
                <w:sz w:val="16"/>
                <w:szCs w:val="16"/>
              </w:rPr>
              <w:t>LATAM</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CE8028" w14:textId="77777777" w:rsidR="00000000" w:rsidRDefault="00C01C4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174E69" w14:textId="77777777" w:rsidR="00000000" w:rsidRDefault="00C01C43">
            <w:pPr>
              <w:jc w:val="right"/>
              <w:rPr>
                <w:rFonts w:eastAsia="Times New Roman"/>
              </w:rPr>
            </w:pPr>
            <w:r>
              <w:rPr>
                <w:rFonts w:ascii="Arial" w:eastAsia="Times New Roman" w:hAnsi="Arial" w:cs="Arial"/>
                <w:color w:val="000000"/>
                <w:sz w:val="16"/>
                <w:szCs w:val="16"/>
              </w:rPr>
              <w:t>1,993.5 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27B762"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B30F01"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53827D" w14:textId="77777777" w:rsidR="00000000" w:rsidRDefault="00C01C43">
            <w:pPr>
              <w:jc w:val="right"/>
              <w:rPr>
                <w:rFonts w:eastAsia="Times New Roman"/>
              </w:rPr>
            </w:pPr>
            <w:r>
              <w:rPr>
                <w:rFonts w:ascii="Arial" w:eastAsia="Times New Roman" w:hAnsi="Arial" w:cs="Arial"/>
                <w:color w:val="000000"/>
                <w:sz w:val="16"/>
                <w:szCs w:val="16"/>
              </w:rPr>
              <w:t>3,637.7 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C1C941"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52A644"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C16F05" w14:textId="77777777" w:rsidR="00000000" w:rsidRDefault="00C01C43">
            <w:pPr>
              <w:jc w:val="right"/>
              <w:rPr>
                <w:rFonts w:eastAsia="Times New Roman"/>
              </w:rPr>
            </w:pPr>
            <w:r>
              <w:rPr>
                <w:rFonts w:ascii="Arial" w:eastAsia="Times New Roman" w:hAnsi="Arial" w:cs="Arial"/>
                <w:color w:val="000000"/>
                <w:sz w:val="16"/>
                <w:szCs w:val="16"/>
              </w:rPr>
              <w:t>3,173.6 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CCF772" w14:textId="77777777" w:rsidR="00000000" w:rsidRDefault="00C01C43">
            <w:pPr>
              <w:jc w:val="right"/>
              <w:rPr>
                <w:rFonts w:eastAsia="Times New Roman"/>
              </w:rPr>
            </w:pPr>
          </w:p>
        </w:tc>
      </w:tr>
      <w:tr w:rsidR="00000000" w14:paraId="12A16753" w14:textId="77777777">
        <w:trPr>
          <w:divId w:val="588999194"/>
          <w:trHeight w:val="240"/>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E65F509"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763828"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5520DD"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EDA78F5"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5F0B19"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F398B7B"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A8DFE0" w14:textId="77777777" w:rsidR="00000000" w:rsidRDefault="00C01C43">
            <w:pPr>
              <w:rPr>
                <w:rFonts w:eastAsia="Times New Roman"/>
                <w:sz w:val="20"/>
                <w:szCs w:val="20"/>
              </w:rPr>
            </w:pPr>
          </w:p>
        </w:tc>
      </w:tr>
      <w:tr w:rsidR="00000000" w14:paraId="10F88F3B" w14:textId="77777777">
        <w:trPr>
          <w:divId w:val="588999194"/>
        </w:trPr>
        <w:tc>
          <w:tcPr>
            <w:tcW w:w="0" w:type="auto"/>
            <w:gridSpan w:val="3"/>
            <w:shd w:val="clear" w:color="auto" w:fill="CCEEFF"/>
            <w:tcMar>
              <w:top w:w="30" w:type="dxa"/>
              <w:left w:w="20" w:type="dxa"/>
              <w:bottom w:w="30" w:type="dxa"/>
              <w:right w:w="20" w:type="dxa"/>
            </w:tcMar>
            <w:vAlign w:val="bottom"/>
            <w:hideMark/>
          </w:tcPr>
          <w:p w14:paraId="5505918D" w14:textId="77777777" w:rsidR="00000000" w:rsidRDefault="00C01C43">
            <w:pPr>
              <w:rPr>
                <w:rFonts w:eastAsia="Times New Roman"/>
              </w:rPr>
            </w:pPr>
            <w:r>
              <w:rPr>
                <w:rFonts w:ascii="Arial" w:eastAsia="Times New Roman" w:hAnsi="Arial" w:cs="Arial"/>
                <w:color w:val="000000"/>
                <w:sz w:val="16"/>
                <w:szCs w:val="16"/>
              </w:rPr>
              <w:t>Aviation</w:t>
            </w:r>
          </w:p>
        </w:tc>
        <w:tc>
          <w:tcPr>
            <w:tcW w:w="0" w:type="auto"/>
            <w:gridSpan w:val="3"/>
            <w:shd w:val="clear" w:color="auto" w:fill="CCEEFF"/>
            <w:tcMar>
              <w:top w:w="0" w:type="dxa"/>
              <w:left w:w="20" w:type="dxa"/>
              <w:bottom w:w="0" w:type="dxa"/>
              <w:right w:w="20" w:type="dxa"/>
            </w:tcMar>
            <w:vAlign w:val="center"/>
            <w:hideMark/>
          </w:tcPr>
          <w:p w14:paraId="51ADA31E"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578806" w14:textId="77777777" w:rsidR="00000000" w:rsidRDefault="00C01C43">
            <w:pPr>
              <w:jc w:val="right"/>
              <w:rPr>
                <w:rFonts w:eastAsia="Times New Roman"/>
              </w:rPr>
            </w:pPr>
            <w:r>
              <w:rPr>
                <w:rFonts w:ascii="Arial" w:eastAsia="Times New Roman" w:hAnsi="Arial" w:cs="Arial"/>
                <w:color w:val="000000"/>
                <w:sz w:val="16"/>
                <w:szCs w:val="16"/>
              </w:rPr>
              <w:t>4,618.4 </w:t>
            </w:r>
          </w:p>
        </w:tc>
        <w:tc>
          <w:tcPr>
            <w:tcW w:w="0" w:type="auto"/>
            <w:shd w:val="clear" w:color="auto" w:fill="CCEEFF"/>
            <w:tcMar>
              <w:top w:w="30" w:type="dxa"/>
              <w:left w:w="0" w:type="dxa"/>
              <w:bottom w:w="30" w:type="dxa"/>
              <w:right w:w="20" w:type="dxa"/>
            </w:tcMar>
            <w:vAlign w:val="bottom"/>
            <w:hideMark/>
          </w:tcPr>
          <w:p w14:paraId="720A04A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615689"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416D90" w14:textId="77777777" w:rsidR="00000000" w:rsidRDefault="00C01C43">
            <w:pPr>
              <w:jc w:val="right"/>
              <w:rPr>
                <w:rFonts w:eastAsia="Times New Roman"/>
              </w:rPr>
            </w:pPr>
            <w:r>
              <w:rPr>
                <w:rFonts w:ascii="Arial" w:eastAsia="Times New Roman" w:hAnsi="Arial" w:cs="Arial"/>
                <w:color w:val="000000"/>
                <w:sz w:val="16"/>
                <w:szCs w:val="16"/>
              </w:rPr>
              <w:t>10,933.0 </w:t>
            </w:r>
          </w:p>
        </w:tc>
        <w:tc>
          <w:tcPr>
            <w:tcW w:w="0" w:type="auto"/>
            <w:shd w:val="clear" w:color="auto" w:fill="CCEEFF"/>
            <w:tcMar>
              <w:top w:w="30" w:type="dxa"/>
              <w:left w:w="0" w:type="dxa"/>
              <w:bottom w:w="30" w:type="dxa"/>
              <w:right w:w="20" w:type="dxa"/>
            </w:tcMar>
            <w:vAlign w:val="bottom"/>
            <w:hideMark/>
          </w:tcPr>
          <w:p w14:paraId="2314CBBC"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D8BB6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9A0933" w14:textId="77777777" w:rsidR="00000000" w:rsidRDefault="00C01C43">
            <w:pPr>
              <w:jc w:val="right"/>
              <w:rPr>
                <w:rFonts w:eastAsia="Times New Roman"/>
              </w:rPr>
            </w:pPr>
            <w:r>
              <w:rPr>
                <w:rFonts w:ascii="Arial" w:eastAsia="Times New Roman" w:hAnsi="Arial" w:cs="Arial"/>
                <w:color w:val="000000"/>
                <w:sz w:val="16"/>
                <w:szCs w:val="16"/>
              </w:rPr>
              <w:t>12,025.7 </w:t>
            </w:r>
          </w:p>
        </w:tc>
        <w:tc>
          <w:tcPr>
            <w:tcW w:w="0" w:type="auto"/>
            <w:shd w:val="clear" w:color="auto" w:fill="CCEEFF"/>
            <w:tcMar>
              <w:top w:w="30" w:type="dxa"/>
              <w:left w:w="0" w:type="dxa"/>
              <w:bottom w:w="30" w:type="dxa"/>
              <w:right w:w="20" w:type="dxa"/>
            </w:tcMar>
            <w:vAlign w:val="bottom"/>
            <w:hideMark/>
          </w:tcPr>
          <w:p w14:paraId="785FDEF0" w14:textId="77777777" w:rsidR="00000000" w:rsidRDefault="00C01C43">
            <w:pPr>
              <w:jc w:val="right"/>
              <w:rPr>
                <w:rFonts w:eastAsia="Times New Roman"/>
              </w:rPr>
            </w:pPr>
          </w:p>
        </w:tc>
      </w:tr>
      <w:tr w:rsidR="00000000" w14:paraId="66E8780E" w14:textId="77777777">
        <w:trPr>
          <w:divId w:val="588999194"/>
        </w:trPr>
        <w:tc>
          <w:tcPr>
            <w:tcW w:w="0" w:type="auto"/>
            <w:gridSpan w:val="3"/>
            <w:shd w:val="clear" w:color="auto" w:fill="FFFFFF"/>
            <w:tcMar>
              <w:top w:w="30" w:type="dxa"/>
              <w:left w:w="20" w:type="dxa"/>
              <w:bottom w:w="30" w:type="dxa"/>
              <w:right w:w="20" w:type="dxa"/>
            </w:tcMar>
            <w:vAlign w:val="bottom"/>
            <w:hideMark/>
          </w:tcPr>
          <w:p w14:paraId="2A9B8F98" w14:textId="77777777" w:rsidR="00000000" w:rsidRDefault="00C01C43">
            <w:pPr>
              <w:rPr>
                <w:rFonts w:eastAsia="Times New Roman"/>
              </w:rPr>
            </w:pPr>
            <w:r>
              <w:rPr>
                <w:rFonts w:ascii="Arial" w:eastAsia="Times New Roman" w:hAnsi="Arial" w:cs="Arial"/>
                <w:color w:val="000000"/>
                <w:sz w:val="16"/>
                <w:szCs w:val="16"/>
              </w:rPr>
              <w:t>Land</w:t>
            </w:r>
          </w:p>
        </w:tc>
        <w:tc>
          <w:tcPr>
            <w:tcW w:w="0" w:type="auto"/>
            <w:gridSpan w:val="3"/>
            <w:shd w:val="clear" w:color="auto" w:fill="FFFFFF"/>
            <w:tcMar>
              <w:top w:w="0" w:type="dxa"/>
              <w:left w:w="20" w:type="dxa"/>
              <w:bottom w:w="0" w:type="dxa"/>
              <w:right w:w="20" w:type="dxa"/>
            </w:tcMar>
            <w:vAlign w:val="center"/>
            <w:hideMark/>
          </w:tcPr>
          <w:p w14:paraId="2CE086CC"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A00C03" w14:textId="77777777" w:rsidR="00000000" w:rsidRDefault="00C01C43">
            <w:pPr>
              <w:jc w:val="right"/>
              <w:rPr>
                <w:rFonts w:eastAsia="Times New Roman"/>
              </w:rPr>
            </w:pPr>
            <w:r>
              <w:rPr>
                <w:rFonts w:ascii="Arial" w:eastAsia="Times New Roman" w:hAnsi="Arial" w:cs="Arial"/>
                <w:color w:val="000000"/>
                <w:sz w:val="16"/>
                <w:szCs w:val="16"/>
              </w:rPr>
              <w:t>4,359.6 </w:t>
            </w:r>
          </w:p>
        </w:tc>
        <w:tc>
          <w:tcPr>
            <w:tcW w:w="0" w:type="auto"/>
            <w:shd w:val="clear" w:color="auto" w:fill="FFFFFF"/>
            <w:tcMar>
              <w:top w:w="30" w:type="dxa"/>
              <w:left w:w="0" w:type="dxa"/>
              <w:bottom w:w="30" w:type="dxa"/>
              <w:right w:w="20" w:type="dxa"/>
            </w:tcMar>
            <w:vAlign w:val="bottom"/>
            <w:hideMark/>
          </w:tcPr>
          <w:p w14:paraId="62F9A90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56401"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6A4FA1" w14:textId="77777777" w:rsidR="00000000" w:rsidRDefault="00C01C43">
            <w:pPr>
              <w:jc w:val="right"/>
              <w:rPr>
                <w:rFonts w:eastAsia="Times New Roman"/>
              </w:rPr>
            </w:pPr>
            <w:r>
              <w:rPr>
                <w:rFonts w:ascii="Arial" w:eastAsia="Times New Roman" w:hAnsi="Arial" w:cs="Arial"/>
                <w:color w:val="000000"/>
                <w:sz w:val="16"/>
                <w:szCs w:val="16"/>
              </w:rPr>
              <w:t>7,017.0 </w:t>
            </w:r>
          </w:p>
        </w:tc>
        <w:tc>
          <w:tcPr>
            <w:tcW w:w="0" w:type="auto"/>
            <w:shd w:val="clear" w:color="auto" w:fill="FFFFFF"/>
            <w:tcMar>
              <w:top w:w="30" w:type="dxa"/>
              <w:left w:w="0" w:type="dxa"/>
              <w:bottom w:w="30" w:type="dxa"/>
              <w:right w:w="20" w:type="dxa"/>
            </w:tcMar>
            <w:vAlign w:val="bottom"/>
            <w:hideMark/>
          </w:tcPr>
          <w:p w14:paraId="387DC87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7FD27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B9441E" w14:textId="77777777" w:rsidR="00000000" w:rsidRDefault="00C01C43">
            <w:pPr>
              <w:jc w:val="right"/>
              <w:rPr>
                <w:rFonts w:eastAsia="Times New Roman"/>
              </w:rPr>
            </w:pPr>
            <w:r>
              <w:rPr>
                <w:rFonts w:ascii="Arial" w:eastAsia="Times New Roman" w:hAnsi="Arial" w:cs="Arial"/>
                <w:color w:val="000000"/>
                <w:sz w:val="16"/>
                <w:szCs w:val="16"/>
              </w:rPr>
              <w:t>8,038.0 </w:t>
            </w:r>
          </w:p>
        </w:tc>
        <w:tc>
          <w:tcPr>
            <w:tcW w:w="0" w:type="auto"/>
            <w:shd w:val="clear" w:color="auto" w:fill="FFFFFF"/>
            <w:tcMar>
              <w:top w:w="30" w:type="dxa"/>
              <w:left w:w="0" w:type="dxa"/>
              <w:bottom w:w="30" w:type="dxa"/>
              <w:right w:w="20" w:type="dxa"/>
            </w:tcMar>
            <w:vAlign w:val="bottom"/>
            <w:hideMark/>
          </w:tcPr>
          <w:p w14:paraId="04771189" w14:textId="77777777" w:rsidR="00000000" w:rsidRDefault="00C01C43">
            <w:pPr>
              <w:jc w:val="right"/>
              <w:rPr>
                <w:rFonts w:eastAsia="Times New Roman"/>
              </w:rPr>
            </w:pPr>
          </w:p>
        </w:tc>
      </w:tr>
      <w:tr w:rsidR="00000000" w14:paraId="0B59A3AE" w14:textId="77777777">
        <w:trPr>
          <w:divId w:val="588999194"/>
        </w:trPr>
        <w:tc>
          <w:tcPr>
            <w:tcW w:w="0" w:type="auto"/>
            <w:gridSpan w:val="3"/>
            <w:shd w:val="clear" w:color="auto" w:fill="CCEEFF"/>
            <w:tcMar>
              <w:top w:w="30" w:type="dxa"/>
              <w:left w:w="20" w:type="dxa"/>
              <w:bottom w:w="30" w:type="dxa"/>
              <w:right w:w="20" w:type="dxa"/>
            </w:tcMar>
            <w:vAlign w:val="bottom"/>
            <w:hideMark/>
          </w:tcPr>
          <w:p w14:paraId="7F528F44" w14:textId="77777777" w:rsidR="00000000" w:rsidRDefault="00C01C43">
            <w:pPr>
              <w:rPr>
                <w:rFonts w:eastAsia="Times New Roman"/>
              </w:rPr>
            </w:pPr>
            <w:r>
              <w:rPr>
                <w:rFonts w:ascii="Arial" w:eastAsia="Times New Roman" w:hAnsi="Arial" w:cs="Arial"/>
                <w:color w:val="000000"/>
                <w:sz w:val="16"/>
                <w:szCs w:val="16"/>
              </w:rPr>
              <w:t>Marine</w:t>
            </w:r>
          </w:p>
        </w:tc>
        <w:tc>
          <w:tcPr>
            <w:tcW w:w="0" w:type="auto"/>
            <w:gridSpan w:val="3"/>
            <w:shd w:val="clear" w:color="auto" w:fill="CCEEFF"/>
            <w:tcMar>
              <w:top w:w="0" w:type="dxa"/>
              <w:left w:w="20" w:type="dxa"/>
              <w:bottom w:w="0" w:type="dxa"/>
              <w:right w:w="20" w:type="dxa"/>
            </w:tcMar>
            <w:vAlign w:val="center"/>
            <w:hideMark/>
          </w:tcPr>
          <w:p w14:paraId="1D4F3045"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FB979E" w14:textId="77777777" w:rsidR="00000000" w:rsidRDefault="00C01C43">
            <w:pPr>
              <w:jc w:val="right"/>
              <w:rPr>
                <w:rFonts w:eastAsia="Times New Roman"/>
              </w:rPr>
            </w:pPr>
            <w:r>
              <w:rPr>
                <w:rFonts w:ascii="Arial" w:eastAsia="Times New Roman" w:hAnsi="Arial" w:cs="Arial"/>
                <w:color w:val="000000"/>
                <w:sz w:val="16"/>
                <w:szCs w:val="16"/>
              </w:rPr>
              <w:t>851.6 </w:t>
            </w:r>
          </w:p>
        </w:tc>
        <w:tc>
          <w:tcPr>
            <w:tcW w:w="0" w:type="auto"/>
            <w:shd w:val="clear" w:color="auto" w:fill="CCEEFF"/>
            <w:tcMar>
              <w:top w:w="30" w:type="dxa"/>
              <w:left w:w="0" w:type="dxa"/>
              <w:bottom w:w="30" w:type="dxa"/>
              <w:right w:w="20" w:type="dxa"/>
            </w:tcMar>
            <w:vAlign w:val="bottom"/>
            <w:hideMark/>
          </w:tcPr>
          <w:p w14:paraId="2BF445FE"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2DE097"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0DDDFD" w14:textId="77777777" w:rsidR="00000000" w:rsidRDefault="00C01C43">
            <w:pPr>
              <w:jc w:val="right"/>
              <w:rPr>
                <w:rFonts w:eastAsia="Times New Roman"/>
              </w:rPr>
            </w:pPr>
            <w:r>
              <w:rPr>
                <w:rFonts w:ascii="Arial" w:eastAsia="Times New Roman" w:hAnsi="Arial" w:cs="Arial"/>
                <w:color w:val="000000"/>
                <w:sz w:val="16"/>
                <w:szCs w:val="16"/>
              </w:rPr>
              <w:t>1,415.2 </w:t>
            </w:r>
          </w:p>
        </w:tc>
        <w:tc>
          <w:tcPr>
            <w:tcW w:w="0" w:type="auto"/>
            <w:shd w:val="clear" w:color="auto" w:fill="CCEEFF"/>
            <w:tcMar>
              <w:top w:w="30" w:type="dxa"/>
              <w:left w:w="0" w:type="dxa"/>
              <w:bottom w:w="30" w:type="dxa"/>
              <w:right w:w="20" w:type="dxa"/>
            </w:tcMar>
            <w:vAlign w:val="bottom"/>
            <w:hideMark/>
          </w:tcPr>
          <w:p w14:paraId="1B0A2AA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2DFD1"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215A00" w14:textId="77777777" w:rsidR="00000000" w:rsidRDefault="00C01C43">
            <w:pPr>
              <w:jc w:val="right"/>
              <w:rPr>
                <w:rFonts w:eastAsia="Times New Roman"/>
              </w:rPr>
            </w:pPr>
            <w:r>
              <w:rPr>
                <w:rFonts w:ascii="Arial" w:eastAsia="Times New Roman" w:hAnsi="Arial" w:cs="Arial"/>
                <w:color w:val="000000"/>
                <w:sz w:val="16"/>
                <w:szCs w:val="16"/>
              </w:rPr>
              <w:t>1,480.5 </w:t>
            </w:r>
          </w:p>
        </w:tc>
        <w:tc>
          <w:tcPr>
            <w:tcW w:w="0" w:type="auto"/>
            <w:shd w:val="clear" w:color="auto" w:fill="CCEEFF"/>
            <w:tcMar>
              <w:top w:w="30" w:type="dxa"/>
              <w:left w:w="0" w:type="dxa"/>
              <w:bottom w:w="30" w:type="dxa"/>
              <w:right w:w="20" w:type="dxa"/>
            </w:tcMar>
            <w:vAlign w:val="bottom"/>
            <w:hideMark/>
          </w:tcPr>
          <w:p w14:paraId="5D867C41" w14:textId="77777777" w:rsidR="00000000" w:rsidRDefault="00C01C43">
            <w:pPr>
              <w:jc w:val="right"/>
              <w:rPr>
                <w:rFonts w:eastAsia="Times New Roman"/>
              </w:rPr>
            </w:pPr>
          </w:p>
        </w:tc>
      </w:tr>
      <w:tr w:rsidR="00000000" w14:paraId="70AA2FFD" w14:textId="77777777">
        <w:trPr>
          <w:divId w:val="588999194"/>
        </w:trPr>
        <w:tc>
          <w:tcPr>
            <w:tcW w:w="0" w:type="auto"/>
            <w:gridSpan w:val="3"/>
            <w:tcBorders>
              <w:top w:val="single" w:sz="8" w:space="0" w:color="000000"/>
            </w:tcBorders>
            <w:shd w:val="clear" w:color="auto" w:fill="FFFFFF"/>
            <w:tcMar>
              <w:top w:w="30" w:type="dxa"/>
              <w:left w:w="155" w:type="dxa"/>
              <w:bottom w:w="30" w:type="dxa"/>
              <w:right w:w="20" w:type="dxa"/>
            </w:tcMar>
            <w:vAlign w:val="bottom"/>
            <w:hideMark/>
          </w:tcPr>
          <w:p w14:paraId="08E90A6E" w14:textId="77777777" w:rsidR="00000000" w:rsidRDefault="00C01C43">
            <w:pPr>
              <w:rPr>
                <w:rFonts w:eastAsia="Times New Roman"/>
              </w:rPr>
            </w:pPr>
            <w:r>
              <w:rPr>
                <w:rFonts w:ascii="Arial" w:eastAsia="Times New Roman" w:hAnsi="Arial" w:cs="Arial"/>
                <w:color w:val="000000"/>
                <w:sz w:val="16"/>
                <w:szCs w:val="16"/>
              </w:rPr>
              <w:t>North America</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F41C49F" w14:textId="77777777" w:rsidR="00000000" w:rsidRDefault="00C01C4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20FD79" w14:textId="77777777" w:rsidR="00000000" w:rsidRDefault="00C01C43">
            <w:pPr>
              <w:jc w:val="right"/>
              <w:rPr>
                <w:rFonts w:eastAsia="Times New Roman"/>
              </w:rPr>
            </w:pPr>
            <w:r>
              <w:rPr>
                <w:rFonts w:ascii="Arial" w:eastAsia="Times New Roman" w:hAnsi="Arial" w:cs="Arial"/>
                <w:color w:val="000000"/>
                <w:sz w:val="16"/>
                <w:szCs w:val="16"/>
              </w:rPr>
              <w:t>9,829.6 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A8F296"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6F1FFD"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2AE8ED" w14:textId="77777777" w:rsidR="00000000" w:rsidRDefault="00C01C43">
            <w:pPr>
              <w:jc w:val="right"/>
              <w:rPr>
                <w:rFonts w:eastAsia="Times New Roman"/>
              </w:rPr>
            </w:pPr>
            <w:r>
              <w:rPr>
                <w:rFonts w:ascii="Arial" w:eastAsia="Times New Roman" w:hAnsi="Arial" w:cs="Arial"/>
                <w:color w:val="000000"/>
                <w:sz w:val="16"/>
                <w:szCs w:val="16"/>
              </w:rPr>
              <w:t>19,365.1 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36B8E5"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5FF923"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E5ACA7" w14:textId="77777777" w:rsidR="00000000" w:rsidRDefault="00C01C43">
            <w:pPr>
              <w:jc w:val="right"/>
              <w:rPr>
                <w:rFonts w:eastAsia="Times New Roman"/>
              </w:rPr>
            </w:pPr>
            <w:r>
              <w:rPr>
                <w:rFonts w:ascii="Arial" w:eastAsia="Times New Roman" w:hAnsi="Arial" w:cs="Arial"/>
                <w:color w:val="000000"/>
                <w:sz w:val="16"/>
                <w:szCs w:val="16"/>
              </w:rPr>
              <w:t>21,544.2 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1D3C97" w14:textId="77777777" w:rsidR="00000000" w:rsidRDefault="00C01C43">
            <w:pPr>
              <w:jc w:val="right"/>
              <w:rPr>
                <w:rFonts w:eastAsia="Times New Roman"/>
              </w:rPr>
            </w:pPr>
          </w:p>
        </w:tc>
      </w:tr>
      <w:tr w:rsidR="00000000" w14:paraId="3BCA2DEF" w14:textId="77777777">
        <w:trPr>
          <w:divId w:val="588999194"/>
          <w:trHeight w:val="240"/>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FFF385" w14:textId="77777777" w:rsidR="00000000" w:rsidRDefault="00C01C43">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2E23D6"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219F8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F1251B"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293F58"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6FF83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917F36" w14:textId="77777777" w:rsidR="00000000" w:rsidRDefault="00C01C43">
            <w:pPr>
              <w:rPr>
                <w:rFonts w:eastAsia="Times New Roman"/>
                <w:sz w:val="20"/>
                <w:szCs w:val="20"/>
              </w:rPr>
            </w:pPr>
          </w:p>
        </w:tc>
      </w:tr>
      <w:tr w:rsidR="00000000" w14:paraId="21CF2D10" w14:textId="77777777">
        <w:trPr>
          <w:divId w:val="588999194"/>
        </w:trPr>
        <w:tc>
          <w:tcPr>
            <w:tcW w:w="0" w:type="auto"/>
            <w:gridSpan w:val="3"/>
            <w:shd w:val="clear" w:color="auto" w:fill="FFFFFF"/>
            <w:tcMar>
              <w:top w:w="30" w:type="dxa"/>
              <w:left w:w="20" w:type="dxa"/>
              <w:bottom w:w="30" w:type="dxa"/>
              <w:right w:w="20" w:type="dxa"/>
            </w:tcMar>
            <w:vAlign w:val="bottom"/>
            <w:hideMark/>
          </w:tcPr>
          <w:p w14:paraId="5650F247" w14:textId="77777777" w:rsidR="00000000" w:rsidRDefault="00C01C43">
            <w:pPr>
              <w:rPr>
                <w:rFonts w:eastAsia="Times New Roman"/>
              </w:rPr>
            </w:pPr>
            <w:r>
              <w:rPr>
                <w:rFonts w:ascii="Arial" w:eastAsia="Times New Roman" w:hAnsi="Arial" w:cs="Arial"/>
                <w:color w:val="000000"/>
                <w:sz w:val="16"/>
                <w:szCs w:val="16"/>
              </w:rPr>
              <w:t>Other revenues (excluded from ASC 606)</w:t>
            </w:r>
          </w:p>
        </w:tc>
        <w:tc>
          <w:tcPr>
            <w:tcW w:w="0" w:type="auto"/>
            <w:gridSpan w:val="3"/>
            <w:shd w:val="clear" w:color="auto" w:fill="FFFFFF"/>
            <w:tcMar>
              <w:top w:w="0" w:type="dxa"/>
              <w:left w:w="20" w:type="dxa"/>
              <w:bottom w:w="0" w:type="dxa"/>
              <w:right w:w="20" w:type="dxa"/>
            </w:tcMar>
            <w:vAlign w:val="center"/>
            <w:hideMark/>
          </w:tcPr>
          <w:p w14:paraId="7A6B806E"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2AF8B8" w14:textId="77777777" w:rsidR="00000000" w:rsidRDefault="00C01C43">
            <w:pPr>
              <w:jc w:val="right"/>
              <w:rPr>
                <w:rFonts w:eastAsia="Times New Roman"/>
              </w:rPr>
            </w:pPr>
            <w:r>
              <w:rPr>
                <w:rFonts w:ascii="Arial" w:eastAsia="Times New Roman" w:hAnsi="Arial" w:cs="Arial"/>
                <w:color w:val="000000"/>
                <w:sz w:val="16"/>
                <w:szCs w:val="16"/>
              </w:rPr>
              <w:t>767.1 </w:t>
            </w:r>
          </w:p>
        </w:tc>
        <w:tc>
          <w:tcPr>
            <w:tcW w:w="0" w:type="auto"/>
            <w:shd w:val="clear" w:color="auto" w:fill="FFFFFF"/>
            <w:tcMar>
              <w:top w:w="30" w:type="dxa"/>
              <w:left w:w="0" w:type="dxa"/>
              <w:bottom w:w="30" w:type="dxa"/>
              <w:right w:w="20" w:type="dxa"/>
            </w:tcMar>
            <w:vAlign w:val="bottom"/>
            <w:hideMark/>
          </w:tcPr>
          <w:p w14:paraId="50946EF4"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7164C0"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32F8FC" w14:textId="77777777" w:rsidR="00000000" w:rsidRDefault="00C01C43">
            <w:pPr>
              <w:jc w:val="right"/>
              <w:rPr>
                <w:rFonts w:eastAsia="Times New Roman"/>
              </w:rPr>
            </w:pPr>
            <w:r>
              <w:rPr>
                <w:rFonts w:ascii="Arial" w:eastAsia="Times New Roman" w:hAnsi="Arial" w:cs="Arial"/>
                <w:color w:val="000000"/>
                <w:sz w:val="16"/>
                <w:szCs w:val="16"/>
              </w:rPr>
              <w:t>469.6 </w:t>
            </w:r>
          </w:p>
        </w:tc>
        <w:tc>
          <w:tcPr>
            <w:tcW w:w="0" w:type="auto"/>
            <w:shd w:val="clear" w:color="auto" w:fill="FFFFFF"/>
            <w:tcMar>
              <w:top w:w="30" w:type="dxa"/>
              <w:left w:w="0" w:type="dxa"/>
              <w:bottom w:w="30" w:type="dxa"/>
              <w:right w:w="20" w:type="dxa"/>
            </w:tcMar>
            <w:vAlign w:val="bottom"/>
            <w:hideMark/>
          </w:tcPr>
          <w:p w14:paraId="4486B037"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3118F"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658427" w14:textId="77777777" w:rsidR="00000000" w:rsidRDefault="00C01C43">
            <w:pPr>
              <w:jc w:val="right"/>
              <w:rPr>
                <w:rFonts w:eastAsia="Times New Roman"/>
              </w:rPr>
            </w:pPr>
            <w:r>
              <w:rPr>
                <w:rFonts w:ascii="Arial" w:eastAsia="Times New Roman" w:hAnsi="Arial" w:cs="Arial"/>
                <w:color w:val="000000"/>
                <w:sz w:val="16"/>
                <w:szCs w:val="16"/>
              </w:rPr>
              <w:t>559.0 </w:t>
            </w:r>
          </w:p>
        </w:tc>
        <w:tc>
          <w:tcPr>
            <w:tcW w:w="0" w:type="auto"/>
            <w:shd w:val="clear" w:color="auto" w:fill="FFFFFF"/>
            <w:tcMar>
              <w:top w:w="30" w:type="dxa"/>
              <w:left w:w="0" w:type="dxa"/>
              <w:bottom w:w="30" w:type="dxa"/>
              <w:right w:w="20" w:type="dxa"/>
            </w:tcMar>
            <w:vAlign w:val="bottom"/>
            <w:hideMark/>
          </w:tcPr>
          <w:p w14:paraId="2B8B808B" w14:textId="77777777" w:rsidR="00000000" w:rsidRDefault="00C01C43">
            <w:pPr>
              <w:jc w:val="right"/>
              <w:rPr>
                <w:rFonts w:eastAsia="Times New Roman"/>
              </w:rPr>
            </w:pPr>
          </w:p>
        </w:tc>
      </w:tr>
      <w:tr w:rsidR="00000000" w14:paraId="682A35F2" w14:textId="77777777">
        <w:trPr>
          <w:divId w:val="588999194"/>
          <w:trHeight w:val="240"/>
        </w:trPr>
        <w:tc>
          <w:tcPr>
            <w:tcW w:w="0" w:type="auto"/>
            <w:gridSpan w:val="3"/>
            <w:shd w:val="clear" w:color="auto" w:fill="CCEEFF"/>
            <w:tcMar>
              <w:top w:w="0" w:type="dxa"/>
              <w:left w:w="20" w:type="dxa"/>
              <w:bottom w:w="0" w:type="dxa"/>
              <w:right w:w="20" w:type="dxa"/>
            </w:tcMar>
            <w:vAlign w:val="center"/>
            <w:hideMark/>
          </w:tcPr>
          <w:p w14:paraId="24008D1D" w14:textId="77777777" w:rsidR="00000000" w:rsidRDefault="00C01C4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326442"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3CFFD5"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2F6FA3"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DA9136"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01AC05"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3108C6" w14:textId="77777777" w:rsidR="00000000" w:rsidRDefault="00C01C43">
            <w:pPr>
              <w:rPr>
                <w:rFonts w:eastAsia="Times New Roman"/>
                <w:sz w:val="20"/>
                <w:szCs w:val="20"/>
              </w:rPr>
            </w:pPr>
          </w:p>
        </w:tc>
      </w:tr>
      <w:tr w:rsidR="00000000" w14:paraId="06AFCE37" w14:textId="77777777">
        <w:trPr>
          <w:divId w:val="588999194"/>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6647096" w14:textId="77777777" w:rsidR="00000000" w:rsidRDefault="00C01C43">
            <w:pPr>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6400501" w14:textId="77777777" w:rsidR="00000000" w:rsidRDefault="00C01C4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0CE164"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2F6DA2" w14:textId="77777777" w:rsidR="00000000" w:rsidRDefault="00C01C43">
            <w:pPr>
              <w:jc w:val="right"/>
              <w:rPr>
                <w:rFonts w:eastAsia="Times New Roman"/>
              </w:rPr>
            </w:pPr>
            <w:r>
              <w:rPr>
                <w:rFonts w:ascii="Arial" w:eastAsia="Times New Roman" w:hAnsi="Arial" w:cs="Arial"/>
                <w:color w:val="000000"/>
                <w:sz w:val="16"/>
                <w:szCs w:val="16"/>
              </w:rPr>
              <w:t>20,358.3 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8D8B15"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51D9D6A"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2CBDDA"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7C45EF" w14:textId="77777777" w:rsidR="00000000" w:rsidRDefault="00C01C43">
            <w:pPr>
              <w:jc w:val="right"/>
              <w:rPr>
                <w:rFonts w:eastAsia="Times New Roman"/>
              </w:rPr>
            </w:pPr>
            <w:r>
              <w:rPr>
                <w:rFonts w:ascii="Arial" w:eastAsia="Times New Roman" w:hAnsi="Arial" w:cs="Arial"/>
                <w:color w:val="000000"/>
                <w:sz w:val="16"/>
                <w:szCs w:val="16"/>
              </w:rPr>
              <w:t>36,819.0 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93D7D6"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7CC09CE"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A0EE3D"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DE08229" w14:textId="77777777" w:rsidR="00000000" w:rsidRDefault="00C01C43">
            <w:pPr>
              <w:jc w:val="right"/>
              <w:rPr>
                <w:rFonts w:eastAsia="Times New Roman"/>
              </w:rPr>
            </w:pPr>
            <w:r>
              <w:rPr>
                <w:rFonts w:ascii="Arial" w:eastAsia="Times New Roman" w:hAnsi="Arial" w:cs="Arial"/>
                <w:color w:val="000000"/>
                <w:sz w:val="16"/>
                <w:szCs w:val="16"/>
              </w:rPr>
              <w:t>39,750.3 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EE3D3B" w14:textId="77777777" w:rsidR="00000000" w:rsidRDefault="00C01C43">
            <w:pPr>
              <w:jc w:val="right"/>
              <w:rPr>
                <w:rFonts w:eastAsia="Times New Roman"/>
              </w:rPr>
            </w:pPr>
          </w:p>
        </w:tc>
      </w:tr>
    </w:tbl>
    <w:p w14:paraId="2186B5ED" w14:textId="77777777" w:rsidR="00000000" w:rsidRDefault="00C01C43">
      <w:pPr>
        <w:jc w:val="both"/>
        <w:divId w:val="348215909"/>
        <w:rPr>
          <w:rFonts w:eastAsia="Times New Roman"/>
        </w:rPr>
      </w:pPr>
      <w:r>
        <w:rPr>
          <w:rFonts w:ascii="Arial" w:eastAsia="Times New Roman" w:hAnsi="Arial" w:cs="Arial"/>
          <w:color w:val="000000"/>
          <w:sz w:val="20"/>
          <w:szCs w:val="20"/>
        </w:rPr>
        <w:t>Other revenues (excluded from ASC 606) in the table above includes revenue from leases and other transactions that we account for following separate guidance.</w:t>
      </w:r>
    </w:p>
    <w:p w14:paraId="47FE0370" w14:textId="77777777" w:rsidR="00000000" w:rsidRDefault="00C01C43">
      <w:pPr>
        <w:divId w:val="129787297"/>
        <w:rPr>
          <w:rFonts w:eastAsia="Times New Roman"/>
        </w:rPr>
      </w:pPr>
      <w:r>
        <w:rPr>
          <w:rFonts w:ascii="Arial" w:eastAsia="Times New Roman" w:hAnsi="Arial" w:cs="Arial"/>
          <w:b/>
          <w:bCs/>
          <w:color w:val="000000"/>
          <w:sz w:val="20"/>
          <w:szCs w:val="20"/>
        </w:rPr>
        <w:t>Accounts receivable, contract assets and co</w:t>
      </w:r>
      <w:r>
        <w:rPr>
          <w:rFonts w:ascii="Arial" w:eastAsia="Times New Roman" w:hAnsi="Arial" w:cs="Arial"/>
          <w:b/>
          <w:bCs/>
          <w:color w:val="000000"/>
          <w:sz w:val="20"/>
          <w:szCs w:val="20"/>
        </w:rPr>
        <w:t>ntract liabilities</w:t>
      </w:r>
    </w:p>
    <w:p w14:paraId="76D6BE52" w14:textId="77777777" w:rsidR="00000000" w:rsidRDefault="00C01C43">
      <w:pPr>
        <w:divId w:val="2099017871"/>
        <w:rPr>
          <w:rFonts w:eastAsia="Times New Roman"/>
        </w:rPr>
      </w:pPr>
    </w:p>
    <w:p w14:paraId="27503971" w14:textId="77777777" w:rsidR="00000000" w:rsidRDefault="00C01C43">
      <w:pPr>
        <w:jc w:val="both"/>
        <w:divId w:val="847214422"/>
        <w:rPr>
          <w:rFonts w:eastAsia="Times New Roman"/>
        </w:rPr>
      </w:pPr>
      <w:r>
        <w:rPr>
          <w:rFonts w:ascii="Arial" w:eastAsia="Times New Roman" w:hAnsi="Arial" w:cs="Arial"/>
          <w:color w:val="000000"/>
          <w:sz w:val="20"/>
          <w:szCs w:val="20"/>
        </w:rPr>
        <w:t>The nature of the receivables related to revenue from contracts with customers and other revenue, are substantially similar, given that they are generated from transactions with the same type of counterparties (e.g., separate fuel sale</w:t>
      </w:r>
      <w:r>
        <w:rPr>
          <w:rFonts w:ascii="Arial" w:eastAsia="Times New Roman" w:hAnsi="Arial" w:cs="Arial"/>
          <w:color w:val="000000"/>
          <w:sz w:val="20"/>
          <w:szCs w:val="20"/>
        </w:rPr>
        <w:t>s and storage lease with the same counterparty) and are entered into considering the same credit approval and monitoring procedures for all customers. As such, we believe the risk associated with the cash flows from the different types of receivables is no</w:t>
      </w:r>
      <w:r>
        <w:rPr>
          <w:rFonts w:ascii="Arial" w:eastAsia="Times New Roman" w:hAnsi="Arial" w:cs="Arial"/>
          <w:color w:val="000000"/>
          <w:sz w:val="20"/>
          <w:szCs w:val="20"/>
        </w:rPr>
        <w:t>t meaningful to separately disaggregate the Accounts receivable balance presented on our Consolidated Balance Sheet. Furthermore, as of December 31, 2020 and 2019, the contract assets and contracts liabilities recognized by the Company were not material.</w:t>
      </w:r>
    </w:p>
    <w:p w14:paraId="4BB85C06" w14:textId="77777777" w:rsidR="00000000" w:rsidRDefault="00C01C43">
      <w:pPr>
        <w:divId w:val="950817413"/>
        <w:rPr>
          <w:rFonts w:eastAsia="Times New Roman"/>
        </w:rPr>
      </w:pPr>
    </w:p>
    <w:p w14:paraId="7AAF1FF4" w14:textId="77777777" w:rsidR="00000000" w:rsidRDefault="00C01C43">
      <w:pPr>
        <w:jc w:val="center"/>
        <w:divId w:val="1429306545"/>
        <w:rPr>
          <w:rFonts w:eastAsia="Times New Roman"/>
        </w:rPr>
      </w:pPr>
      <w:r>
        <w:rPr>
          <w:rFonts w:ascii="Arial" w:eastAsia="Times New Roman" w:hAnsi="Arial" w:cs="Arial"/>
          <w:color w:val="000000"/>
          <w:sz w:val="16"/>
          <w:szCs w:val="16"/>
        </w:rPr>
        <w:t>89</w:t>
      </w:r>
    </w:p>
    <w:p w14:paraId="2B69C250" w14:textId="77777777" w:rsidR="00000000" w:rsidRDefault="00C01C43">
      <w:pPr>
        <w:rPr>
          <w:rFonts w:eastAsia="Times New Roman"/>
        </w:rPr>
      </w:pPr>
      <w:r>
        <w:rPr>
          <w:rFonts w:eastAsia="Times New Roman"/>
        </w:rPr>
        <w:pict w14:anchorId="163BBB6C">
          <v:rect id="_x0000_i1118" style="width:0;height:1.5pt" o:hralign="center" o:hrstd="t" o:hr="t" fillcolor="#a0a0a0" stroked="f"/>
        </w:pict>
      </w:r>
    </w:p>
    <w:p w14:paraId="1350357B" w14:textId="77777777" w:rsidR="00000000" w:rsidRDefault="00C01C43">
      <w:pPr>
        <w:divId w:val="1071848339"/>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07206EED" w14:textId="77777777" w:rsidR="00000000" w:rsidRDefault="00C01C43">
      <w:pPr>
        <w:jc w:val="both"/>
        <w:rPr>
          <w:rFonts w:eastAsia="Times New Roman"/>
        </w:rPr>
      </w:pPr>
      <w:r>
        <w:rPr>
          <w:rFonts w:ascii="Arial" w:eastAsia="Times New Roman" w:hAnsi="Arial" w:cs="Arial"/>
          <w:b/>
          <w:bCs/>
          <w:color w:val="000000"/>
          <w:sz w:val="20"/>
          <w:szCs w:val="20"/>
        </w:rPr>
        <w:t>15. Leases</w:t>
      </w:r>
    </w:p>
    <w:p w14:paraId="024C3944" w14:textId="77777777" w:rsidR="00000000" w:rsidRDefault="00C01C43">
      <w:pPr>
        <w:jc w:val="both"/>
        <w:rPr>
          <w:rFonts w:eastAsia="Times New Roman"/>
        </w:rPr>
      </w:pPr>
    </w:p>
    <w:p w14:paraId="413D9DE6" w14:textId="77777777" w:rsidR="00000000" w:rsidRDefault="00C01C43">
      <w:pPr>
        <w:jc w:val="both"/>
        <w:rPr>
          <w:rFonts w:eastAsia="Times New Roman"/>
        </w:rPr>
      </w:pPr>
      <w:r>
        <w:rPr>
          <w:rFonts w:ascii="Arial" w:eastAsia="Times New Roman" w:hAnsi="Arial" w:cs="Arial"/>
          <w:color w:val="000000"/>
          <w:sz w:val="20"/>
          <w:szCs w:val="20"/>
        </w:rPr>
        <w:t>We enter into lease arrangements for the use of offices, operational facilities, vehicles, vessels, storage tanks and other ass</w:t>
      </w:r>
      <w:r>
        <w:rPr>
          <w:rFonts w:ascii="Arial" w:eastAsia="Times New Roman" w:hAnsi="Arial" w:cs="Arial"/>
          <w:color w:val="000000"/>
          <w:sz w:val="20"/>
          <w:szCs w:val="20"/>
        </w:rPr>
        <w:t xml:space="preserve">ets for our operations around the world. Some of these leases are embedded within other arrangements. Some of these arrangements are for periods of twelve months or less, while others are for longer periods, and may include optional renewals, terminations </w:t>
      </w:r>
      <w:r>
        <w:rPr>
          <w:rFonts w:ascii="Arial" w:eastAsia="Times New Roman" w:hAnsi="Arial" w:cs="Arial"/>
          <w:color w:val="000000"/>
          <w:sz w:val="20"/>
          <w:szCs w:val="20"/>
        </w:rPr>
        <w:t xml:space="preserve">or purchase options, which are considered in our assessments when they are reasonably certain to occur. In addition, certain of these arrangements contain payments based on an index, market-based escalation or volume which may impact future payments. Most </w:t>
      </w:r>
      <w:r>
        <w:rPr>
          <w:rFonts w:ascii="Arial" w:eastAsia="Times New Roman" w:hAnsi="Arial" w:cs="Arial"/>
          <w:color w:val="000000"/>
          <w:sz w:val="20"/>
          <w:szCs w:val="20"/>
        </w:rPr>
        <w:t>of our leases typically contain general covenants, restrictions or requirements such as maintaining minimum insurance coverage.</w:t>
      </w:r>
    </w:p>
    <w:p w14:paraId="73DF633C" w14:textId="77777777" w:rsidR="00000000" w:rsidRDefault="00C01C43">
      <w:pPr>
        <w:jc w:val="both"/>
        <w:rPr>
          <w:rFonts w:eastAsia="Times New Roman"/>
        </w:rPr>
      </w:pPr>
    </w:p>
    <w:p w14:paraId="5BEEEE1B" w14:textId="77777777" w:rsidR="00000000" w:rsidRDefault="00C01C43">
      <w:pPr>
        <w:jc w:val="both"/>
        <w:rPr>
          <w:rFonts w:eastAsia="Times New Roman"/>
        </w:rPr>
      </w:pPr>
      <w:r>
        <w:rPr>
          <w:rFonts w:ascii="Arial" w:eastAsia="Times New Roman" w:hAnsi="Arial" w:cs="Arial"/>
          <w:color w:val="000000"/>
          <w:sz w:val="20"/>
          <w:szCs w:val="20"/>
        </w:rPr>
        <w:t>For the twelve months ended December </w:t>
      </w:r>
      <w:r>
        <w:rPr>
          <w:rFonts w:ascii="Arial" w:eastAsia="Times New Roman" w:hAnsi="Arial" w:cs="Arial"/>
          <w:color w:val="000000"/>
          <w:sz w:val="20"/>
          <w:szCs w:val="20"/>
        </w:rPr>
        <w:t>31, 2020 and 2019, we recognized the following total lease cost related to our lease arrangements (in millions):</w:t>
      </w:r>
    </w:p>
    <w:tbl>
      <w:tblPr>
        <w:tblW w:w="5000" w:type="pct"/>
        <w:tblCellMar>
          <w:top w:w="15" w:type="dxa"/>
          <w:left w:w="15" w:type="dxa"/>
          <w:bottom w:w="15" w:type="dxa"/>
          <w:right w:w="15" w:type="dxa"/>
        </w:tblCellMar>
        <w:tblLook w:val="04A0" w:firstRow="1" w:lastRow="0" w:firstColumn="1" w:lastColumn="0" w:noHBand="0" w:noVBand="1"/>
      </w:tblPr>
      <w:tblGrid>
        <w:gridCol w:w="44"/>
        <w:gridCol w:w="4571"/>
        <w:gridCol w:w="37"/>
        <w:gridCol w:w="109"/>
        <w:gridCol w:w="1631"/>
        <w:gridCol w:w="36"/>
        <w:gridCol w:w="36"/>
        <w:gridCol w:w="53"/>
        <w:gridCol w:w="36"/>
        <w:gridCol w:w="109"/>
        <w:gridCol w:w="1608"/>
        <w:gridCol w:w="36"/>
      </w:tblGrid>
      <w:tr w:rsidR="00000000" w14:paraId="3C06AA37" w14:textId="77777777">
        <w:trPr>
          <w:divId w:val="1025060524"/>
        </w:trPr>
        <w:tc>
          <w:tcPr>
            <w:tcW w:w="50" w:type="pct"/>
            <w:vAlign w:val="center"/>
            <w:hideMark/>
          </w:tcPr>
          <w:p w14:paraId="78315EA4" w14:textId="77777777" w:rsidR="00000000" w:rsidRDefault="00C01C43">
            <w:pPr>
              <w:jc w:val="both"/>
              <w:rPr>
                <w:rFonts w:eastAsia="Times New Roman"/>
              </w:rPr>
            </w:pPr>
          </w:p>
        </w:tc>
        <w:tc>
          <w:tcPr>
            <w:tcW w:w="2773" w:type="pct"/>
            <w:vAlign w:val="center"/>
            <w:hideMark/>
          </w:tcPr>
          <w:p w14:paraId="1908BBCE" w14:textId="77777777" w:rsidR="00000000" w:rsidRDefault="00C01C43">
            <w:pPr>
              <w:rPr>
                <w:rFonts w:eastAsia="Times New Roman"/>
                <w:sz w:val="20"/>
                <w:szCs w:val="20"/>
              </w:rPr>
            </w:pPr>
          </w:p>
        </w:tc>
        <w:tc>
          <w:tcPr>
            <w:tcW w:w="5" w:type="pct"/>
            <w:vAlign w:val="center"/>
            <w:hideMark/>
          </w:tcPr>
          <w:p w14:paraId="7F199BFC" w14:textId="77777777" w:rsidR="00000000" w:rsidRDefault="00C01C43">
            <w:pPr>
              <w:rPr>
                <w:rFonts w:eastAsia="Times New Roman"/>
                <w:sz w:val="20"/>
                <w:szCs w:val="20"/>
              </w:rPr>
            </w:pPr>
          </w:p>
        </w:tc>
        <w:tc>
          <w:tcPr>
            <w:tcW w:w="50" w:type="pct"/>
            <w:vAlign w:val="center"/>
            <w:hideMark/>
          </w:tcPr>
          <w:p w14:paraId="1481FDB3" w14:textId="77777777" w:rsidR="00000000" w:rsidRDefault="00C01C43">
            <w:pPr>
              <w:rPr>
                <w:rFonts w:eastAsia="Times New Roman"/>
                <w:sz w:val="20"/>
                <w:szCs w:val="20"/>
              </w:rPr>
            </w:pPr>
          </w:p>
        </w:tc>
        <w:tc>
          <w:tcPr>
            <w:tcW w:w="1004" w:type="pct"/>
            <w:vAlign w:val="center"/>
            <w:hideMark/>
          </w:tcPr>
          <w:p w14:paraId="59EE65E9" w14:textId="77777777" w:rsidR="00000000" w:rsidRDefault="00C01C43">
            <w:pPr>
              <w:rPr>
                <w:rFonts w:eastAsia="Times New Roman"/>
                <w:sz w:val="20"/>
                <w:szCs w:val="20"/>
              </w:rPr>
            </w:pPr>
          </w:p>
        </w:tc>
        <w:tc>
          <w:tcPr>
            <w:tcW w:w="5" w:type="pct"/>
            <w:vAlign w:val="center"/>
            <w:hideMark/>
          </w:tcPr>
          <w:p w14:paraId="29C88A17" w14:textId="77777777" w:rsidR="00000000" w:rsidRDefault="00C01C43">
            <w:pPr>
              <w:rPr>
                <w:rFonts w:eastAsia="Times New Roman"/>
                <w:sz w:val="20"/>
                <w:szCs w:val="20"/>
              </w:rPr>
            </w:pPr>
          </w:p>
        </w:tc>
        <w:tc>
          <w:tcPr>
            <w:tcW w:w="5" w:type="pct"/>
            <w:vAlign w:val="center"/>
            <w:hideMark/>
          </w:tcPr>
          <w:p w14:paraId="0D666428" w14:textId="77777777" w:rsidR="00000000" w:rsidRDefault="00C01C43">
            <w:pPr>
              <w:rPr>
                <w:rFonts w:eastAsia="Times New Roman"/>
                <w:sz w:val="20"/>
                <w:szCs w:val="20"/>
              </w:rPr>
            </w:pPr>
          </w:p>
        </w:tc>
        <w:tc>
          <w:tcPr>
            <w:tcW w:w="55" w:type="pct"/>
            <w:vAlign w:val="center"/>
            <w:hideMark/>
          </w:tcPr>
          <w:p w14:paraId="2C1D172B" w14:textId="77777777" w:rsidR="00000000" w:rsidRDefault="00C01C43">
            <w:pPr>
              <w:rPr>
                <w:rFonts w:eastAsia="Times New Roman"/>
                <w:sz w:val="20"/>
                <w:szCs w:val="20"/>
              </w:rPr>
            </w:pPr>
          </w:p>
        </w:tc>
        <w:tc>
          <w:tcPr>
            <w:tcW w:w="5" w:type="pct"/>
            <w:vAlign w:val="center"/>
            <w:hideMark/>
          </w:tcPr>
          <w:p w14:paraId="730E8EC8" w14:textId="77777777" w:rsidR="00000000" w:rsidRDefault="00C01C43">
            <w:pPr>
              <w:rPr>
                <w:rFonts w:eastAsia="Times New Roman"/>
                <w:sz w:val="20"/>
                <w:szCs w:val="20"/>
              </w:rPr>
            </w:pPr>
          </w:p>
        </w:tc>
        <w:tc>
          <w:tcPr>
            <w:tcW w:w="50" w:type="pct"/>
            <w:vAlign w:val="center"/>
            <w:hideMark/>
          </w:tcPr>
          <w:p w14:paraId="10887769" w14:textId="77777777" w:rsidR="00000000" w:rsidRDefault="00C01C43">
            <w:pPr>
              <w:rPr>
                <w:rFonts w:eastAsia="Times New Roman"/>
                <w:sz w:val="20"/>
                <w:szCs w:val="20"/>
              </w:rPr>
            </w:pPr>
          </w:p>
        </w:tc>
        <w:tc>
          <w:tcPr>
            <w:tcW w:w="990" w:type="pct"/>
            <w:vAlign w:val="center"/>
            <w:hideMark/>
          </w:tcPr>
          <w:p w14:paraId="5E59A839" w14:textId="77777777" w:rsidR="00000000" w:rsidRDefault="00C01C43">
            <w:pPr>
              <w:rPr>
                <w:rFonts w:eastAsia="Times New Roman"/>
                <w:sz w:val="20"/>
                <w:szCs w:val="20"/>
              </w:rPr>
            </w:pPr>
          </w:p>
        </w:tc>
        <w:tc>
          <w:tcPr>
            <w:tcW w:w="5" w:type="pct"/>
            <w:vAlign w:val="center"/>
            <w:hideMark/>
          </w:tcPr>
          <w:p w14:paraId="30976B93" w14:textId="77777777" w:rsidR="00000000" w:rsidRDefault="00C01C43">
            <w:pPr>
              <w:rPr>
                <w:rFonts w:eastAsia="Times New Roman"/>
                <w:sz w:val="20"/>
                <w:szCs w:val="20"/>
              </w:rPr>
            </w:pPr>
          </w:p>
        </w:tc>
      </w:tr>
      <w:tr w:rsidR="00000000" w14:paraId="59F55132" w14:textId="77777777">
        <w:trPr>
          <w:divId w:val="1025060524"/>
          <w:trHeight w:val="280"/>
        </w:trPr>
        <w:tc>
          <w:tcPr>
            <w:tcW w:w="0" w:type="auto"/>
            <w:gridSpan w:val="3"/>
            <w:tcMar>
              <w:top w:w="0" w:type="dxa"/>
              <w:left w:w="20" w:type="dxa"/>
              <w:bottom w:w="0" w:type="dxa"/>
              <w:right w:w="20" w:type="dxa"/>
            </w:tcMar>
            <w:vAlign w:val="center"/>
            <w:hideMark/>
          </w:tcPr>
          <w:p w14:paraId="66BCC237" w14:textId="77777777" w:rsidR="00000000" w:rsidRDefault="00C01C43">
            <w:pPr>
              <w:rPr>
                <w:rFonts w:eastAsia="Times New Roman"/>
                <w:sz w:val="20"/>
                <w:szCs w:val="20"/>
              </w:rPr>
            </w:pPr>
          </w:p>
        </w:tc>
        <w:tc>
          <w:tcPr>
            <w:tcW w:w="0" w:type="auto"/>
            <w:gridSpan w:val="9"/>
            <w:tcMar>
              <w:top w:w="0" w:type="dxa"/>
              <w:left w:w="20" w:type="dxa"/>
              <w:bottom w:w="0" w:type="dxa"/>
              <w:right w:w="20" w:type="dxa"/>
            </w:tcMar>
            <w:vAlign w:val="center"/>
            <w:hideMark/>
          </w:tcPr>
          <w:p w14:paraId="7273A7B2" w14:textId="77777777" w:rsidR="00000000" w:rsidRDefault="00C01C43">
            <w:pPr>
              <w:rPr>
                <w:rFonts w:eastAsia="Times New Roman"/>
                <w:sz w:val="20"/>
                <w:szCs w:val="20"/>
              </w:rPr>
            </w:pPr>
          </w:p>
        </w:tc>
      </w:tr>
      <w:tr w:rsidR="00000000" w14:paraId="4A9DC198" w14:textId="77777777">
        <w:trPr>
          <w:divId w:val="1025060524"/>
        </w:trPr>
        <w:tc>
          <w:tcPr>
            <w:tcW w:w="0" w:type="auto"/>
            <w:gridSpan w:val="3"/>
            <w:tcMar>
              <w:top w:w="0" w:type="dxa"/>
              <w:left w:w="20" w:type="dxa"/>
              <w:bottom w:w="0" w:type="dxa"/>
              <w:right w:w="20" w:type="dxa"/>
            </w:tcMar>
            <w:vAlign w:val="center"/>
            <w:hideMark/>
          </w:tcPr>
          <w:p w14:paraId="3338DCFB"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27825FA7"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4F9C54AC"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3B691D81" w14:textId="77777777" w:rsidR="00000000" w:rsidRDefault="00C01C43">
            <w:pPr>
              <w:jc w:val="center"/>
              <w:rPr>
                <w:rFonts w:eastAsia="Times New Roman"/>
              </w:rPr>
            </w:pPr>
            <w:r>
              <w:rPr>
                <w:rFonts w:ascii="Arial" w:eastAsia="Times New Roman" w:hAnsi="Arial" w:cs="Arial"/>
                <w:b/>
                <w:bCs/>
                <w:color w:val="000000"/>
                <w:sz w:val="16"/>
                <w:szCs w:val="16"/>
              </w:rPr>
              <w:t>2019</w:t>
            </w:r>
          </w:p>
        </w:tc>
      </w:tr>
      <w:tr w:rsidR="00000000" w14:paraId="2959B64C" w14:textId="77777777">
        <w:trPr>
          <w:divId w:val="102506052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118B4FE" w14:textId="77777777" w:rsidR="00000000" w:rsidRDefault="00C01C43">
            <w:pPr>
              <w:rPr>
                <w:rFonts w:eastAsia="Times New Roman"/>
              </w:rPr>
            </w:pPr>
            <w:r>
              <w:rPr>
                <w:rFonts w:ascii="Arial" w:eastAsia="Times New Roman" w:hAnsi="Arial" w:cs="Arial"/>
                <w:color w:val="000000"/>
                <w:sz w:val="16"/>
                <w:szCs w:val="16"/>
              </w:rPr>
              <w:t>Finance lease cost: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E446C5"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7BCCE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6FC15C" w14:textId="77777777" w:rsidR="00000000" w:rsidRDefault="00C01C43">
            <w:pPr>
              <w:rPr>
                <w:rFonts w:eastAsia="Times New Roman"/>
                <w:sz w:val="20"/>
                <w:szCs w:val="20"/>
              </w:rPr>
            </w:pPr>
          </w:p>
        </w:tc>
      </w:tr>
      <w:tr w:rsidR="00000000" w14:paraId="6B55125D" w14:textId="77777777">
        <w:trPr>
          <w:divId w:val="1025060524"/>
        </w:trPr>
        <w:tc>
          <w:tcPr>
            <w:tcW w:w="0" w:type="auto"/>
            <w:gridSpan w:val="3"/>
            <w:shd w:val="clear" w:color="auto" w:fill="FFFFFF"/>
            <w:tcMar>
              <w:top w:w="30" w:type="dxa"/>
              <w:left w:w="140" w:type="dxa"/>
              <w:bottom w:w="30" w:type="dxa"/>
              <w:right w:w="20" w:type="dxa"/>
            </w:tcMar>
            <w:vAlign w:val="bottom"/>
            <w:hideMark/>
          </w:tcPr>
          <w:p w14:paraId="71B34D36" w14:textId="77777777" w:rsidR="00000000" w:rsidRDefault="00C01C43">
            <w:pPr>
              <w:rPr>
                <w:rFonts w:eastAsia="Times New Roman"/>
              </w:rPr>
            </w:pPr>
            <w:r>
              <w:rPr>
                <w:rFonts w:ascii="Arial" w:eastAsia="Times New Roman" w:hAnsi="Arial" w:cs="Arial"/>
                <w:color w:val="000000"/>
                <w:sz w:val="16"/>
                <w:szCs w:val="16"/>
              </w:rPr>
              <w:t>Amortization of right-of-use assets</w:t>
            </w:r>
          </w:p>
        </w:tc>
        <w:tc>
          <w:tcPr>
            <w:tcW w:w="0" w:type="auto"/>
            <w:shd w:val="clear" w:color="auto" w:fill="FFFFFF"/>
            <w:tcMar>
              <w:top w:w="30" w:type="dxa"/>
              <w:left w:w="20" w:type="dxa"/>
              <w:bottom w:w="30" w:type="dxa"/>
              <w:right w:w="0" w:type="dxa"/>
            </w:tcMar>
            <w:vAlign w:val="bottom"/>
            <w:hideMark/>
          </w:tcPr>
          <w:p w14:paraId="06A5F506" w14:textId="77777777" w:rsidR="00000000" w:rsidRDefault="00C01C43">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27B5A9F1" w14:textId="77777777" w:rsidR="00000000" w:rsidRDefault="00C01C43">
            <w:pPr>
              <w:jc w:val="right"/>
              <w:rPr>
                <w:rFonts w:eastAsia="Times New Roman"/>
              </w:rPr>
            </w:pPr>
            <w:r>
              <w:rPr>
                <w:rFonts w:ascii="Arial" w:eastAsia="Times New Roman" w:hAnsi="Arial" w:cs="Arial"/>
                <w:color w:val="000000"/>
                <w:sz w:val="16"/>
                <w:szCs w:val="16"/>
              </w:rPr>
              <w:t>3.1 </w:t>
            </w:r>
          </w:p>
        </w:tc>
        <w:tc>
          <w:tcPr>
            <w:tcW w:w="0" w:type="auto"/>
            <w:shd w:val="clear" w:color="auto" w:fill="FFFFFF"/>
            <w:tcMar>
              <w:top w:w="30" w:type="dxa"/>
              <w:left w:w="0" w:type="dxa"/>
              <w:bottom w:w="30" w:type="dxa"/>
              <w:right w:w="20" w:type="dxa"/>
            </w:tcMar>
            <w:vAlign w:val="bottom"/>
            <w:hideMark/>
          </w:tcPr>
          <w:p w14:paraId="7F455651"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D647A"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D46A51" w14:textId="77777777" w:rsidR="00000000" w:rsidRDefault="00C01C43">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4DFFA900" w14:textId="77777777" w:rsidR="00000000" w:rsidRDefault="00C01C43">
            <w:pPr>
              <w:jc w:val="right"/>
              <w:rPr>
                <w:rFonts w:eastAsia="Times New Roman"/>
              </w:rPr>
            </w:pPr>
            <w:r>
              <w:rPr>
                <w:rFonts w:ascii="Arial" w:eastAsia="Times New Roman" w:hAnsi="Arial" w:cs="Arial"/>
                <w:color w:val="000000"/>
                <w:sz w:val="16"/>
                <w:szCs w:val="16"/>
              </w:rPr>
              <w:t>4.2 </w:t>
            </w:r>
          </w:p>
        </w:tc>
        <w:tc>
          <w:tcPr>
            <w:tcW w:w="0" w:type="auto"/>
            <w:shd w:val="clear" w:color="auto" w:fill="FFFFFF"/>
            <w:tcMar>
              <w:top w:w="30" w:type="dxa"/>
              <w:left w:w="0" w:type="dxa"/>
              <w:bottom w:w="30" w:type="dxa"/>
              <w:right w:w="20" w:type="dxa"/>
            </w:tcMar>
            <w:vAlign w:val="bottom"/>
            <w:hideMark/>
          </w:tcPr>
          <w:p w14:paraId="64033D57" w14:textId="77777777" w:rsidR="00000000" w:rsidRDefault="00C01C43">
            <w:pPr>
              <w:jc w:val="right"/>
              <w:rPr>
                <w:rFonts w:eastAsia="Times New Roman"/>
              </w:rPr>
            </w:pPr>
          </w:p>
        </w:tc>
      </w:tr>
      <w:tr w:rsidR="00000000" w14:paraId="42446AA1" w14:textId="77777777">
        <w:trPr>
          <w:divId w:val="1025060524"/>
        </w:trPr>
        <w:tc>
          <w:tcPr>
            <w:tcW w:w="0" w:type="auto"/>
            <w:gridSpan w:val="3"/>
            <w:shd w:val="clear" w:color="auto" w:fill="CCEEFF"/>
            <w:tcMar>
              <w:top w:w="30" w:type="dxa"/>
              <w:left w:w="140" w:type="dxa"/>
              <w:bottom w:w="30" w:type="dxa"/>
              <w:right w:w="20" w:type="dxa"/>
            </w:tcMar>
            <w:vAlign w:val="bottom"/>
            <w:hideMark/>
          </w:tcPr>
          <w:p w14:paraId="39AE58DF" w14:textId="77777777" w:rsidR="00000000" w:rsidRDefault="00C01C43">
            <w:pPr>
              <w:rPr>
                <w:rFonts w:eastAsia="Times New Roman"/>
              </w:rPr>
            </w:pPr>
            <w:r>
              <w:rPr>
                <w:rFonts w:ascii="Arial" w:eastAsia="Times New Roman" w:hAnsi="Arial" w:cs="Arial"/>
                <w:color w:val="000000"/>
                <w:sz w:val="16"/>
                <w:szCs w:val="16"/>
              </w:rPr>
              <w:t>Interest on lease liabilities</w:t>
            </w:r>
          </w:p>
        </w:tc>
        <w:tc>
          <w:tcPr>
            <w:tcW w:w="0" w:type="auto"/>
            <w:gridSpan w:val="2"/>
            <w:shd w:val="clear" w:color="auto" w:fill="CCEEFF"/>
            <w:tcMar>
              <w:top w:w="30" w:type="dxa"/>
              <w:left w:w="20" w:type="dxa"/>
              <w:bottom w:w="30" w:type="dxa"/>
              <w:right w:w="0" w:type="dxa"/>
            </w:tcMar>
            <w:vAlign w:val="bottom"/>
            <w:hideMark/>
          </w:tcPr>
          <w:p w14:paraId="709429D1" w14:textId="77777777" w:rsidR="00000000" w:rsidRDefault="00C01C43">
            <w:pPr>
              <w:jc w:val="right"/>
              <w:rPr>
                <w:rFonts w:eastAsia="Times New Roman"/>
              </w:rPr>
            </w:pPr>
            <w:r>
              <w:rPr>
                <w:rFonts w:ascii="Arial" w:eastAsia="Times New Roman" w:hAnsi="Arial" w:cs="Arial"/>
                <w:color w:val="000000"/>
                <w:sz w:val="16"/>
                <w:szCs w:val="16"/>
              </w:rPr>
              <w:t>0.6 </w:t>
            </w:r>
          </w:p>
        </w:tc>
        <w:tc>
          <w:tcPr>
            <w:tcW w:w="0" w:type="auto"/>
            <w:shd w:val="clear" w:color="auto" w:fill="CCEEFF"/>
            <w:tcMar>
              <w:top w:w="30" w:type="dxa"/>
              <w:left w:w="0" w:type="dxa"/>
              <w:bottom w:w="30" w:type="dxa"/>
              <w:right w:w="20" w:type="dxa"/>
            </w:tcMar>
            <w:vAlign w:val="bottom"/>
            <w:hideMark/>
          </w:tcPr>
          <w:p w14:paraId="7F1529B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EE35CF"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93286D" w14:textId="77777777" w:rsidR="00000000" w:rsidRDefault="00C01C43">
            <w:pPr>
              <w:jc w:val="right"/>
              <w:rPr>
                <w:rFonts w:eastAsia="Times New Roman"/>
              </w:rPr>
            </w:pPr>
            <w:r>
              <w:rPr>
                <w:rFonts w:ascii="Arial" w:eastAsia="Times New Roman" w:hAnsi="Arial" w:cs="Arial"/>
                <w:color w:val="000000"/>
                <w:sz w:val="16"/>
                <w:szCs w:val="16"/>
              </w:rPr>
              <w:t>0.5 </w:t>
            </w:r>
          </w:p>
        </w:tc>
        <w:tc>
          <w:tcPr>
            <w:tcW w:w="0" w:type="auto"/>
            <w:shd w:val="clear" w:color="auto" w:fill="CCEEFF"/>
            <w:tcMar>
              <w:top w:w="30" w:type="dxa"/>
              <w:left w:w="0" w:type="dxa"/>
              <w:bottom w:w="30" w:type="dxa"/>
              <w:right w:w="20" w:type="dxa"/>
            </w:tcMar>
            <w:vAlign w:val="bottom"/>
            <w:hideMark/>
          </w:tcPr>
          <w:p w14:paraId="1282E2D3" w14:textId="77777777" w:rsidR="00000000" w:rsidRDefault="00C01C43">
            <w:pPr>
              <w:jc w:val="right"/>
              <w:rPr>
                <w:rFonts w:eastAsia="Times New Roman"/>
              </w:rPr>
            </w:pPr>
          </w:p>
        </w:tc>
      </w:tr>
      <w:tr w:rsidR="00000000" w14:paraId="5178228A" w14:textId="77777777">
        <w:trPr>
          <w:divId w:val="1025060524"/>
        </w:trPr>
        <w:tc>
          <w:tcPr>
            <w:tcW w:w="0" w:type="auto"/>
            <w:gridSpan w:val="3"/>
            <w:shd w:val="clear" w:color="auto" w:fill="FFFFFF"/>
            <w:tcMar>
              <w:top w:w="30" w:type="dxa"/>
              <w:left w:w="20" w:type="dxa"/>
              <w:bottom w:w="30" w:type="dxa"/>
              <w:right w:w="20" w:type="dxa"/>
            </w:tcMar>
            <w:vAlign w:val="bottom"/>
            <w:hideMark/>
          </w:tcPr>
          <w:p w14:paraId="55BB823F" w14:textId="77777777" w:rsidR="00000000" w:rsidRDefault="00C01C43">
            <w:pPr>
              <w:rPr>
                <w:rFonts w:eastAsia="Times New Roman"/>
              </w:rPr>
            </w:pPr>
            <w:r>
              <w:rPr>
                <w:rFonts w:ascii="Arial" w:eastAsia="Times New Roman" w:hAnsi="Arial" w:cs="Arial"/>
                <w:color w:val="000000"/>
                <w:sz w:val="16"/>
                <w:szCs w:val="16"/>
              </w:rPr>
              <w:t>Operating lease cost</w:t>
            </w:r>
          </w:p>
        </w:tc>
        <w:tc>
          <w:tcPr>
            <w:tcW w:w="0" w:type="auto"/>
            <w:gridSpan w:val="2"/>
            <w:shd w:val="clear" w:color="auto" w:fill="FFFFFF"/>
            <w:tcMar>
              <w:top w:w="30" w:type="dxa"/>
              <w:left w:w="20" w:type="dxa"/>
              <w:bottom w:w="30" w:type="dxa"/>
              <w:right w:w="0" w:type="dxa"/>
            </w:tcMar>
            <w:vAlign w:val="bottom"/>
            <w:hideMark/>
          </w:tcPr>
          <w:p w14:paraId="158089F9" w14:textId="77777777" w:rsidR="00000000" w:rsidRDefault="00C01C43">
            <w:pPr>
              <w:jc w:val="right"/>
              <w:rPr>
                <w:rFonts w:eastAsia="Times New Roman"/>
              </w:rPr>
            </w:pPr>
            <w:r>
              <w:rPr>
                <w:rFonts w:ascii="Arial" w:eastAsia="Times New Roman" w:hAnsi="Arial" w:cs="Arial"/>
                <w:color w:val="000000"/>
                <w:sz w:val="16"/>
                <w:szCs w:val="16"/>
              </w:rPr>
              <w:t>45.6 </w:t>
            </w:r>
          </w:p>
        </w:tc>
        <w:tc>
          <w:tcPr>
            <w:tcW w:w="0" w:type="auto"/>
            <w:shd w:val="clear" w:color="auto" w:fill="FFFFFF"/>
            <w:tcMar>
              <w:top w:w="30" w:type="dxa"/>
              <w:left w:w="0" w:type="dxa"/>
              <w:bottom w:w="30" w:type="dxa"/>
              <w:right w:w="20" w:type="dxa"/>
            </w:tcMar>
            <w:vAlign w:val="bottom"/>
            <w:hideMark/>
          </w:tcPr>
          <w:p w14:paraId="7F39DC3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C1094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8D1181" w14:textId="77777777" w:rsidR="00000000" w:rsidRDefault="00C01C43">
            <w:pPr>
              <w:jc w:val="right"/>
              <w:rPr>
                <w:rFonts w:eastAsia="Times New Roman"/>
              </w:rPr>
            </w:pPr>
            <w:r>
              <w:rPr>
                <w:rFonts w:ascii="Arial" w:eastAsia="Times New Roman" w:hAnsi="Arial" w:cs="Arial"/>
                <w:color w:val="000000"/>
                <w:sz w:val="16"/>
                <w:szCs w:val="16"/>
              </w:rPr>
              <w:t>53.2 </w:t>
            </w:r>
          </w:p>
        </w:tc>
        <w:tc>
          <w:tcPr>
            <w:tcW w:w="0" w:type="auto"/>
            <w:shd w:val="clear" w:color="auto" w:fill="FFFFFF"/>
            <w:tcMar>
              <w:top w:w="30" w:type="dxa"/>
              <w:left w:w="0" w:type="dxa"/>
              <w:bottom w:w="30" w:type="dxa"/>
              <w:right w:w="20" w:type="dxa"/>
            </w:tcMar>
            <w:vAlign w:val="bottom"/>
            <w:hideMark/>
          </w:tcPr>
          <w:p w14:paraId="17E54441" w14:textId="77777777" w:rsidR="00000000" w:rsidRDefault="00C01C43">
            <w:pPr>
              <w:jc w:val="right"/>
              <w:rPr>
                <w:rFonts w:eastAsia="Times New Roman"/>
              </w:rPr>
            </w:pPr>
          </w:p>
        </w:tc>
      </w:tr>
      <w:tr w:rsidR="00000000" w14:paraId="6768E18E" w14:textId="77777777">
        <w:trPr>
          <w:divId w:val="1025060524"/>
        </w:trPr>
        <w:tc>
          <w:tcPr>
            <w:tcW w:w="0" w:type="auto"/>
            <w:gridSpan w:val="3"/>
            <w:shd w:val="clear" w:color="auto" w:fill="CCEEFF"/>
            <w:tcMar>
              <w:top w:w="30" w:type="dxa"/>
              <w:left w:w="20" w:type="dxa"/>
              <w:bottom w:w="30" w:type="dxa"/>
              <w:right w:w="20" w:type="dxa"/>
            </w:tcMar>
            <w:vAlign w:val="bottom"/>
            <w:hideMark/>
          </w:tcPr>
          <w:p w14:paraId="08D1F96E" w14:textId="77777777" w:rsidR="00000000" w:rsidRDefault="00C01C43">
            <w:pPr>
              <w:rPr>
                <w:rFonts w:eastAsia="Times New Roman"/>
              </w:rPr>
            </w:pPr>
            <w:r>
              <w:rPr>
                <w:rFonts w:ascii="Arial" w:eastAsia="Times New Roman" w:hAnsi="Arial" w:cs="Arial"/>
                <w:color w:val="000000"/>
                <w:sz w:val="16"/>
                <w:szCs w:val="16"/>
              </w:rPr>
              <w:t>Short-term lease cost</w:t>
            </w:r>
          </w:p>
        </w:tc>
        <w:tc>
          <w:tcPr>
            <w:tcW w:w="0" w:type="auto"/>
            <w:gridSpan w:val="2"/>
            <w:shd w:val="clear" w:color="auto" w:fill="CCEEFF"/>
            <w:tcMar>
              <w:top w:w="30" w:type="dxa"/>
              <w:left w:w="20" w:type="dxa"/>
              <w:bottom w:w="30" w:type="dxa"/>
              <w:right w:w="0" w:type="dxa"/>
            </w:tcMar>
            <w:vAlign w:val="bottom"/>
            <w:hideMark/>
          </w:tcPr>
          <w:p w14:paraId="7A5A96A6" w14:textId="77777777" w:rsidR="00000000" w:rsidRDefault="00C01C43">
            <w:pPr>
              <w:jc w:val="right"/>
              <w:rPr>
                <w:rFonts w:eastAsia="Times New Roman"/>
              </w:rPr>
            </w:pPr>
            <w:r>
              <w:rPr>
                <w:rFonts w:ascii="Arial" w:eastAsia="Times New Roman" w:hAnsi="Arial" w:cs="Arial"/>
                <w:color w:val="000000"/>
                <w:sz w:val="16"/>
                <w:szCs w:val="16"/>
              </w:rPr>
              <w:t>25.5 </w:t>
            </w:r>
          </w:p>
        </w:tc>
        <w:tc>
          <w:tcPr>
            <w:tcW w:w="0" w:type="auto"/>
            <w:shd w:val="clear" w:color="auto" w:fill="CCEEFF"/>
            <w:tcMar>
              <w:top w:w="30" w:type="dxa"/>
              <w:left w:w="0" w:type="dxa"/>
              <w:bottom w:w="30" w:type="dxa"/>
              <w:right w:w="20" w:type="dxa"/>
            </w:tcMar>
            <w:vAlign w:val="bottom"/>
            <w:hideMark/>
          </w:tcPr>
          <w:p w14:paraId="0052462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A3D1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E60C38" w14:textId="77777777" w:rsidR="00000000" w:rsidRDefault="00C01C43">
            <w:pPr>
              <w:jc w:val="right"/>
              <w:rPr>
                <w:rFonts w:eastAsia="Times New Roman"/>
              </w:rPr>
            </w:pPr>
            <w:r>
              <w:rPr>
                <w:rFonts w:ascii="Arial" w:eastAsia="Times New Roman" w:hAnsi="Arial" w:cs="Arial"/>
                <w:color w:val="000000"/>
                <w:sz w:val="16"/>
                <w:szCs w:val="16"/>
              </w:rPr>
              <w:t>18.3 </w:t>
            </w:r>
          </w:p>
        </w:tc>
        <w:tc>
          <w:tcPr>
            <w:tcW w:w="0" w:type="auto"/>
            <w:shd w:val="clear" w:color="auto" w:fill="CCEEFF"/>
            <w:tcMar>
              <w:top w:w="30" w:type="dxa"/>
              <w:left w:w="0" w:type="dxa"/>
              <w:bottom w:w="30" w:type="dxa"/>
              <w:right w:w="20" w:type="dxa"/>
            </w:tcMar>
            <w:vAlign w:val="bottom"/>
            <w:hideMark/>
          </w:tcPr>
          <w:p w14:paraId="5B6FB468" w14:textId="77777777" w:rsidR="00000000" w:rsidRDefault="00C01C43">
            <w:pPr>
              <w:jc w:val="right"/>
              <w:rPr>
                <w:rFonts w:eastAsia="Times New Roman"/>
              </w:rPr>
            </w:pPr>
          </w:p>
        </w:tc>
      </w:tr>
      <w:tr w:rsidR="00000000" w14:paraId="7EBB3E24" w14:textId="77777777">
        <w:trPr>
          <w:divId w:val="1025060524"/>
        </w:trPr>
        <w:tc>
          <w:tcPr>
            <w:tcW w:w="0" w:type="auto"/>
            <w:gridSpan w:val="3"/>
            <w:shd w:val="clear" w:color="auto" w:fill="FFFFFF"/>
            <w:tcMar>
              <w:top w:w="30" w:type="dxa"/>
              <w:left w:w="20" w:type="dxa"/>
              <w:bottom w:w="30" w:type="dxa"/>
              <w:right w:w="20" w:type="dxa"/>
            </w:tcMar>
            <w:vAlign w:val="bottom"/>
            <w:hideMark/>
          </w:tcPr>
          <w:p w14:paraId="3DA1F461" w14:textId="77777777" w:rsidR="00000000" w:rsidRDefault="00C01C43">
            <w:pPr>
              <w:rPr>
                <w:rFonts w:eastAsia="Times New Roman"/>
              </w:rPr>
            </w:pPr>
            <w:r>
              <w:rPr>
                <w:rFonts w:ascii="Arial" w:eastAsia="Times New Roman" w:hAnsi="Arial" w:cs="Arial"/>
                <w:color w:val="000000"/>
                <w:sz w:val="16"/>
                <w:szCs w:val="16"/>
              </w:rPr>
              <w:t>Variable lease cost</w:t>
            </w:r>
          </w:p>
        </w:tc>
        <w:tc>
          <w:tcPr>
            <w:tcW w:w="0" w:type="auto"/>
            <w:gridSpan w:val="2"/>
            <w:shd w:val="clear" w:color="auto" w:fill="FFFFFF"/>
            <w:tcMar>
              <w:top w:w="30" w:type="dxa"/>
              <w:left w:w="20" w:type="dxa"/>
              <w:bottom w:w="30" w:type="dxa"/>
              <w:right w:w="0" w:type="dxa"/>
            </w:tcMar>
            <w:vAlign w:val="bottom"/>
            <w:hideMark/>
          </w:tcPr>
          <w:p w14:paraId="09290761" w14:textId="77777777" w:rsidR="00000000" w:rsidRDefault="00C01C43">
            <w:pPr>
              <w:jc w:val="right"/>
              <w:rPr>
                <w:rFonts w:eastAsia="Times New Roman"/>
              </w:rPr>
            </w:pPr>
            <w:r>
              <w:rPr>
                <w:rFonts w:ascii="Arial" w:eastAsia="Times New Roman" w:hAnsi="Arial" w:cs="Arial"/>
                <w:color w:val="000000"/>
                <w:sz w:val="16"/>
                <w:szCs w:val="16"/>
              </w:rPr>
              <w:t>6.4 </w:t>
            </w:r>
          </w:p>
        </w:tc>
        <w:tc>
          <w:tcPr>
            <w:tcW w:w="0" w:type="auto"/>
            <w:shd w:val="clear" w:color="auto" w:fill="FFFFFF"/>
            <w:tcMar>
              <w:top w:w="30" w:type="dxa"/>
              <w:left w:w="0" w:type="dxa"/>
              <w:bottom w:w="30" w:type="dxa"/>
              <w:right w:w="20" w:type="dxa"/>
            </w:tcMar>
            <w:vAlign w:val="bottom"/>
            <w:hideMark/>
          </w:tcPr>
          <w:p w14:paraId="060CDB6D"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4A872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2F3FCD" w14:textId="77777777" w:rsidR="00000000" w:rsidRDefault="00C01C43">
            <w:pPr>
              <w:jc w:val="right"/>
              <w:rPr>
                <w:rFonts w:eastAsia="Times New Roman"/>
              </w:rPr>
            </w:pPr>
            <w:r>
              <w:rPr>
                <w:rFonts w:ascii="Arial" w:eastAsia="Times New Roman" w:hAnsi="Arial" w:cs="Arial"/>
                <w:color w:val="000000"/>
                <w:sz w:val="16"/>
                <w:szCs w:val="16"/>
              </w:rPr>
              <w:t>5.0 </w:t>
            </w:r>
          </w:p>
        </w:tc>
        <w:tc>
          <w:tcPr>
            <w:tcW w:w="0" w:type="auto"/>
            <w:shd w:val="clear" w:color="auto" w:fill="FFFFFF"/>
            <w:tcMar>
              <w:top w:w="30" w:type="dxa"/>
              <w:left w:w="0" w:type="dxa"/>
              <w:bottom w:w="30" w:type="dxa"/>
              <w:right w:w="20" w:type="dxa"/>
            </w:tcMar>
            <w:vAlign w:val="bottom"/>
            <w:hideMark/>
          </w:tcPr>
          <w:p w14:paraId="03AF7F82" w14:textId="77777777" w:rsidR="00000000" w:rsidRDefault="00C01C43">
            <w:pPr>
              <w:jc w:val="right"/>
              <w:rPr>
                <w:rFonts w:eastAsia="Times New Roman"/>
              </w:rPr>
            </w:pPr>
          </w:p>
        </w:tc>
      </w:tr>
      <w:tr w:rsidR="00000000" w14:paraId="03903A85" w14:textId="77777777">
        <w:trPr>
          <w:divId w:val="1025060524"/>
        </w:trPr>
        <w:tc>
          <w:tcPr>
            <w:tcW w:w="0" w:type="auto"/>
            <w:gridSpan w:val="3"/>
            <w:shd w:val="clear" w:color="auto" w:fill="CCEEFF"/>
            <w:tcMar>
              <w:top w:w="30" w:type="dxa"/>
              <w:left w:w="20" w:type="dxa"/>
              <w:bottom w:w="30" w:type="dxa"/>
              <w:right w:w="20" w:type="dxa"/>
            </w:tcMar>
            <w:vAlign w:val="bottom"/>
            <w:hideMark/>
          </w:tcPr>
          <w:p w14:paraId="704BF9D0" w14:textId="77777777" w:rsidR="00000000" w:rsidRDefault="00C01C43">
            <w:pPr>
              <w:rPr>
                <w:rFonts w:eastAsia="Times New Roman"/>
              </w:rPr>
            </w:pPr>
            <w:r>
              <w:rPr>
                <w:rFonts w:ascii="Arial" w:eastAsia="Times New Roman" w:hAnsi="Arial" w:cs="Arial"/>
                <w:color w:val="000000"/>
                <w:sz w:val="16"/>
                <w:szCs w:val="16"/>
              </w:rPr>
              <w:t>Sublease income</w:t>
            </w:r>
          </w:p>
        </w:tc>
        <w:tc>
          <w:tcPr>
            <w:tcW w:w="0" w:type="auto"/>
            <w:gridSpan w:val="2"/>
            <w:shd w:val="clear" w:color="auto" w:fill="CCEEFF"/>
            <w:tcMar>
              <w:top w:w="30" w:type="dxa"/>
              <w:left w:w="20" w:type="dxa"/>
              <w:bottom w:w="30" w:type="dxa"/>
              <w:right w:w="0" w:type="dxa"/>
            </w:tcMar>
            <w:vAlign w:val="bottom"/>
            <w:hideMark/>
          </w:tcPr>
          <w:p w14:paraId="2DBBA1D1" w14:textId="77777777" w:rsidR="00000000" w:rsidRDefault="00C01C43">
            <w:pPr>
              <w:jc w:val="right"/>
              <w:rPr>
                <w:rFonts w:eastAsia="Times New Roman"/>
              </w:rPr>
            </w:pPr>
            <w:r>
              <w:rPr>
                <w:rFonts w:ascii="Arial" w:eastAsia="Times New Roman" w:hAnsi="Arial" w:cs="Arial"/>
                <w:color w:val="000000"/>
                <w:sz w:val="16"/>
                <w:szCs w:val="16"/>
              </w:rPr>
              <w:t>(4.4)</w:t>
            </w:r>
          </w:p>
        </w:tc>
        <w:tc>
          <w:tcPr>
            <w:tcW w:w="0" w:type="auto"/>
            <w:shd w:val="clear" w:color="auto" w:fill="CCEEFF"/>
            <w:tcMar>
              <w:top w:w="30" w:type="dxa"/>
              <w:left w:w="0" w:type="dxa"/>
              <w:bottom w:w="30" w:type="dxa"/>
              <w:right w:w="20" w:type="dxa"/>
            </w:tcMar>
            <w:vAlign w:val="bottom"/>
            <w:hideMark/>
          </w:tcPr>
          <w:p w14:paraId="123B8F24"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EF251C"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6F4C29" w14:textId="77777777" w:rsidR="00000000" w:rsidRDefault="00C01C43">
            <w:pPr>
              <w:jc w:val="right"/>
              <w:rPr>
                <w:rFonts w:eastAsia="Times New Roman"/>
              </w:rPr>
            </w:pPr>
            <w:r>
              <w:rPr>
                <w:rFonts w:ascii="Arial" w:eastAsia="Times New Roman" w:hAnsi="Arial" w:cs="Arial"/>
                <w:color w:val="000000"/>
                <w:sz w:val="16"/>
                <w:szCs w:val="16"/>
              </w:rPr>
              <w:t>(11.4)</w:t>
            </w:r>
          </w:p>
        </w:tc>
        <w:tc>
          <w:tcPr>
            <w:tcW w:w="0" w:type="auto"/>
            <w:shd w:val="clear" w:color="auto" w:fill="CCEEFF"/>
            <w:tcMar>
              <w:top w:w="30" w:type="dxa"/>
              <w:left w:w="0" w:type="dxa"/>
              <w:bottom w:w="30" w:type="dxa"/>
              <w:right w:w="20" w:type="dxa"/>
            </w:tcMar>
            <w:vAlign w:val="bottom"/>
            <w:hideMark/>
          </w:tcPr>
          <w:p w14:paraId="2EC98215" w14:textId="77777777" w:rsidR="00000000" w:rsidRDefault="00C01C43">
            <w:pPr>
              <w:jc w:val="right"/>
              <w:rPr>
                <w:rFonts w:eastAsia="Times New Roman"/>
              </w:rPr>
            </w:pPr>
          </w:p>
        </w:tc>
      </w:tr>
      <w:tr w:rsidR="00000000" w14:paraId="4DD6D2ED" w14:textId="77777777">
        <w:trPr>
          <w:divId w:val="1025060524"/>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4F21C074" w14:textId="77777777" w:rsidR="00000000" w:rsidRDefault="00C01C43">
            <w:pPr>
              <w:rPr>
                <w:rFonts w:eastAsia="Times New Roman"/>
              </w:rPr>
            </w:pPr>
            <w:r>
              <w:rPr>
                <w:rFonts w:ascii="Arial" w:eastAsia="Times New Roman" w:hAnsi="Arial" w:cs="Arial"/>
                <w:color w:val="000000"/>
                <w:sz w:val="16"/>
                <w:szCs w:val="16"/>
              </w:rPr>
              <w:t>Total lease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E10E8F"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0F87DC8" w14:textId="77777777" w:rsidR="00000000" w:rsidRDefault="00C01C43">
            <w:pPr>
              <w:jc w:val="right"/>
              <w:rPr>
                <w:rFonts w:eastAsia="Times New Roman"/>
              </w:rPr>
            </w:pPr>
            <w:r>
              <w:rPr>
                <w:rFonts w:ascii="Arial" w:eastAsia="Times New Roman" w:hAnsi="Arial" w:cs="Arial"/>
                <w:color w:val="000000"/>
                <w:sz w:val="16"/>
                <w:szCs w:val="16"/>
              </w:rPr>
              <w:t>76.8 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FE48D6" w14:textId="77777777" w:rsidR="00000000" w:rsidRDefault="00C01C43">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13CF1CB" w14:textId="77777777" w:rsidR="00000000" w:rsidRDefault="00C01C4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14A720"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5C612D" w14:textId="77777777" w:rsidR="00000000" w:rsidRDefault="00C01C43">
            <w:pPr>
              <w:jc w:val="right"/>
              <w:rPr>
                <w:rFonts w:eastAsia="Times New Roman"/>
              </w:rPr>
            </w:pPr>
            <w:r>
              <w:rPr>
                <w:rFonts w:ascii="Arial" w:eastAsia="Times New Roman" w:hAnsi="Arial" w:cs="Arial"/>
                <w:color w:val="000000"/>
                <w:sz w:val="16"/>
                <w:szCs w:val="16"/>
              </w:rPr>
              <w:t>69.6 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408BA10" w14:textId="77777777" w:rsidR="00000000" w:rsidRDefault="00C01C43">
            <w:pPr>
              <w:jc w:val="right"/>
              <w:rPr>
                <w:rFonts w:eastAsia="Times New Roman"/>
              </w:rPr>
            </w:pPr>
          </w:p>
        </w:tc>
      </w:tr>
    </w:tbl>
    <w:p w14:paraId="4566A324" w14:textId="77777777" w:rsidR="00000000" w:rsidRDefault="00C01C43">
      <w:pPr>
        <w:jc w:val="both"/>
        <w:divId w:val="66535750"/>
        <w:rPr>
          <w:rFonts w:eastAsia="Times New Roman"/>
        </w:rPr>
      </w:pPr>
      <w:r>
        <w:rPr>
          <w:rFonts w:ascii="Arial" w:eastAsia="Times New Roman" w:hAnsi="Arial" w:cs="Arial"/>
          <w:color w:val="000000"/>
          <w:sz w:val="20"/>
          <w:szCs w:val="20"/>
        </w:rPr>
        <w:t>We incurred rental expense for all properties and equipment of $48.7 million for 2018.</w:t>
      </w:r>
    </w:p>
    <w:p w14:paraId="0D8D7C24" w14:textId="77777777" w:rsidR="00000000" w:rsidRDefault="00C01C43">
      <w:pPr>
        <w:jc w:val="both"/>
        <w:rPr>
          <w:rFonts w:eastAsia="Times New Roman"/>
        </w:rPr>
      </w:pPr>
    </w:p>
    <w:p w14:paraId="07E01F50" w14:textId="77777777" w:rsidR="00000000" w:rsidRDefault="00C01C43">
      <w:pPr>
        <w:jc w:val="both"/>
        <w:divId w:val="708917002"/>
        <w:rPr>
          <w:rFonts w:eastAsia="Times New Roman"/>
        </w:rPr>
      </w:pPr>
      <w:r>
        <w:rPr>
          <w:rFonts w:ascii="Arial" w:eastAsia="Times New Roman" w:hAnsi="Arial" w:cs="Arial"/>
          <w:color w:val="000000"/>
          <w:sz w:val="20"/>
          <w:szCs w:val="20"/>
        </w:rPr>
        <w:t>As of December </w:t>
      </w:r>
      <w:r>
        <w:rPr>
          <w:rFonts w:ascii="Arial" w:eastAsia="Times New Roman" w:hAnsi="Arial" w:cs="Arial"/>
          <w:color w:val="000000"/>
          <w:sz w:val="20"/>
          <w:szCs w:val="20"/>
        </w:rPr>
        <w:t>31, 2020, our remaining lease payments were as follows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419"/>
        <w:gridCol w:w="36"/>
        <w:gridCol w:w="110"/>
        <w:gridCol w:w="1137"/>
        <w:gridCol w:w="36"/>
        <w:gridCol w:w="36"/>
        <w:gridCol w:w="36"/>
        <w:gridCol w:w="36"/>
        <w:gridCol w:w="110"/>
        <w:gridCol w:w="1032"/>
        <w:gridCol w:w="36"/>
        <w:gridCol w:w="36"/>
        <w:gridCol w:w="36"/>
        <w:gridCol w:w="36"/>
        <w:gridCol w:w="36"/>
        <w:gridCol w:w="36"/>
        <w:gridCol w:w="36"/>
      </w:tblGrid>
      <w:tr w:rsidR="00000000" w14:paraId="48611941" w14:textId="77777777">
        <w:trPr>
          <w:divId w:val="2051565391"/>
          <w:jc w:val="center"/>
        </w:trPr>
        <w:tc>
          <w:tcPr>
            <w:tcW w:w="50" w:type="pct"/>
            <w:vAlign w:val="center"/>
            <w:hideMark/>
          </w:tcPr>
          <w:p w14:paraId="3C1DF650" w14:textId="77777777" w:rsidR="00000000" w:rsidRDefault="00C01C43">
            <w:pPr>
              <w:jc w:val="both"/>
              <w:rPr>
                <w:rFonts w:eastAsia="Times New Roman"/>
              </w:rPr>
            </w:pPr>
          </w:p>
        </w:tc>
        <w:tc>
          <w:tcPr>
            <w:tcW w:w="3383" w:type="pct"/>
            <w:vAlign w:val="center"/>
            <w:hideMark/>
          </w:tcPr>
          <w:p w14:paraId="647F2205" w14:textId="77777777" w:rsidR="00000000" w:rsidRDefault="00C01C43">
            <w:pPr>
              <w:rPr>
                <w:rFonts w:eastAsia="Times New Roman"/>
                <w:sz w:val="20"/>
                <w:szCs w:val="20"/>
              </w:rPr>
            </w:pPr>
          </w:p>
        </w:tc>
        <w:tc>
          <w:tcPr>
            <w:tcW w:w="5" w:type="pct"/>
            <w:vAlign w:val="center"/>
            <w:hideMark/>
          </w:tcPr>
          <w:p w14:paraId="7C48F42D" w14:textId="77777777" w:rsidR="00000000" w:rsidRDefault="00C01C43">
            <w:pPr>
              <w:rPr>
                <w:rFonts w:eastAsia="Times New Roman"/>
                <w:sz w:val="20"/>
                <w:szCs w:val="20"/>
              </w:rPr>
            </w:pPr>
          </w:p>
        </w:tc>
        <w:tc>
          <w:tcPr>
            <w:tcW w:w="50" w:type="pct"/>
            <w:vAlign w:val="center"/>
            <w:hideMark/>
          </w:tcPr>
          <w:p w14:paraId="15CC64CD" w14:textId="77777777" w:rsidR="00000000" w:rsidRDefault="00C01C43">
            <w:pPr>
              <w:rPr>
                <w:rFonts w:eastAsia="Times New Roman"/>
                <w:sz w:val="20"/>
                <w:szCs w:val="20"/>
              </w:rPr>
            </w:pPr>
          </w:p>
        </w:tc>
        <w:tc>
          <w:tcPr>
            <w:tcW w:w="729" w:type="pct"/>
            <w:vAlign w:val="center"/>
            <w:hideMark/>
          </w:tcPr>
          <w:p w14:paraId="5D43C917" w14:textId="77777777" w:rsidR="00000000" w:rsidRDefault="00C01C43">
            <w:pPr>
              <w:rPr>
                <w:rFonts w:eastAsia="Times New Roman"/>
                <w:sz w:val="20"/>
                <w:szCs w:val="20"/>
              </w:rPr>
            </w:pPr>
          </w:p>
        </w:tc>
        <w:tc>
          <w:tcPr>
            <w:tcW w:w="5" w:type="pct"/>
            <w:vAlign w:val="center"/>
            <w:hideMark/>
          </w:tcPr>
          <w:p w14:paraId="0C864F2D" w14:textId="77777777" w:rsidR="00000000" w:rsidRDefault="00C01C43">
            <w:pPr>
              <w:rPr>
                <w:rFonts w:eastAsia="Times New Roman"/>
                <w:sz w:val="20"/>
                <w:szCs w:val="20"/>
              </w:rPr>
            </w:pPr>
          </w:p>
        </w:tc>
        <w:tc>
          <w:tcPr>
            <w:tcW w:w="5" w:type="pct"/>
            <w:vAlign w:val="center"/>
            <w:hideMark/>
          </w:tcPr>
          <w:p w14:paraId="17982055" w14:textId="77777777" w:rsidR="00000000" w:rsidRDefault="00C01C43">
            <w:pPr>
              <w:rPr>
                <w:rFonts w:eastAsia="Times New Roman"/>
                <w:sz w:val="20"/>
                <w:szCs w:val="20"/>
              </w:rPr>
            </w:pPr>
          </w:p>
        </w:tc>
        <w:tc>
          <w:tcPr>
            <w:tcW w:w="26" w:type="pct"/>
            <w:vAlign w:val="center"/>
            <w:hideMark/>
          </w:tcPr>
          <w:p w14:paraId="421D0C15" w14:textId="77777777" w:rsidR="00000000" w:rsidRDefault="00C01C43">
            <w:pPr>
              <w:rPr>
                <w:rFonts w:eastAsia="Times New Roman"/>
                <w:sz w:val="20"/>
                <w:szCs w:val="20"/>
              </w:rPr>
            </w:pPr>
          </w:p>
        </w:tc>
        <w:tc>
          <w:tcPr>
            <w:tcW w:w="5" w:type="pct"/>
            <w:vAlign w:val="center"/>
            <w:hideMark/>
          </w:tcPr>
          <w:p w14:paraId="6F656C19" w14:textId="77777777" w:rsidR="00000000" w:rsidRDefault="00C01C43">
            <w:pPr>
              <w:rPr>
                <w:rFonts w:eastAsia="Times New Roman"/>
                <w:sz w:val="20"/>
                <w:szCs w:val="20"/>
              </w:rPr>
            </w:pPr>
          </w:p>
        </w:tc>
        <w:tc>
          <w:tcPr>
            <w:tcW w:w="50" w:type="pct"/>
            <w:vAlign w:val="center"/>
            <w:hideMark/>
          </w:tcPr>
          <w:p w14:paraId="20F0FF8F" w14:textId="77777777" w:rsidR="00000000" w:rsidRDefault="00C01C43">
            <w:pPr>
              <w:rPr>
                <w:rFonts w:eastAsia="Times New Roman"/>
                <w:sz w:val="20"/>
                <w:szCs w:val="20"/>
              </w:rPr>
            </w:pPr>
          </w:p>
        </w:tc>
        <w:tc>
          <w:tcPr>
            <w:tcW w:w="685" w:type="pct"/>
            <w:vAlign w:val="center"/>
            <w:hideMark/>
          </w:tcPr>
          <w:p w14:paraId="5888C9D2" w14:textId="77777777" w:rsidR="00000000" w:rsidRDefault="00C01C43">
            <w:pPr>
              <w:rPr>
                <w:rFonts w:eastAsia="Times New Roman"/>
                <w:sz w:val="20"/>
                <w:szCs w:val="20"/>
              </w:rPr>
            </w:pPr>
          </w:p>
        </w:tc>
        <w:tc>
          <w:tcPr>
            <w:tcW w:w="5" w:type="pct"/>
            <w:vAlign w:val="center"/>
            <w:hideMark/>
          </w:tcPr>
          <w:p w14:paraId="12B351F6" w14:textId="77777777" w:rsidR="00000000" w:rsidRDefault="00C01C43">
            <w:pPr>
              <w:rPr>
                <w:rFonts w:eastAsia="Times New Roman"/>
                <w:sz w:val="20"/>
                <w:szCs w:val="20"/>
              </w:rPr>
            </w:pPr>
          </w:p>
        </w:tc>
        <w:tc>
          <w:tcPr>
            <w:tcW w:w="0" w:type="auto"/>
            <w:gridSpan w:val="3"/>
            <w:vAlign w:val="center"/>
            <w:hideMark/>
          </w:tcPr>
          <w:p w14:paraId="045C0796" w14:textId="77777777" w:rsidR="00000000" w:rsidRDefault="00C01C43">
            <w:pPr>
              <w:rPr>
                <w:rFonts w:eastAsia="Times New Roman"/>
                <w:sz w:val="20"/>
                <w:szCs w:val="20"/>
              </w:rPr>
            </w:pPr>
          </w:p>
        </w:tc>
        <w:tc>
          <w:tcPr>
            <w:tcW w:w="0" w:type="auto"/>
            <w:gridSpan w:val="3"/>
            <w:vAlign w:val="center"/>
            <w:hideMark/>
          </w:tcPr>
          <w:p w14:paraId="599BC854" w14:textId="77777777" w:rsidR="00000000" w:rsidRDefault="00C01C43">
            <w:pPr>
              <w:rPr>
                <w:rFonts w:eastAsia="Times New Roman"/>
                <w:sz w:val="20"/>
                <w:szCs w:val="20"/>
              </w:rPr>
            </w:pPr>
          </w:p>
        </w:tc>
      </w:tr>
      <w:tr w:rsidR="00000000" w14:paraId="247544ED" w14:textId="77777777">
        <w:trPr>
          <w:divId w:val="2051565391"/>
          <w:jc w:val="center"/>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012AB2E"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73DD202" w14:textId="77777777" w:rsidR="00000000" w:rsidRDefault="00C01C43">
            <w:pPr>
              <w:jc w:val="center"/>
              <w:rPr>
                <w:rFonts w:eastAsia="Times New Roman"/>
              </w:rPr>
            </w:pPr>
            <w:r>
              <w:rPr>
                <w:rFonts w:ascii="Arial" w:eastAsia="Times New Roman" w:hAnsi="Arial" w:cs="Arial"/>
                <w:b/>
                <w:bCs/>
                <w:color w:val="000000"/>
                <w:sz w:val="16"/>
                <w:szCs w:val="16"/>
              </w:rPr>
              <w:t>Operating Leases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AE8FD0" w14:textId="77777777" w:rsidR="00000000" w:rsidRDefault="00C01C43">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8CFE66B" w14:textId="77777777" w:rsidR="00000000" w:rsidRDefault="00C01C43">
            <w:pPr>
              <w:jc w:val="center"/>
              <w:rPr>
                <w:rFonts w:eastAsia="Times New Roman"/>
              </w:rPr>
            </w:pPr>
            <w:r>
              <w:rPr>
                <w:rFonts w:ascii="Arial" w:eastAsia="Times New Roman" w:hAnsi="Arial" w:cs="Arial"/>
                <w:b/>
                <w:bCs/>
                <w:color w:val="000000"/>
                <w:sz w:val="16"/>
                <w:szCs w:val="16"/>
              </w:rPr>
              <w:t>Finance Leases</w:t>
            </w:r>
          </w:p>
        </w:tc>
        <w:tc>
          <w:tcPr>
            <w:tcW w:w="0" w:type="auto"/>
            <w:vAlign w:val="center"/>
            <w:hideMark/>
          </w:tcPr>
          <w:p w14:paraId="3AC77821" w14:textId="77777777" w:rsidR="00000000" w:rsidRDefault="00C01C43">
            <w:pPr>
              <w:rPr>
                <w:rFonts w:eastAsia="Times New Roman"/>
                <w:sz w:val="20"/>
                <w:szCs w:val="20"/>
              </w:rPr>
            </w:pPr>
          </w:p>
        </w:tc>
        <w:tc>
          <w:tcPr>
            <w:tcW w:w="0" w:type="auto"/>
            <w:vAlign w:val="center"/>
            <w:hideMark/>
          </w:tcPr>
          <w:p w14:paraId="11585AFD" w14:textId="77777777" w:rsidR="00000000" w:rsidRDefault="00C01C43">
            <w:pPr>
              <w:rPr>
                <w:rFonts w:eastAsia="Times New Roman"/>
                <w:sz w:val="20"/>
                <w:szCs w:val="20"/>
              </w:rPr>
            </w:pPr>
          </w:p>
        </w:tc>
        <w:tc>
          <w:tcPr>
            <w:tcW w:w="0" w:type="auto"/>
            <w:vAlign w:val="center"/>
            <w:hideMark/>
          </w:tcPr>
          <w:p w14:paraId="05A75CF4" w14:textId="77777777" w:rsidR="00000000" w:rsidRDefault="00C01C43">
            <w:pPr>
              <w:rPr>
                <w:rFonts w:eastAsia="Times New Roman"/>
                <w:sz w:val="20"/>
                <w:szCs w:val="20"/>
              </w:rPr>
            </w:pPr>
          </w:p>
        </w:tc>
        <w:tc>
          <w:tcPr>
            <w:tcW w:w="0" w:type="auto"/>
            <w:vAlign w:val="center"/>
            <w:hideMark/>
          </w:tcPr>
          <w:p w14:paraId="00A5A33C" w14:textId="77777777" w:rsidR="00000000" w:rsidRDefault="00C01C43">
            <w:pPr>
              <w:rPr>
                <w:rFonts w:eastAsia="Times New Roman"/>
                <w:sz w:val="20"/>
                <w:szCs w:val="20"/>
              </w:rPr>
            </w:pPr>
          </w:p>
        </w:tc>
        <w:tc>
          <w:tcPr>
            <w:tcW w:w="0" w:type="auto"/>
            <w:vAlign w:val="center"/>
            <w:hideMark/>
          </w:tcPr>
          <w:p w14:paraId="6D73D6D0" w14:textId="77777777" w:rsidR="00000000" w:rsidRDefault="00C01C43">
            <w:pPr>
              <w:rPr>
                <w:rFonts w:eastAsia="Times New Roman"/>
                <w:sz w:val="20"/>
                <w:szCs w:val="20"/>
              </w:rPr>
            </w:pPr>
          </w:p>
        </w:tc>
        <w:tc>
          <w:tcPr>
            <w:tcW w:w="0" w:type="auto"/>
            <w:vAlign w:val="center"/>
            <w:hideMark/>
          </w:tcPr>
          <w:p w14:paraId="1004D53D" w14:textId="77777777" w:rsidR="00000000" w:rsidRDefault="00C01C43">
            <w:pPr>
              <w:rPr>
                <w:rFonts w:eastAsia="Times New Roman"/>
                <w:sz w:val="20"/>
                <w:szCs w:val="20"/>
              </w:rPr>
            </w:pPr>
          </w:p>
        </w:tc>
      </w:tr>
      <w:tr w:rsidR="00000000" w14:paraId="0CCA6120" w14:textId="77777777">
        <w:trPr>
          <w:divId w:val="2051565391"/>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E201AD" w14:textId="77777777" w:rsidR="00000000" w:rsidRDefault="00C01C43">
            <w:pPr>
              <w:rPr>
                <w:rFonts w:eastAsia="Times New Roman"/>
              </w:rPr>
            </w:pPr>
            <w:r>
              <w:rPr>
                <w:rFonts w:ascii="Arial" w:eastAsia="Times New Roman" w:hAnsi="Arial" w:cs="Arial"/>
                <w:color w:val="000000"/>
                <w:sz w:val="16"/>
                <w:szCs w:val="16"/>
              </w:rPr>
              <w:t>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6731ED"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F3100A" w14:textId="77777777" w:rsidR="00000000" w:rsidRDefault="00C01C43">
            <w:pPr>
              <w:jc w:val="right"/>
              <w:rPr>
                <w:rFonts w:eastAsia="Times New Roman"/>
              </w:rPr>
            </w:pPr>
            <w:r>
              <w:rPr>
                <w:rFonts w:ascii="Arial" w:eastAsia="Times New Roman" w:hAnsi="Arial" w:cs="Arial"/>
                <w:color w:val="000000"/>
                <w:sz w:val="16"/>
                <w:szCs w:val="16"/>
              </w:rPr>
              <w:t>39.8 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BB1949"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C5F48F"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4419A5"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98A6FC" w14:textId="77777777" w:rsidR="00000000" w:rsidRDefault="00C01C43">
            <w:pPr>
              <w:jc w:val="right"/>
              <w:rPr>
                <w:rFonts w:eastAsia="Times New Roman"/>
              </w:rPr>
            </w:pPr>
            <w:r>
              <w:rPr>
                <w:rFonts w:ascii="Arial" w:eastAsia="Times New Roman" w:hAnsi="Arial" w:cs="Arial"/>
                <w:color w:val="000000"/>
                <w:sz w:val="16"/>
                <w:szCs w:val="16"/>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4AD56F" w14:textId="77777777" w:rsidR="00000000" w:rsidRDefault="00C01C43">
            <w:pPr>
              <w:jc w:val="right"/>
              <w:rPr>
                <w:rFonts w:eastAsia="Times New Roman"/>
              </w:rPr>
            </w:pPr>
          </w:p>
        </w:tc>
        <w:tc>
          <w:tcPr>
            <w:tcW w:w="0" w:type="auto"/>
            <w:gridSpan w:val="3"/>
            <w:vAlign w:val="center"/>
            <w:hideMark/>
          </w:tcPr>
          <w:p w14:paraId="36EACC88" w14:textId="77777777" w:rsidR="00000000" w:rsidRDefault="00C01C43">
            <w:pPr>
              <w:jc w:val="right"/>
              <w:rPr>
                <w:rFonts w:eastAsia="Times New Roman"/>
                <w:sz w:val="20"/>
                <w:szCs w:val="20"/>
              </w:rPr>
            </w:pPr>
          </w:p>
        </w:tc>
        <w:tc>
          <w:tcPr>
            <w:tcW w:w="0" w:type="auto"/>
            <w:gridSpan w:val="3"/>
            <w:vAlign w:val="center"/>
            <w:hideMark/>
          </w:tcPr>
          <w:p w14:paraId="68B542A3" w14:textId="77777777" w:rsidR="00000000" w:rsidRDefault="00C01C43">
            <w:pPr>
              <w:rPr>
                <w:rFonts w:eastAsia="Times New Roman"/>
                <w:sz w:val="20"/>
                <w:szCs w:val="20"/>
              </w:rPr>
            </w:pPr>
          </w:p>
        </w:tc>
      </w:tr>
      <w:tr w:rsidR="00000000" w14:paraId="31B2A423" w14:textId="77777777">
        <w:trPr>
          <w:divId w:val="2051565391"/>
          <w:jc w:val="center"/>
        </w:trPr>
        <w:tc>
          <w:tcPr>
            <w:tcW w:w="0" w:type="auto"/>
            <w:gridSpan w:val="3"/>
            <w:shd w:val="clear" w:color="auto" w:fill="FFFFFF"/>
            <w:tcMar>
              <w:top w:w="30" w:type="dxa"/>
              <w:left w:w="20" w:type="dxa"/>
              <w:bottom w:w="30" w:type="dxa"/>
              <w:right w:w="20" w:type="dxa"/>
            </w:tcMar>
            <w:vAlign w:val="bottom"/>
            <w:hideMark/>
          </w:tcPr>
          <w:p w14:paraId="4AFCD068" w14:textId="77777777" w:rsidR="00000000" w:rsidRDefault="00C01C43">
            <w:pPr>
              <w:rPr>
                <w:rFonts w:eastAsia="Times New Roman"/>
              </w:rPr>
            </w:pPr>
            <w:r>
              <w:rPr>
                <w:rFonts w:ascii="Arial" w:eastAsia="Times New Roman" w:hAnsi="Arial" w:cs="Arial"/>
                <w:color w:val="000000"/>
                <w:sz w:val="16"/>
                <w:szCs w:val="16"/>
              </w:rPr>
              <w:t>2022</w:t>
            </w:r>
          </w:p>
        </w:tc>
        <w:tc>
          <w:tcPr>
            <w:tcW w:w="0" w:type="auto"/>
            <w:gridSpan w:val="2"/>
            <w:shd w:val="clear" w:color="auto" w:fill="FFFFFF"/>
            <w:tcMar>
              <w:top w:w="30" w:type="dxa"/>
              <w:left w:w="20" w:type="dxa"/>
              <w:bottom w:w="30" w:type="dxa"/>
              <w:right w:w="0" w:type="dxa"/>
            </w:tcMar>
            <w:vAlign w:val="bottom"/>
            <w:hideMark/>
          </w:tcPr>
          <w:p w14:paraId="5FD40011" w14:textId="77777777" w:rsidR="00000000" w:rsidRDefault="00C01C43">
            <w:pPr>
              <w:jc w:val="right"/>
              <w:rPr>
                <w:rFonts w:eastAsia="Times New Roman"/>
              </w:rPr>
            </w:pPr>
            <w:r>
              <w:rPr>
                <w:rFonts w:ascii="Arial" w:eastAsia="Times New Roman" w:hAnsi="Arial" w:cs="Arial"/>
                <w:color w:val="000000"/>
                <w:sz w:val="16"/>
                <w:szCs w:val="16"/>
              </w:rPr>
              <w:t>32.4 </w:t>
            </w:r>
          </w:p>
        </w:tc>
        <w:tc>
          <w:tcPr>
            <w:tcW w:w="0" w:type="auto"/>
            <w:shd w:val="clear" w:color="auto" w:fill="FFFFFF"/>
            <w:tcMar>
              <w:top w:w="30" w:type="dxa"/>
              <w:left w:w="0" w:type="dxa"/>
              <w:bottom w:w="30" w:type="dxa"/>
              <w:right w:w="20" w:type="dxa"/>
            </w:tcMar>
            <w:vAlign w:val="bottom"/>
            <w:hideMark/>
          </w:tcPr>
          <w:p w14:paraId="631387A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81F0E"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DC52ED" w14:textId="77777777" w:rsidR="00000000" w:rsidRDefault="00C01C43">
            <w:pPr>
              <w:jc w:val="right"/>
              <w:rPr>
                <w:rFonts w:eastAsia="Times New Roman"/>
              </w:rPr>
            </w:pPr>
            <w:r>
              <w:rPr>
                <w:rFonts w:ascii="Arial" w:eastAsia="Times New Roman" w:hAnsi="Arial" w:cs="Arial"/>
                <w:color w:val="000000"/>
                <w:sz w:val="16"/>
                <w:szCs w:val="16"/>
              </w:rPr>
              <w:t>4.0 </w:t>
            </w:r>
          </w:p>
        </w:tc>
        <w:tc>
          <w:tcPr>
            <w:tcW w:w="0" w:type="auto"/>
            <w:shd w:val="clear" w:color="auto" w:fill="FFFFFF"/>
            <w:tcMar>
              <w:top w:w="30" w:type="dxa"/>
              <w:left w:w="0" w:type="dxa"/>
              <w:bottom w:w="30" w:type="dxa"/>
              <w:right w:w="20" w:type="dxa"/>
            </w:tcMar>
            <w:vAlign w:val="bottom"/>
            <w:hideMark/>
          </w:tcPr>
          <w:p w14:paraId="7B6604DE" w14:textId="77777777" w:rsidR="00000000" w:rsidRDefault="00C01C43">
            <w:pPr>
              <w:jc w:val="right"/>
              <w:rPr>
                <w:rFonts w:eastAsia="Times New Roman"/>
              </w:rPr>
            </w:pPr>
          </w:p>
        </w:tc>
        <w:tc>
          <w:tcPr>
            <w:tcW w:w="0" w:type="auto"/>
            <w:gridSpan w:val="3"/>
            <w:vAlign w:val="center"/>
            <w:hideMark/>
          </w:tcPr>
          <w:p w14:paraId="13D5B063" w14:textId="77777777" w:rsidR="00000000" w:rsidRDefault="00C01C43">
            <w:pPr>
              <w:jc w:val="right"/>
              <w:rPr>
                <w:rFonts w:eastAsia="Times New Roman"/>
                <w:sz w:val="20"/>
                <w:szCs w:val="20"/>
              </w:rPr>
            </w:pPr>
          </w:p>
        </w:tc>
        <w:tc>
          <w:tcPr>
            <w:tcW w:w="0" w:type="auto"/>
            <w:gridSpan w:val="3"/>
            <w:vAlign w:val="center"/>
            <w:hideMark/>
          </w:tcPr>
          <w:p w14:paraId="07DC83A2" w14:textId="77777777" w:rsidR="00000000" w:rsidRDefault="00C01C43">
            <w:pPr>
              <w:rPr>
                <w:rFonts w:eastAsia="Times New Roman"/>
                <w:sz w:val="20"/>
                <w:szCs w:val="20"/>
              </w:rPr>
            </w:pPr>
          </w:p>
        </w:tc>
      </w:tr>
      <w:tr w:rsidR="00000000" w14:paraId="12B6A606" w14:textId="77777777">
        <w:trPr>
          <w:divId w:val="2051565391"/>
          <w:jc w:val="center"/>
        </w:trPr>
        <w:tc>
          <w:tcPr>
            <w:tcW w:w="0" w:type="auto"/>
            <w:gridSpan w:val="3"/>
            <w:shd w:val="clear" w:color="auto" w:fill="CCEEFF"/>
            <w:tcMar>
              <w:top w:w="30" w:type="dxa"/>
              <w:left w:w="20" w:type="dxa"/>
              <w:bottom w:w="30" w:type="dxa"/>
              <w:right w:w="20" w:type="dxa"/>
            </w:tcMar>
            <w:vAlign w:val="bottom"/>
            <w:hideMark/>
          </w:tcPr>
          <w:p w14:paraId="2D4F94BA" w14:textId="77777777" w:rsidR="00000000" w:rsidRDefault="00C01C43">
            <w:pPr>
              <w:rPr>
                <w:rFonts w:eastAsia="Times New Roman"/>
              </w:rPr>
            </w:pPr>
            <w:r>
              <w:rPr>
                <w:rFonts w:ascii="Arial" w:eastAsia="Times New Roman" w:hAnsi="Arial" w:cs="Arial"/>
                <w:color w:val="000000"/>
                <w:sz w:val="16"/>
                <w:szCs w:val="16"/>
              </w:rPr>
              <w:t>2023</w:t>
            </w:r>
          </w:p>
        </w:tc>
        <w:tc>
          <w:tcPr>
            <w:tcW w:w="0" w:type="auto"/>
            <w:gridSpan w:val="2"/>
            <w:shd w:val="clear" w:color="auto" w:fill="CCEEFF"/>
            <w:tcMar>
              <w:top w:w="30" w:type="dxa"/>
              <w:left w:w="20" w:type="dxa"/>
              <w:bottom w:w="30" w:type="dxa"/>
              <w:right w:w="0" w:type="dxa"/>
            </w:tcMar>
            <w:vAlign w:val="bottom"/>
            <w:hideMark/>
          </w:tcPr>
          <w:p w14:paraId="61097E62" w14:textId="77777777" w:rsidR="00000000" w:rsidRDefault="00C01C43">
            <w:pPr>
              <w:jc w:val="right"/>
              <w:rPr>
                <w:rFonts w:eastAsia="Times New Roman"/>
              </w:rPr>
            </w:pPr>
            <w:r>
              <w:rPr>
                <w:rFonts w:ascii="Arial" w:eastAsia="Times New Roman" w:hAnsi="Arial" w:cs="Arial"/>
                <w:color w:val="000000"/>
                <w:sz w:val="16"/>
                <w:szCs w:val="16"/>
              </w:rPr>
              <w:t>26.7 </w:t>
            </w:r>
          </w:p>
        </w:tc>
        <w:tc>
          <w:tcPr>
            <w:tcW w:w="0" w:type="auto"/>
            <w:shd w:val="clear" w:color="auto" w:fill="CCEEFF"/>
            <w:tcMar>
              <w:top w:w="30" w:type="dxa"/>
              <w:left w:w="0" w:type="dxa"/>
              <w:bottom w:w="30" w:type="dxa"/>
              <w:right w:w="20" w:type="dxa"/>
            </w:tcMar>
            <w:vAlign w:val="bottom"/>
            <w:hideMark/>
          </w:tcPr>
          <w:p w14:paraId="44425523"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8E9E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C1C94A" w14:textId="77777777" w:rsidR="00000000" w:rsidRDefault="00C01C43">
            <w:pPr>
              <w:jc w:val="right"/>
              <w:rPr>
                <w:rFonts w:eastAsia="Times New Roman"/>
              </w:rPr>
            </w:pPr>
            <w:r>
              <w:rPr>
                <w:rFonts w:ascii="Arial" w:eastAsia="Times New Roman" w:hAnsi="Arial" w:cs="Arial"/>
                <w:color w:val="000000"/>
                <w:sz w:val="16"/>
                <w:szCs w:val="16"/>
              </w:rPr>
              <w:t>3.3 </w:t>
            </w:r>
          </w:p>
        </w:tc>
        <w:tc>
          <w:tcPr>
            <w:tcW w:w="0" w:type="auto"/>
            <w:shd w:val="clear" w:color="auto" w:fill="CCEEFF"/>
            <w:tcMar>
              <w:top w:w="30" w:type="dxa"/>
              <w:left w:w="0" w:type="dxa"/>
              <w:bottom w:w="30" w:type="dxa"/>
              <w:right w:w="20" w:type="dxa"/>
            </w:tcMar>
            <w:vAlign w:val="bottom"/>
            <w:hideMark/>
          </w:tcPr>
          <w:p w14:paraId="3A53E038" w14:textId="77777777" w:rsidR="00000000" w:rsidRDefault="00C01C43">
            <w:pPr>
              <w:jc w:val="right"/>
              <w:rPr>
                <w:rFonts w:eastAsia="Times New Roman"/>
              </w:rPr>
            </w:pPr>
          </w:p>
        </w:tc>
        <w:tc>
          <w:tcPr>
            <w:tcW w:w="0" w:type="auto"/>
            <w:gridSpan w:val="3"/>
            <w:vAlign w:val="center"/>
            <w:hideMark/>
          </w:tcPr>
          <w:p w14:paraId="3ECD90FF" w14:textId="77777777" w:rsidR="00000000" w:rsidRDefault="00C01C43">
            <w:pPr>
              <w:jc w:val="right"/>
              <w:rPr>
                <w:rFonts w:eastAsia="Times New Roman"/>
                <w:sz w:val="20"/>
                <w:szCs w:val="20"/>
              </w:rPr>
            </w:pPr>
          </w:p>
        </w:tc>
        <w:tc>
          <w:tcPr>
            <w:tcW w:w="0" w:type="auto"/>
            <w:gridSpan w:val="3"/>
            <w:vAlign w:val="center"/>
            <w:hideMark/>
          </w:tcPr>
          <w:p w14:paraId="6F405981" w14:textId="77777777" w:rsidR="00000000" w:rsidRDefault="00C01C43">
            <w:pPr>
              <w:rPr>
                <w:rFonts w:eastAsia="Times New Roman"/>
                <w:sz w:val="20"/>
                <w:szCs w:val="20"/>
              </w:rPr>
            </w:pPr>
          </w:p>
        </w:tc>
      </w:tr>
      <w:tr w:rsidR="00000000" w14:paraId="72C43B19" w14:textId="77777777">
        <w:trPr>
          <w:divId w:val="2051565391"/>
          <w:jc w:val="center"/>
        </w:trPr>
        <w:tc>
          <w:tcPr>
            <w:tcW w:w="0" w:type="auto"/>
            <w:gridSpan w:val="3"/>
            <w:shd w:val="clear" w:color="auto" w:fill="FFFFFF"/>
            <w:tcMar>
              <w:top w:w="30" w:type="dxa"/>
              <w:left w:w="20" w:type="dxa"/>
              <w:bottom w:w="30" w:type="dxa"/>
              <w:right w:w="20" w:type="dxa"/>
            </w:tcMar>
            <w:vAlign w:val="bottom"/>
            <w:hideMark/>
          </w:tcPr>
          <w:p w14:paraId="040BE6E9" w14:textId="77777777" w:rsidR="00000000" w:rsidRDefault="00C01C43">
            <w:pPr>
              <w:rPr>
                <w:rFonts w:eastAsia="Times New Roman"/>
              </w:rPr>
            </w:pPr>
            <w:r>
              <w:rPr>
                <w:rFonts w:ascii="Arial" w:eastAsia="Times New Roman" w:hAnsi="Arial" w:cs="Arial"/>
                <w:color w:val="000000"/>
                <w:sz w:val="16"/>
                <w:szCs w:val="16"/>
              </w:rPr>
              <w:t>2024</w:t>
            </w:r>
          </w:p>
        </w:tc>
        <w:tc>
          <w:tcPr>
            <w:tcW w:w="0" w:type="auto"/>
            <w:gridSpan w:val="2"/>
            <w:shd w:val="clear" w:color="auto" w:fill="FFFFFF"/>
            <w:tcMar>
              <w:top w:w="30" w:type="dxa"/>
              <w:left w:w="20" w:type="dxa"/>
              <w:bottom w:w="30" w:type="dxa"/>
              <w:right w:w="0" w:type="dxa"/>
            </w:tcMar>
            <w:vAlign w:val="bottom"/>
            <w:hideMark/>
          </w:tcPr>
          <w:p w14:paraId="57A62AFF" w14:textId="77777777" w:rsidR="00000000" w:rsidRDefault="00C01C43">
            <w:pPr>
              <w:jc w:val="right"/>
              <w:rPr>
                <w:rFonts w:eastAsia="Times New Roman"/>
              </w:rPr>
            </w:pPr>
            <w:r>
              <w:rPr>
                <w:rFonts w:ascii="Arial" w:eastAsia="Times New Roman" w:hAnsi="Arial" w:cs="Arial"/>
                <w:color w:val="000000"/>
                <w:sz w:val="16"/>
                <w:szCs w:val="16"/>
              </w:rPr>
              <w:t>21.3 </w:t>
            </w:r>
          </w:p>
        </w:tc>
        <w:tc>
          <w:tcPr>
            <w:tcW w:w="0" w:type="auto"/>
            <w:shd w:val="clear" w:color="auto" w:fill="FFFFFF"/>
            <w:tcMar>
              <w:top w:w="30" w:type="dxa"/>
              <w:left w:w="0" w:type="dxa"/>
              <w:bottom w:w="30" w:type="dxa"/>
              <w:right w:w="20" w:type="dxa"/>
            </w:tcMar>
            <w:vAlign w:val="bottom"/>
            <w:hideMark/>
          </w:tcPr>
          <w:p w14:paraId="1CCC54E0"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E0DFD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F89D29" w14:textId="77777777" w:rsidR="00000000" w:rsidRDefault="00C01C43">
            <w:pPr>
              <w:jc w:val="right"/>
              <w:rPr>
                <w:rFonts w:eastAsia="Times New Roman"/>
              </w:rPr>
            </w:pPr>
            <w:r>
              <w:rPr>
                <w:rFonts w:ascii="Arial" w:eastAsia="Times New Roman" w:hAnsi="Arial" w:cs="Arial"/>
                <w:color w:val="000000"/>
                <w:sz w:val="16"/>
                <w:szCs w:val="16"/>
              </w:rPr>
              <w:t>2.4 </w:t>
            </w:r>
          </w:p>
        </w:tc>
        <w:tc>
          <w:tcPr>
            <w:tcW w:w="0" w:type="auto"/>
            <w:shd w:val="clear" w:color="auto" w:fill="FFFFFF"/>
            <w:tcMar>
              <w:top w:w="30" w:type="dxa"/>
              <w:left w:w="0" w:type="dxa"/>
              <w:bottom w:w="30" w:type="dxa"/>
              <w:right w:w="20" w:type="dxa"/>
            </w:tcMar>
            <w:vAlign w:val="bottom"/>
            <w:hideMark/>
          </w:tcPr>
          <w:p w14:paraId="22B22E79" w14:textId="77777777" w:rsidR="00000000" w:rsidRDefault="00C01C43">
            <w:pPr>
              <w:jc w:val="right"/>
              <w:rPr>
                <w:rFonts w:eastAsia="Times New Roman"/>
              </w:rPr>
            </w:pPr>
          </w:p>
        </w:tc>
        <w:tc>
          <w:tcPr>
            <w:tcW w:w="0" w:type="auto"/>
            <w:gridSpan w:val="3"/>
            <w:vAlign w:val="center"/>
            <w:hideMark/>
          </w:tcPr>
          <w:p w14:paraId="28ADA61C" w14:textId="77777777" w:rsidR="00000000" w:rsidRDefault="00C01C43">
            <w:pPr>
              <w:jc w:val="right"/>
              <w:rPr>
                <w:rFonts w:eastAsia="Times New Roman"/>
                <w:sz w:val="20"/>
                <w:szCs w:val="20"/>
              </w:rPr>
            </w:pPr>
          </w:p>
        </w:tc>
        <w:tc>
          <w:tcPr>
            <w:tcW w:w="0" w:type="auto"/>
            <w:gridSpan w:val="3"/>
            <w:vAlign w:val="center"/>
            <w:hideMark/>
          </w:tcPr>
          <w:p w14:paraId="28CA44F5" w14:textId="77777777" w:rsidR="00000000" w:rsidRDefault="00C01C43">
            <w:pPr>
              <w:rPr>
                <w:rFonts w:eastAsia="Times New Roman"/>
                <w:sz w:val="20"/>
                <w:szCs w:val="20"/>
              </w:rPr>
            </w:pPr>
          </w:p>
        </w:tc>
      </w:tr>
      <w:tr w:rsidR="00000000" w14:paraId="7DF95F66" w14:textId="77777777">
        <w:trPr>
          <w:divId w:val="2051565391"/>
          <w:jc w:val="center"/>
        </w:trPr>
        <w:tc>
          <w:tcPr>
            <w:tcW w:w="0" w:type="auto"/>
            <w:gridSpan w:val="3"/>
            <w:shd w:val="clear" w:color="auto" w:fill="CCEEFF"/>
            <w:tcMar>
              <w:top w:w="30" w:type="dxa"/>
              <w:left w:w="20" w:type="dxa"/>
              <w:bottom w:w="30" w:type="dxa"/>
              <w:right w:w="20" w:type="dxa"/>
            </w:tcMar>
            <w:vAlign w:val="bottom"/>
            <w:hideMark/>
          </w:tcPr>
          <w:p w14:paraId="6D1C34F3" w14:textId="77777777" w:rsidR="00000000" w:rsidRDefault="00C01C43">
            <w:pPr>
              <w:rPr>
                <w:rFonts w:eastAsia="Times New Roman"/>
              </w:rPr>
            </w:pPr>
            <w:r>
              <w:rPr>
                <w:rFonts w:ascii="Arial" w:eastAsia="Times New Roman" w:hAnsi="Arial" w:cs="Arial"/>
                <w:color w:val="000000"/>
                <w:sz w:val="16"/>
                <w:szCs w:val="16"/>
              </w:rPr>
              <w:t>2025</w:t>
            </w:r>
          </w:p>
        </w:tc>
        <w:tc>
          <w:tcPr>
            <w:tcW w:w="0" w:type="auto"/>
            <w:gridSpan w:val="2"/>
            <w:shd w:val="clear" w:color="auto" w:fill="CCEEFF"/>
            <w:tcMar>
              <w:top w:w="30" w:type="dxa"/>
              <w:left w:w="20" w:type="dxa"/>
              <w:bottom w:w="30" w:type="dxa"/>
              <w:right w:w="0" w:type="dxa"/>
            </w:tcMar>
            <w:vAlign w:val="bottom"/>
            <w:hideMark/>
          </w:tcPr>
          <w:p w14:paraId="6E284CAE" w14:textId="77777777" w:rsidR="00000000" w:rsidRDefault="00C01C43">
            <w:pPr>
              <w:jc w:val="right"/>
              <w:rPr>
                <w:rFonts w:eastAsia="Times New Roman"/>
              </w:rPr>
            </w:pPr>
            <w:r>
              <w:rPr>
                <w:rFonts w:ascii="Arial" w:eastAsia="Times New Roman" w:hAnsi="Arial" w:cs="Arial"/>
                <w:color w:val="000000"/>
                <w:sz w:val="16"/>
                <w:szCs w:val="16"/>
              </w:rPr>
              <w:t>18.1 </w:t>
            </w:r>
          </w:p>
        </w:tc>
        <w:tc>
          <w:tcPr>
            <w:tcW w:w="0" w:type="auto"/>
            <w:shd w:val="clear" w:color="auto" w:fill="CCEEFF"/>
            <w:tcMar>
              <w:top w:w="30" w:type="dxa"/>
              <w:left w:w="0" w:type="dxa"/>
              <w:bottom w:w="30" w:type="dxa"/>
              <w:right w:w="20" w:type="dxa"/>
            </w:tcMar>
            <w:vAlign w:val="bottom"/>
            <w:hideMark/>
          </w:tcPr>
          <w:p w14:paraId="1B129989"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8ED05"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C9A0E7" w14:textId="77777777" w:rsidR="00000000" w:rsidRDefault="00C01C43">
            <w:pPr>
              <w:jc w:val="right"/>
              <w:rPr>
                <w:rFonts w:eastAsia="Times New Roman"/>
              </w:rPr>
            </w:pPr>
            <w:r>
              <w:rPr>
                <w:rFonts w:ascii="Arial" w:eastAsia="Times New Roman" w:hAnsi="Arial" w:cs="Arial"/>
                <w:color w:val="000000"/>
                <w:sz w:val="16"/>
                <w:szCs w:val="16"/>
              </w:rPr>
              <w:t>2.4 </w:t>
            </w:r>
          </w:p>
        </w:tc>
        <w:tc>
          <w:tcPr>
            <w:tcW w:w="0" w:type="auto"/>
            <w:shd w:val="clear" w:color="auto" w:fill="CCEEFF"/>
            <w:tcMar>
              <w:top w:w="30" w:type="dxa"/>
              <w:left w:w="0" w:type="dxa"/>
              <w:bottom w:w="30" w:type="dxa"/>
              <w:right w:w="20" w:type="dxa"/>
            </w:tcMar>
            <w:vAlign w:val="bottom"/>
            <w:hideMark/>
          </w:tcPr>
          <w:p w14:paraId="2E2E675B" w14:textId="77777777" w:rsidR="00000000" w:rsidRDefault="00C01C43">
            <w:pPr>
              <w:jc w:val="right"/>
              <w:rPr>
                <w:rFonts w:eastAsia="Times New Roman"/>
              </w:rPr>
            </w:pPr>
          </w:p>
        </w:tc>
        <w:tc>
          <w:tcPr>
            <w:tcW w:w="0" w:type="auto"/>
            <w:gridSpan w:val="3"/>
            <w:vAlign w:val="center"/>
            <w:hideMark/>
          </w:tcPr>
          <w:p w14:paraId="453FD2B1" w14:textId="77777777" w:rsidR="00000000" w:rsidRDefault="00C01C43">
            <w:pPr>
              <w:jc w:val="right"/>
              <w:rPr>
                <w:rFonts w:eastAsia="Times New Roman"/>
                <w:sz w:val="20"/>
                <w:szCs w:val="20"/>
              </w:rPr>
            </w:pPr>
          </w:p>
        </w:tc>
        <w:tc>
          <w:tcPr>
            <w:tcW w:w="0" w:type="auto"/>
            <w:gridSpan w:val="3"/>
            <w:vAlign w:val="center"/>
            <w:hideMark/>
          </w:tcPr>
          <w:p w14:paraId="3C82B8D4" w14:textId="77777777" w:rsidR="00000000" w:rsidRDefault="00C01C43">
            <w:pPr>
              <w:rPr>
                <w:rFonts w:eastAsia="Times New Roman"/>
                <w:sz w:val="20"/>
                <w:szCs w:val="20"/>
              </w:rPr>
            </w:pPr>
          </w:p>
        </w:tc>
      </w:tr>
      <w:tr w:rsidR="00000000" w14:paraId="4C1971E0" w14:textId="77777777">
        <w:trPr>
          <w:divId w:val="2051565391"/>
          <w:jc w:val="center"/>
        </w:trPr>
        <w:tc>
          <w:tcPr>
            <w:tcW w:w="0" w:type="auto"/>
            <w:gridSpan w:val="3"/>
            <w:shd w:val="clear" w:color="auto" w:fill="FFFFFF"/>
            <w:tcMar>
              <w:top w:w="30" w:type="dxa"/>
              <w:left w:w="20" w:type="dxa"/>
              <w:bottom w:w="30" w:type="dxa"/>
              <w:right w:w="20" w:type="dxa"/>
            </w:tcMar>
            <w:vAlign w:val="bottom"/>
            <w:hideMark/>
          </w:tcPr>
          <w:p w14:paraId="62CDC9B5" w14:textId="77777777" w:rsidR="00000000" w:rsidRDefault="00C01C43">
            <w:pPr>
              <w:rPr>
                <w:rFonts w:eastAsia="Times New Roman"/>
              </w:rPr>
            </w:pPr>
            <w:r>
              <w:rPr>
                <w:rFonts w:ascii="Arial" w:eastAsia="Times New Roman" w:hAnsi="Arial" w:cs="Arial"/>
                <w:color w:val="000000"/>
                <w:sz w:val="16"/>
                <w:szCs w:val="16"/>
              </w:rPr>
              <w:t>Thereafter</w:t>
            </w:r>
          </w:p>
        </w:tc>
        <w:tc>
          <w:tcPr>
            <w:tcW w:w="0" w:type="auto"/>
            <w:gridSpan w:val="2"/>
            <w:shd w:val="clear" w:color="auto" w:fill="FFFFFF"/>
            <w:tcMar>
              <w:top w:w="30" w:type="dxa"/>
              <w:left w:w="20" w:type="dxa"/>
              <w:bottom w:w="30" w:type="dxa"/>
              <w:right w:w="0" w:type="dxa"/>
            </w:tcMar>
            <w:vAlign w:val="bottom"/>
            <w:hideMark/>
          </w:tcPr>
          <w:p w14:paraId="0BC01620" w14:textId="77777777" w:rsidR="00000000" w:rsidRDefault="00C01C43">
            <w:pPr>
              <w:jc w:val="right"/>
              <w:rPr>
                <w:rFonts w:eastAsia="Times New Roman"/>
              </w:rPr>
            </w:pPr>
            <w:r>
              <w:rPr>
                <w:rFonts w:ascii="Arial" w:eastAsia="Times New Roman" w:hAnsi="Arial" w:cs="Arial"/>
                <w:color w:val="000000"/>
                <w:sz w:val="16"/>
                <w:szCs w:val="16"/>
              </w:rPr>
              <w:t>54.2 </w:t>
            </w:r>
          </w:p>
        </w:tc>
        <w:tc>
          <w:tcPr>
            <w:tcW w:w="0" w:type="auto"/>
            <w:shd w:val="clear" w:color="auto" w:fill="FFFFFF"/>
            <w:tcMar>
              <w:top w:w="30" w:type="dxa"/>
              <w:left w:w="0" w:type="dxa"/>
              <w:bottom w:w="30" w:type="dxa"/>
              <w:right w:w="20" w:type="dxa"/>
            </w:tcMar>
            <w:vAlign w:val="bottom"/>
            <w:hideMark/>
          </w:tcPr>
          <w:p w14:paraId="631D764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F8BE2"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B6543E" w14:textId="77777777" w:rsidR="00000000" w:rsidRDefault="00C01C43">
            <w:pPr>
              <w:jc w:val="right"/>
              <w:rPr>
                <w:rFonts w:eastAsia="Times New Roman"/>
              </w:rPr>
            </w:pPr>
            <w:r>
              <w:rPr>
                <w:rFonts w:ascii="Arial" w:eastAsia="Times New Roman" w:hAnsi="Arial" w:cs="Arial"/>
                <w:color w:val="000000"/>
                <w:sz w:val="16"/>
                <w:szCs w:val="16"/>
              </w:rPr>
              <w:t>3.6 </w:t>
            </w:r>
          </w:p>
        </w:tc>
        <w:tc>
          <w:tcPr>
            <w:tcW w:w="0" w:type="auto"/>
            <w:shd w:val="clear" w:color="auto" w:fill="FFFFFF"/>
            <w:tcMar>
              <w:top w:w="30" w:type="dxa"/>
              <w:left w:w="0" w:type="dxa"/>
              <w:bottom w:w="30" w:type="dxa"/>
              <w:right w:w="20" w:type="dxa"/>
            </w:tcMar>
            <w:vAlign w:val="bottom"/>
            <w:hideMark/>
          </w:tcPr>
          <w:p w14:paraId="77CA7ACE" w14:textId="77777777" w:rsidR="00000000" w:rsidRDefault="00C01C43">
            <w:pPr>
              <w:jc w:val="right"/>
              <w:rPr>
                <w:rFonts w:eastAsia="Times New Roman"/>
              </w:rPr>
            </w:pPr>
          </w:p>
        </w:tc>
        <w:tc>
          <w:tcPr>
            <w:tcW w:w="0" w:type="auto"/>
            <w:gridSpan w:val="3"/>
            <w:vAlign w:val="center"/>
            <w:hideMark/>
          </w:tcPr>
          <w:p w14:paraId="2DD61817" w14:textId="77777777" w:rsidR="00000000" w:rsidRDefault="00C01C43">
            <w:pPr>
              <w:jc w:val="right"/>
              <w:rPr>
                <w:rFonts w:eastAsia="Times New Roman"/>
                <w:sz w:val="20"/>
                <w:szCs w:val="20"/>
              </w:rPr>
            </w:pPr>
          </w:p>
        </w:tc>
        <w:tc>
          <w:tcPr>
            <w:tcW w:w="0" w:type="auto"/>
            <w:gridSpan w:val="3"/>
            <w:vAlign w:val="center"/>
            <w:hideMark/>
          </w:tcPr>
          <w:p w14:paraId="0966E986" w14:textId="77777777" w:rsidR="00000000" w:rsidRDefault="00C01C43">
            <w:pPr>
              <w:rPr>
                <w:rFonts w:eastAsia="Times New Roman"/>
                <w:sz w:val="20"/>
                <w:szCs w:val="20"/>
              </w:rPr>
            </w:pPr>
          </w:p>
        </w:tc>
      </w:tr>
      <w:tr w:rsidR="00000000" w14:paraId="07E6B7D9" w14:textId="77777777">
        <w:trPr>
          <w:divId w:val="2051565391"/>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732810F" w14:textId="77777777" w:rsidR="00000000" w:rsidRDefault="00C01C43">
            <w:pPr>
              <w:rPr>
                <w:rFonts w:eastAsia="Times New Roman"/>
              </w:rPr>
            </w:pPr>
            <w:r>
              <w:rPr>
                <w:rFonts w:ascii="Arial" w:eastAsia="Times New Roman" w:hAnsi="Arial" w:cs="Arial"/>
                <w:color w:val="000000"/>
                <w:sz w:val="16"/>
                <w:szCs w:val="16"/>
              </w:rPr>
              <w:t>Total remaining lease payments (undiscounted)</w:t>
            </w:r>
          </w:p>
        </w:tc>
        <w:tc>
          <w:tcPr>
            <w:tcW w:w="0" w:type="auto"/>
            <w:gridSpan w:val="3"/>
            <w:tcBorders>
              <w:top w:val="single" w:sz="8" w:space="0" w:color="000000"/>
            </w:tcBorders>
            <w:shd w:val="clear" w:color="auto" w:fill="CCEEFF"/>
            <w:tcMar>
              <w:top w:w="30" w:type="dxa"/>
              <w:left w:w="20" w:type="dxa"/>
              <w:bottom w:w="30" w:type="dxa"/>
              <w:right w:w="155" w:type="dxa"/>
            </w:tcMar>
            <w:vAlign w:val="bottom"/>
            <w:hideMark/>
          </w:tcPr>
          <w:p w14:paraId="378DD865" w14:textId="77777777" w:rsidR="00000000" w:rsidRDefault="00C01C43">
            <w:pPr>
              <w:jc w:val="right"/>
              <w:rPr>
                <w:rFonts w:eastAsia="Times New Roman"/>
              </w:rPr>
            </w:pPr>
            <w:r>
              <w:rPr>
                <w:rFonts w:ascii="Arial" w:eastAsia="Times New Roman" w:hAnsi="Arial" w:cs="Arial"/>
                <w:color w:val="000000"/>
                <w:sz w:val="16"/>
                <w:szCs w:val="16"/>
              </w:rPr>
              <w:t>192.5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B35A28" w14:textId="77777777" w:rsidR="00000000" w:rsidRDefault="00C01C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96849B" w14:textId="77777777" w:rsidR="00000000" w:rsidRDefault="00C01C43">
            <w:pPr>
              <w:jc w:val="right"/>
              <w:rPr>
                <w:rFonts w:eastAsia="Times New Roman"/>
              </w:rPr>
            </w:pPr>
            <w:r>
              <w:rPr>
                <w:rFonts w:ascii="Arial" w:eastAsia="Times New Roman" w:hAnsi="Arial" w:cs="Arial"/>
                <w:color w:val="000000"/>
                <w:sz w:val="16"/>
                <w:szCs w:val="16"/>
              </w:rPr>
              <w:t>20.2 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69DA25" w14:textId="77777777" w:rsidR="00000000" w:rsidRDefault="00C01C43">
            <w:pPr>
              <w:jc w:val="right"/>
              <w:rPr>
                <w:rFonts w:eastAsia="Times New Roman"/>
              </w:rPr>
            </w:pPr>
          </w:p>
        </w:tc>
        <w:tc>
          <w:tcPr>
            <w:tcW w:w="0" w:type="auto"/>
            <w:gridSpan w:val="3"/>
            <w:vAlign w:val="center"/>
            <w:hideMark/>
          </w:tcPr>
          <w:p w14:paraId="22E27AE2" w14:textId="77777777" w:rsidR="00000000" w:rsidRDefault="00C01C43">
            <w:pPr>
              <w:jc w:val="right"/>
              <w:rPr>
                <w:rFonts w:eastAsia="Times New Roman"/>
                <w:sz w:val="20"/>
                <w:szCs w:val="20"/>
              </w:rPr>
            </w:pPr>
          </w:p>
        </w:tc>
        <w:tc>
          <w:tcPr>
            <w:tcW w:w="0" w:type="auto"/>
            <w:gridSpan w:val="3"/>
            <w:vAlign w:val="center"/>
            <w:hideMark/>
          </w:tcPr>
          <w:p w14:paraId="659107D7" w14:textId="77777777" w:rsidR="00000000" w:rsidRDefault="00C01C43">
            <w:pPr>
              <w:rPr>
                <w:rFonts w:eastAsia="Times New Roman"/>
                <w:sz w:val="20"/>
                <w:szCs w:val="20"/>
              </w:rPr>
            </w:pPr>
          </w:p>
        </w:tc>
      </w:tr>
      <w:tr w:rsidR="00000000" w14:paraId="77C6F455" w14:textId="77777777">
        <w:trPr>
          <w:divId w:val="2051565391"/>
          <w:jc w:val="center"/>
        </w:trPr>
        <w:tc>
          <w:tcPr>
            <w:tcW w:w="0" w:type="auto"/>
            <w:gridSpan w:val="3"/>
            <w:shd w:val="clear" w:color="auto" w:fill="FFFFFF"/>
            <w:tcMar>
              <w:top w:w="30" w:type="dxa"/>
              <w:left w:w="20" w:type="dxa"/>
              <w:bottom w:w="30" w:type="dxa"/>
              <w:right w:w="20" w:type="dxa"/>
            </w:tcMar>
            <w:vAlign w:val="bottom"/>
            <w:hideMark/>
          </w:tcPr>
          <w:p w14:paraId="3927B329" w14:textId="77777777" w:rsidR="00000000" w:rsidRDefault="00C01C43">
            <w:pPr>
              <w:rPr>
                <w:rFonts w:eastAsia="Times New Roman"/>
              </w:rPr>
            </w:pPr>
            <w:r>
              <w:rPr>
                <w:rFonts w:ascii="Arial" w:eastAsia="Times New Roman" w:hAnsi="Arial" w:cs="Arial"/>
                <w:color w:val="000000"/>
                <w:sz w:val="16"/>
                <w:szCs w:val="16"/>
              </w:rPr>
              <w:t>Less: imputed interest</w:t>
            </w:r>
          </w:p>
        </w:tc>
        <w:tc>
          <w:tcPr>
            <w:tcW w:w="0" w:type="auto"/>
            <w:gridSpan w:val="3"/>
            <w:shd w:val="clear" w:color="auto" w:fill="FFFFFF"/>
            <w:tcMar>
              <w:top w:w="30" w:type="dxa"/>
              <w:left w:w="20" w:type="dxa"/>
              <w:bottom w:w="30" w:type="dxa"/>
              <w:right w:w="155" w:type="dxa"/>
            </w:tcMar>
            <w:vAlign w:val="bottom"/>
            <w:hideMark/>
          </w:tcPr>
          <w:p w14:paraId="4310EFA1" w14:textId="77777777" w:rsidR="00000000" w:rsidRDefault="00C01C43">
            <w:pPr>
              <w:jc w:val="right"/>
              <w:rPr>
                <w:rFonts w:eastAsia="Times New Roman"/>
              </w:rPr>
            </w:pPr>
            <w:r>
              <w:rPr>
                <w:rFonts w:ascii="Arial" w:eastAsia="Times New Roman" w:hAnsi="Arial" w:cs="Arial"/>
                <w:color w:val="000000"/>
                <w:sz w:val="16"/>
                <w:szCs w:val="16"/>
              </w:rPr>
              <w:t>34.9</w:t>
            </w:r>
          </w:p>
        </w:tc>
        <w:tc>
          <w:tcPr>
            <w:tcW w:w="0" w:type="auto"/>
            <w:gridSpan w:val="3"/>
            <w:shd w:val="clear" w:color="auto" w:fill="FFFFFF"/>
            <w:tcMar>
              <w:top w:w="0" w:type="dxa"/>
              <w:left w:w="20" w:type="dxa"/>
              <w:bottom w:w="0" w:type="dxa"/>
              <w:right w:w="20" w:type="dxa"/>
            </w:tcMar>
            <w:vAlign w:val="center"/>
            <w:hideMark/>
          </w:tcPr>
          <w:p w14:paraId="7BC5D51E" w14:textId="77777777" w:rsidR="00000000" w:rsidRDefault="00C01C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8DD3BC" w14:textId="77777777" w:rsidR="00000000" w:rsidRDefault="00C01C43">
            <w:pPr>
              <w:jc w:val="right"/>
              <w:rPr>
                <w:rFonts w:eastAsia="Times New Roman"/>
              </w:rPr>
            </w:pPr>
            <w:r>
              <w:rPr>
                <w:rFonts w:ascii="Arial" w:eastAsia="Times New Roman" w:hAnsi="Arial" w:cs="Arial"/>
                <w:color w:val="000000"/>
                <w:sz w:val="16"/>
                <w:szCs w:val="16"/>
              </w:rPr>
              <w:t>1.9 </w:t>
            </w:r>
          </w:p>
        </w:tc>
        <w:tc>
          <w:tcPr>
            <w:tcW w:w="0" w:type="auto"/>
            <w:shd w:val="clear" w:color="auto" w:fill="FFFFFF"/>
            <w:tcMar>
              <w:top w:w="30" w:type="dxa"/>
              <w:left w:w="0" w:type="dxa"/>
              <w:bottom w:w="30" w:type="dxa"/>
              <w:right w:w="20" w:type="dxa"/>
            </w:tcMar>
            <w:vAlign w:val="bottom"/>
            <w:hideMark/>
          </w:tcPr>
          <w:p w14:paraId="2F00CC9B" w14:textId="77777777" w:rsidR="00000000" w:rsidRDefault="00C01C43">
            <w:pPr>
              <w:jc w:val="right"/>
              <w:rPr>
                <w:rFonts w:eastAsia="Times New Roman"/>
              </w:rPr>
            </w:pPr>
          </w:p>
        </w:tc>
        <w:tc>
          <w:tcPr>
            <w:tcW w:w="0" w:type="auto"/>
            <w:gridSpan w:val="3"/>
            <w:vAlign w:val="center"/>
            <w:hideMark/>
          </w:tcPr>
          <w:p w14:paraId="4CB63325" w14:textId="77777777" w:rsidR="00000000" w:rsidRDefault="00C01C43">
            <w:pPr>
              <w:jc w:val="right"/>
              <w:rPr>
                <w:rFonts w:eastAsia="Times New Roman"/>
                <w:sz w:val="20"/>
                <w:szCs w:val="20"/>
              </w:rPr>
            </w:pPr>
          </w:p>
        </w:tc>
        <w:tc>
          <w:tcPr>
            <w:tcW w:w="0" w:type="auto"/>
            <w:gridSpan w:val="3"/>
            <w:vAlign w:val="center"/>
            <w:hideMark/>
          </w:tcPr>
          <w:p w14:paraId="04D4EE4F" w14:textId="77777777" w:rsidR="00000000" w:rsidRDefault="00C01C43">
            <w:pPr>
              <w:rPr>
                <w:rFonts w:eastAsia="Times New Roman"/>
                <w:sz w:val="20"/>
                <w:szCs w:val="20"/>
              </w:rPr>
            </w:pPr>
          </w:p>
        </w:tc>
      </w:tr>
      <w:tr w:rsidR="00000000" w14:paraId="76742552" w14:textId="77777777">
        <w:trPr>
          <w:divId w:val="2051565391"/>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26986474" w14:textId="77777777" w:rsidR="00000000" w:rsidRDefault="00C01C43">
            <w:pPr>
              <w:rPr>
                <w:rFonts w:eastAsia="Times New Roman"/>
              </w:rPr>
            </w:pPr>
            <w:r>
              <w:rPr>
                <w:rFonts w:ascii="Arial" w:eastAsia="Times New Roman" w:hAnsi="Arial" w:cs="Arial"/>
                <w:color w:val="000000"/>
                <w:sz w:val="16"/>
                <w:szCs w:val="16"/>
              </w:rPr>
              <w:t>Present value of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528E7B" w14:textId="77777777" w:rsidR="00000000" w:rsidRDefault="00C01C43">
            <w:pPr>
              <w:rPr>
                <w:rFonts w:eastAsia="Times New Roman"/>
              </w:rPr>
            </w:pPr>
            <w:r>
              <w:rPr>
                <w:rFonts w:ascii="Arial" w:eastAsia="Times New Roman" w:hAnsi="Arial" w:cs="Arial"/>
                <w:color w:val="000000"/>
                <w:sz w:val="16"/>
                <w:szCs w:val="16"/>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55" w:type="dxa"/>
            </w:tcMar>
            <w:vAlign w:val="bottom"/>
            <w:hideMark/>
          </w:tcPr>
          <w:p w14:paraId="5D30E471" w14:textId="77777777" w:rsidR="00000000" w:rsidRDefault="00C01C43">
            <w:pPr>
              <w:jc w:val="right"/>
              <w:rPr>
                <w:rFonts w:eastAsia="Times New Roman"/>
              </w:rPr>
            </w:pPr>
            <w:r>
              <w:rPr>
                <w:rFonts w:ascii="Arial" w:eastAsia="Times New Roman" w:hAnsi="Arial" w:cs="Arial"/>
                <w:color w:val="000000"/>
                <w:sz w:val="16"/>
                <w:szCs w:val="16"/>
              </w:rPr>
              <w:t>157.6</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7B8A223" w14:textId="77777777" w:rsidR="00000000" w:rsidRDefault="00C01C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30DF73"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F9043D" w14:textId="77777777" w:rsidR="00000000" w:rsidRDefault="00C01C43">
            <w:pPr>
              <w:jc w:val="right"/>
              <w:rPr>
                <w:rFonts w:eastAsia="Times New Roman"/>
              </w:rPr>
            </w:pPr>
            <w:r>
              <w:rPr>
                <w:rFonts w:ascii="Arial" w:eastAsia="Times New Roman" w:hAnsi="Arial" w:cs="Arial"/>
                <w:color w:val="000000"/>
                <w:sz w:val="16"/>
                <w:szCs w:val="16"/>
              </w:rPr>
              <w:t>18.2 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245A40" w14:textId="77777777" w:rsidR="00000000" w:rsidRDefault="00C01C43">
            <w:pPr>
              <w:jc w:val="right"/>
              <w:rPr>
                <w:rFonts w:eastAsia="Times New Roman"/>
              </w:rPr>
            </w:pPr>
          </w:p>
        </w:tc>
        <w:tc>
          <w:tcPr>
            <w:tcW w:w="0" w:type="auto"/>
            <w:gridSpan w:val="3"/>
            <w:vAlign w:val="center"/>
            <w:hideMark/>
          </w:tcPr>
          <w:p w14:paraId="23A704AC" w14:textId="77777777" w:rsidR="00000000" w:rsidRDefault="00C01C43">
            <w:pPr>
              <w:jc w:val="right"/>
              <w:rPr>
                <w:rFonts w:eastAsia="Times New Roman"/>
                <w:sz w:val="20"/>
                <w:szCs w:val="20"/>
              </w:rPr>
            </w:pPr>
          </w:p>
        </w:tc>
        <w:tc>
          <w:tcPr>
            <w:tcW w:w="0" w:type="auto"/>
            <w:gridSpan w:val="3"/>
            <w:vAlign w:val="center"/>
            <w:hideMark/>
          </w:tcPr>
          <w:p w14:paraId="596AEF88" w14:textId="77777777" w:rsidR="00000000" w:rsidRDefault="00C01C43">
            <w:pPr>
              <w:rPr>
                <w:rFonts w:eastAsia="Times New Roman"/>
                <w:sz w:val="20"/>
                <w:szCs w:val="20"/>
              </w:rPr>
            </w:pPr>
          </w:p>
        </w:tc>
      </w:tr>
    </w:tbl>
    <w:p w14:paraId="60C8B0B9" w14:textId="77777777" w:rsidR="00000000" w:rsidRDefault="00C01C43">
      <w:pPr>
        <w:jc w:val="both"/>
        <w:rPr>
          <w:rFonts w:eastAsia="Times New Roman"/>
        </w:rPr>
      </w:pPr>
    </w:p>
    <w:p w14:paraId="0E30A5D1" w14:textId="77777777" w:rsidR="00000000" w:rsidRDefault="00C01C43">
      <w:pPr>
        <w:jc w:val="both"/>
        <w:rPr>
          <w:rFonts w:eastAsia="Times New Roman"/>
        </w:rPr>
      </w:pPr>
      <w:r>
        <w:rPr>
          <w:rFonts w:ascii="Arial" w:eastAsia="Times New Roman" w:hAnsi="Arial" w:cs="Arial"/>
          <w:color w:val="000000"/>
          <w:sz w:val="20"/>
          <w:szCs w:val="20"/>
        </w:rPr>
        <w:t>Supplemental balance sheet information related to leases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927"/>
        <w:gridCol w:w="36"/>
        <w:gridCol w:w="40"/>
        <w:gridCol w:w="3265"/>
        <w:gridCol w:w="36"/>
        <w:gridCol w:w="36"/>
        <w:gridCol w:w="36"/>
        <w:gridCol w:w="36"/>
        <w:gridCol w:w="110"/>
        <w:gridCol w:w="1102"/>
        <w:gridCol w:w="36"/>
        <w:gridCol w:w="36"/>
        <w:gridCol w:w="36"/>
        <w:gridCol w:w="36"/>
        <w:gridCol w:w="110"/>
        <w:gridCol w:w="1137"/>
        <w:gridCol w:w="36"/>
        <w:gridCol w:w="36"/>
        <w:gridCol w:w="36"/>
        <w:gridCol w:w="36"/>
        <w:gridCol w:w="36"/>
        <w:gridCol w:w="36"/>
        <w:gridCol w:w="36"/>
      </w:tblGrid>
      <w:tr w:rsidR="00000000" w14:paraId="3B6A2A69" w14:textId="77777777">
        <w:trPr>
          <w:divId w:val="213085943"/>
          <w:jc w:val="center"/>
        </w:trPr>
        <w:tc>
          <w:tcPr>
            <w:tcW w:w="50" w:type="pct"/>
            <w:vAlign w:val="center"/>
            <w:hideMark/>
          </w:tcPr>
          <w:p w14:paraId="7B55F905" w14:textId="77777777" w:rsidR="00000000" w:rsidRDefault="00C01C43">
            <w:pPr>
              <w:jc w:val="both"/>
              <w:rPr>
                <w:rFonts w:eastAsia="Times New Roman"/>
              </w:rPr>
            </w:pPr>
          </w:p>
        </w:tc>
        <w:tc>
          <w:tcPr>
            <w:tcW w:w="1216" w:type="pct"/>
            <w:vAlign w:val="center"/>
            <w:hideMark/>
          </w:tcPr>
          <w:p w14:paraId="2C3F3A91" w14:textId="77777777" w:rsidR="00000000" w:rsidRDefault="00C01C43">
            <w:pPr>
              <w:rPr>
                <w:rFonts w:eastAsia="Times New Roman"/>
                <w:sz w:val="20"/>
                <w:szCs w:val="20"/>
              </w:rPr>
            </w:pPr>
          </w:p>
        </w:tc>
        <w:tc>
          <w:tcPr>
            <w:tcW w:w="5" w:type="pct"/>
            <w:vAlign w:val="center"/>
            <w:hideMark/>
          </w:tcPr>
          <w:p w14:paraId="10B688FF" w14:textId="77777777" w:rsidR="00000000" w:rsidRDefault="00C01C43">
            <w:pPr>
              <w:rPr>
                <w:rFonts w:eastAsia="Times New Roman"/>
                <w:sz w:val="20"/>
                <w:szCs w:val="20"/>
              </w:rPr>
            </w:pPr>
          </w:p>
        </w:tc>
        <w:tc>
          <w:tcPr>
            <w:tcW w:w="50" w:type="pct"/>
            <w:vAlign w:val="center"/>
            <w:hideMark/>
          </w:tcPr>
          <w:p w14:paraId="45B25A94" w14:textId="77777777" w:rsidR="00000000" w:rsidRDefault="00C01C43">
            <w:pPr>
              <w:rPr>
                <w:rFonts w:eastAsia="Times New Roman"/>
                <w:sz w:val="20"/>
                <w:szCs w:val="20"/>
              </w:rPr>
            </w:pPr>
          </w:p>
        </w:tc>
        <w:tc>
          <w:tcPr>
            <w:tcW w:w="2042" w:type="pct"/>
            <w:vAlign w:val="center"/>
            <w:hideMark/>
          </w:tcPr>
          <w:p w14:paraId="6649C597" w14:textId="77777777" w:rsidR="00000000" w:rsidRDefault="00C01C43">
            <w:pPr>
              <w:rPr>
                <w:rFonts w:eastAsia="Times New Roman"/>
                <w:sz w:val="20"/>
                <w:szCs w:val="20"/>
              </w:rPr>
            </w:pPr>
          </w:p>
        </w:tc>
        <w:tc>
          <w:tcPr>
            <w:tcW w:w="5" w:type="pct"/>
            <w:vAlign w:val="center"/>
            <w:hideMark/>
          </w:tcPr>
          <w:p w14:paraId="372E2C4A" w14:textId="77777777" w:rsidR="00000000" w:rsidRDefault="00C01C43">
            <w:pPr>
              <w:rPr>
                <w:rFonts w:eastAsia="Times New Roman"/>
                <w:sz w:val="20"/>
                <w:szCs w:val="20"/>
              </w:rPr>
            </w:pPr>
          </w:p>
        </w:tc>
        <w:tc>
          <w:tcPr>
            <w:tcW w:w="5" w:type="pct"/>
            <w:vAlign w:val="center"/>
            <w:hideMark/>
          </w:tcPr>
          <w:p w14:paraId="0165E515" w14:textId="77777777" w:rsidR="00000000" w:rsidRDefault="00C01C43">
            <w:pPr>
              <w:rPr>
                <w:rFonts w:eastAsia="Times New Roman"/>
                <w:sz w:val="20"/>
                <w:szCs w:val="20"/>
              </w:rPr>
            </w:pPr>
          </w:p>
        </w:tc>
        <w:tc>
          <w:tcPr>
            <w:tcW w:w="26" w:type="pct"/>
            <w:vAlign w:val="center"/>
            <w:hideMark/>
          </w:tcPr>
          <w:p w14:paraId="3D121412" w14:textId="77777777" w:rsidR="00000000" w:rsidRDefault="00C01C43">
            <w:pPr>
              <w:rPr>
                <w:rFonts w:eastAsia="Times New Roman"/>
                <w:sz w:val="20"/>
                <w:szCs w:val="20"/>
              </w:rPr>
            </w:pPr>
          </w:p>
        </w:tc>
        <w:tc>
          <w:tcPr>
            <w:tcW w:w="5" w:type="pct"/>
            <w:vAlign w:val="center"/>
            <w:hideMark/>
          </w:tcPr>
          <w:p w14:paraId="7998CE47" w14:textId="77777777" w:rsidR="00000000" w:rsidRDefault="00C01C43">
            <w:pPr>
              <w:rPr>
                <w:rFonts w:eastAsia="Times New Roman"/>
                <w:sz w:val="20"/>
                <w:szCs w:val="20"/>
              </w:rPr>
            </w:pPr>
          </w:p>
        </w:tc>
        <w:tc>
          <w:tcPr>
            <w:tcW w:w="50" w:type="pct"/>
            <w:vAlign w:val="center"/>
            <w:hideMark/>
          </w:tcPr>
          <w:p w14:paraId="762E79FE" w14:textId="77777777" w:rsidR="00000000" w:rsidRDefault="00C01C43">
            <w:pPr>
              <w:rPr>
                <w:rFonts w:eastAsia="Times New Roman"/>
                <w:sz w:val="20"/>
                <w:szCs w:val="20"/>
              </w:rPr>
            </w:pPr>
          </w:p>
        </w:tc>
        <w:tc>
          <w:tcPr>
            <w:tcW w:w="727" w:type="pct"/>
            <w:vAlign w:val="center"/>
            <w:hideMark/>
          </w:tcPr>
          <w:p w14:paraId="700AFD62" w14:textId="77777777" w:rsidR="00000000" w:rsidRDefault="00C01C43">
            <w:pPr>
              <w:rPr>
                <w:rFonts w:eastAsia="Times New Roman"/>
                <w:sz w:val="20"/>
                <w:szCs w:val="20"/>
              </w:rPr>
            </w:pPr>
          </w:p>
        </w:tc>
        <w:tc>
          <w:tcPr>
            <w:tcW w:w="5" w:type="pct"/>
            <w:vAlign w:val="center"/>
            <w:hideMark/>
          </w:tcPr>
          <w:p w14:paraId="70A77908" w14:textId="77777777" w:rsidR="00000000" w:rsidRDefault="00C01C43">
            <w:pPr>
              <w:rPr>
                <w:rFonts w:eastAsia="Times New Roman"/>
                <w:sz w:val="20"/>
                <w:szCs w:val="20"/>
              </w:rPr>
            </w:pPr>
          </w:p>
        </w:tc>
        <w:tc>
          <w:tcPr>
            <w:tcW w:w="5" w:type="pct"/>
            <w:vAlign w:val="center"/>
            <w:hideMark/>
          </w:tcPr>
          <w:p w14:paraId="63DB1F6A" w14:textId="77777777" w:rsidR="00000000" w:rsidRDefault="00C01C43">
            <w:pPr>
              <w:rPr>
                <w:rFonts w:eastAsia="Times New Roman"/>
                <w:sz w:val="20"/>
                <w:szCs w:val="20"/>
              </w:rPr>
            </w:pPr>
          </w:p>
        </w:tc>
        <w:tc>
          <w:tcPr>
            <w:tcW w:w="19" w:type="pct"/>
            <w:vAlign w:val="center"/>
            <w:hideMark/>
          </w:tcPr>
          <w:p w14:paraId="68511AEB" w14:textId="77777777" w:rsidR="00000000" w:rsidRDefault="00C01C43">
            <w:pPr>
              <w:rPr>
                <w:rFonts w:eastAsia="Times New Roman"/>
                <w:sz w:val="20"/>
                <w:szCs w:val="20"/>
              </w:rPr>
            </w:pPr>
          </w:p>
        </w:tc>
        <w:tc>
          <w:tcPr>
            <w:tcW w:w="5" w:type="pct"/>
            <w:vAlign w:val="center"/>
            <w:hideMark/>
          </w:tcPr>
          <w:p w14:paraId="0A829B6A" w14:textId="77777777" w:rsidR="00000000" w:rsidRDefault="00C01C43">
            <w:pPr>
              <w:rPr>
                <w:rFonts w:eastAsia="Times New Roman"/>
                <w:sz w:val="20"/>
                <w:szCs w:val="20"/>
              </w:rPr>
            </w:pPr>
          </w:p>
        </w:tc>
        <w:tc>
          <w:tcPr>
            <w:tcW w:w="50" w:type="pct"/>
            <w:vAlign w:val="center"/>
            <w:hideMark/>
          </w:tcPr>
          <w:p w14:paraId="4F90F684" w14:textId="77777777" w:rsidR="00000000" w:rsidRDefault="00C01C43">
            <w:pPr>
              <w:rPr>
                <w:rFonts w:eastAsia="Times New Roman"/>
                <w:sz w:val="20"/>
                <w:szCs w:val="20"/>
              </w:rPr>
            </w:pPr>
          </w:p>
        </w:tc>
        <w:tc>
          <w:tcPr>
            <w:tcW w:w="727" w:type="pct"/>
            <w:vAlign w:val="center"/>
            <w:hideMark/>
          </w:tcPr>
          <w:p w14:paraId="074E0AF6" w14:textId="77777777" w:rsidR="00000000" w:rsidRDefault="00C01C43">
            <w:pPr>
              <w:rPr>
                <w:rFonts w:eastAsia="Times New Roman"/>
                <w:sz w:val="20"/>
                <w:szCs w:val="20"/>
              </w:rPr>
            </w:pPr>
          </w:p>
        </w:tc>
        <w:tc>
          <w:tcPr>
            <w:tcW w:w="5" w:type="pct"/>
            <w:vAlign w:val="center"/>
            <w:hideMark/>
          </w:tcPr>
          <w:p w14:paraId="58072D26" w14:textId="77777777" w:rsidR="00000000" w:rsidRDefault="00C01C43">
            <w:pPr>
              <w:rPr>
                <w:rFonts w:eastAsia="Times New Roman"/>
                <w:sz w:val="20"/>
                <w:szCs w:val="20"/>
              </w:rPr>
            </w:pPr>
          </w:p>
        </w:tc>
        <w:tc>
          <w:tcPr>
            <w:tcW w:w="0" w:type="auto"/>
            <w:gridSpan w:val="3"/>
            <w:vAlign w:val="center"/>
            <w:hideMark/>
          </w:tcPr>
          <w:p w14:paraId="265BE3F9" w14:textId="77777777" w:rsidR="00000000" w:rsidRDefault="00C01C43">
            <w:pPr>
              <w:rPr>
                <w:rFonts w:eastAsia="Times New Roman"/>
                <w:sz w:val="20"/>
                <w:szCs w:val="20"/>
              </w:rPr>
            </w:pPr>
          </w:p>
        </w:tc>
        <w:tc>
          <w:tcPr>
            <w:tcW w:w="0" w:type="auto"/>
            <w:gridSpan w:val="3"/>
            <w:vAlign w:val="center"/>
            <w:hideMark/>
          </w:tcPr>
          <w:p w14:paraId="2E4580C7" w14:textId="77777777" w:rsidR="00000000" w:rsidRDefault="00C01C43">
            <w:pPr>
              <w:rPr>
                <w:rFonts w:eastAsia="Times New Roman"/>
                <w:sz w:val="20"/>
                <w:szCs w:val="20"/>
              </w:rPr>
            </w:pPr>
          </w:p>
        </w:tc>
      </w:tr>
      <w:tr w:rsidR="00000000" w14:paraId="098A32A8" w14:textId="77777777">
        <w:trPr>
          <w:divId w:val="213085943"/>
          <w:jc w:val="center"/>
        </w:trPr>
        <w:tc>
          <w:tcPr>
            <w:tcW w:w="0" w:type="auto"/>
            <w:gridSpan w:val="3"/>
            <w:shd w:val="clear" w:color="auto" w:fill="FFFFFF"/>
            <w:tcMar>
              <w:top w:w="0" w:type="dxa"/>
              <w:left w:w="20" w:type="dxa"/>
              <w:bottom w:w="0" w:type="dxa"/>
              <w:right w:w="20" w:type="dxa"/>
            </w:tcMar>
            <w:vAlign w:val="center"/>
            <w:hideMark/>
          </w:tcPr>
          <w:p w14:paraId="72E9C8FF" w14:textId="77777777" w:rsidR="00000000" w:rsidRDefault="00C01C4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DD0CA16" w14:textId="77777777" w:rsidR="00000000" w:rsidRDefault="00C01C43">
            <w:pPr>
              <w:jc w:val="center"/>
              <w:rPr>
                <w:rFonts w:eastAsia="Times New Roman"/>
              </w:rPr>
            </w:pPr>
            <w:r>
              <w:rPr>
                <w:rFonts w:ascii="Arial" w:eastAsia="Times New Roman" w:hAnsi="Arial" w:cs="Arial"/>
                <w:b/>
                <w:bCs/>
                <w:color w:val="000000"/>
                <w:sz w:val="16"/>
                <w:szCs w:val="16"/>
              </w:rPr>
              <w:t>Classification</w:t>
            </w:r>
          </w:p>
        </w:tc>
        <w:tc>
          <w:tcPr>
            <w:tcW w:w="0" w:type="auto"/>
            <w:gridSpan w:val="3"/>
            <w:tcMar>
              <w:top w:w="0" w:type="dxa"/>
              <w:left w:w="20" w:type="dxa"/>
              <w:bottom w:w="0" w:type="dxa"/>
              <w:right w:w="20" w:type="dxa"/>
            </w:tcMar>
            <w:vAlign w:val="center"/>
            <w:hideMark/>
          </w:tcPr>
          <w:p w14:paraId="1DE573C1"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center"/>
            <w:hideMark/>
          </w:tcPr>
          <w:p w14:paraId="06966AB7" w14:textId="77777777" w:rsidR="00000000" w:rsidRDefault="00C01C43">
            <w:pPr>
              <w:jc w:val="center"/>
              <w:rPr>
                <w:rFonts w:eastAsia="Times New Roman"/>
              </w:rPr>
            </w:pPr>
            <w:r>
              <w:rPr>
                <w:rFonts w:ascii="Arial" w:eastAsia="Times New Roman" w:hAnsi="Arial" w:cs="Arial"/>
                <w:b/>
                <w:bCs/>
                <w:color w:val="333333"/>
                <w:sz w:val="16"/>
                <w:szCs w:val="16"/>
              </w:rPr>
              <w:t>As of December 31, 2020</w:t>
            </w:r>
          </w:p>
        </w:tc>
        <w:tc>
          <w:tcPr>
            <w:tcW w:w="0" w:type="auto"/>
            <w:gridSpan w:val="3"/>
            <w:tcBorders>
              <w:bottom w:val="single" w:sz="8" w:space="0" w:color="000000"/>
            </w:tcBorders>
            <w:tcMar>
              <w:top w:w="0" w:type="dxa"/>
              <w:left w:w="20" w:type="dxa"/>
              <w:bottom w:w="0" w:type="dxa"/>
              <w:right w:w="20" w:type="dxa"/>
            </w:tcMar>
            <w:vAlign w:val="center"/>
            <w:hideMark/>
          </w:tcPr>
          <w:p w14:paraId="5388996A" w14:textId="77777777" w:rsidR="00000000" w:rsidRDefault="00C01C4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14:paraId="3A72546B" w14:textId="77777777" w:rsidR="00000000" w:rsidRDefault="00C01C43">
            <w:pPr>
              <w:jc w:val="center"/>
              <w:rPr>
                <w:rFonts w:eastAsia="Times New Roman"/>
              </w:rPr>
            </w:pPr>
            <w:r>
              <w:rPr>
                <w:rFonts w:ascii="Arial" w:eastAsia="Times New Roman" w:hAnsi="Arial" w:cs="Arial"/>
                <w:b/>
                <w:bCs/>
                <w:color w:val="333333"/>
                <w:sz w:val="16"/>
                <w:szCs w:val="16"/>
              </w:rPr>
              <w:t>As of December 31, 2019</w:t>
            </w:r>
          </w:p>
        </w:tc>
        <w:tc>
          <w:tcPr>
            <w:tcW w:w="0" w:type="auto"/>
            <w:gridSpan w:val="3"/>
            <w:vAlign w:val="center"/>
            <w:hideMark/>
          </w:tcPr>
          <w:p w14:paraId="4F1D6FB3" w14:textId="77777777" w:rsidR="00000000" w:rsidRDefault="00C01C43">
            <w:pPr>
              <w:jc w:val="center"/>
              <w:rPr>
                <w:rFonts w:eastAsia="Times New Roman"/>
              </w:rPr>
            </w:pPr>
          </w:p>
        </w:tc>
        <w:tc>
          <w:tcPr>
            <w:tcW w:w="0" w:type="auto"/>
            <w:gridSpan w:val="3"/>
            <w:vAlign w:val="center"/>
            <w:hideMark/>
          </w:tcPr>
          <w:p w14:paraId="37531645" w14:textId="77777777" w:rsidR="00000000" w:rsidRDefault="00C01C43">
            <w:pPr>
              <w:rPr>
                <w:rFonts w:eastAsia="Times New Roman"/>
                <w:sz w:val="20"/>
                <w:szCs w:val="20"/>
              </w:rPr>
            </w:pPr>
          </w:p>
        </w:tc>
      </w:tr>
      <w:tr w:rsidR="00000000" w14:paraId="2F96B4BF" w14:textId="77777777">
        <w:trPr>
          <w:divId w:val="213085943"/>
          <w:jc w:val="center"/>
        </w:trPr>
        <w:tc>
          <w:tcPr>
            <w:tcW w:w="0" w:type="auto"/>
            <w:gridSpan w:val="3"/>
            <w:shd w:val="clear" w:color="auto" w:fill="CCEEFF"/>
            <w:tcMar>
              <w:top w:w="30" w:type="dxa"/>
              <w:left w:w="20" w:type="dxa"/>
              <w:bottom w:w="30" w:type="dxa"/>
              <w:right w:w="20" w:type="dxa"/>
            </w:tcMar>
            <w:hideMark/>
          </w:tcPr>
          <w:p w14:paraId="15C6057D" w14:textId="77777777" w:rsidR="00000000" w:rsidRDefault="00C01C43">
            <w:pPr>
              <w:rPr>
                <w:rFonts w:eastAsia="Times New Roman"/>
              </w:rPr>
            </w:pPr>
            <w:r>
              <w:rPr>
                <w:rFonts w:ascii="Arial" w:eastAsia="Times New Roman" w:hAnsi="Arial" w:cs="Arial"/>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CD5790"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A51045" w14:textId="77777777" w:rsidR="00000000" w:rsidRDefault="00C01C43">
            <w:pPr>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5F6E028D" w14:textId="77777777" w:rsidR="00000000" w:rsidRDefault="00C01C43">
            <w:pPr>
              <w:rPr>
                <w:rFonts w:eastAsia="Times New Roman"/>
                <w:sz w:val="20"/>
                <w:szCs w:val="20"/>
              </w:rPr>
            </w:pPr>
          </w:p>
        </w:tc>
        <w:tc>
          <w:tcPr>
            <w:tcW w:w="0" w:type="auto"/>
            <w:vAlign w:val="center"/>
            <w:hideMark/>
          </w:tcPr>
          <w:p w14:paraId="1A64D31C" w14:textId="77777777" w:rsidR="00000000" w:rsidRDefault="00C01C43">
            <w:pPr>
              <w:rPr>
                <w:rFonts w:eastAsia="Times New Roman"/>
                <w:sz w:val="20"/>
                <w:szCs w:val="20"/>
              </w:rPr>
            </w:pPr>
          </w:p>
        </w:tc>
        <w:tc>
          <w:tcPr>
            <w:tcW w:w="0" w:type="auto"/>
            <w:vAlign w:val="center"/>
            <w:hideMark/>
          </w:tcPr>
          <w:p w14:paraId="2903A4A0" w14:textId="77777777" w:rsidR="00000000" w:rsidRDefault="00C01C43">
            <w:pPr>
              <w:rPr>
                <w:rFonts w:eastAsia="Times New Roman"/>
                <w:sz w:val="20"/>
                <w:szCs w:val="20"/>
              </w:rPr>
            </w:pPr>
          </w:p>
        </w:tc>
        <w:tc>
          <w:tcPr>
            <w:tcW w:w="0" w:type="auto"/>
            <w:vAlign w:val="center"/>
            <w:hideMark/>
          </w:tcPr>
          <w:p w14:paraId="0BCF6499" w14:textId="77777777" w:rsidR="00000000" w:rsidRDefault="00C01C43">
            <w:pPr>
              <w:rPr>
                <w:rFonts w:eastAsia="Times New Roman"/>
                <w:sz w:val="20"/>
                <w:szCs w:val="20"/>
              </w:rPr>
            </w:pPr>
          </w:p>
        </w:tc>
        <w:tc>
          <w:tcPr>
            <w:tcW w:w="0" w:type="auto"/>
            <w:vAlign w:val="center"/>
            <w:hideMark/>
          </w:tcPr>
          <w:p w14:paraId="2E52E639" w14:textId="77777777" w:rsidR="00000000" w:rsidRDefault="00C01C43">
            <w:pPr>
              <w:rPr>
                <w:rFonts w:eastAsia="Times New Roman"/>
                <w:sz w:val="20"/>
                <w:szCs w:val="20"/>
              </w:rPr>
            </w:pPr>
          </w:p>
        </w:tc>
        <w:tc>
          <w:tcPr>
            <w:tcW w:w="0" w:type="auto"/>
            <w:vAlign w:val="center"/>
            <w:hideMark/>
          </w:tcPr>
          <w:p w14:paraId="3D56EBBA" w14:textId="77777777" w:rsidR="00000000" w:rsidRDefault="00C01C43">
            <w:pPr>
              <w:rPr>
                <w:rFonts w:eastAsia="Times New Roman"/>
                <w:sz w:val="20"/>
                <w:szCs w:val="20"/>
              </w:rPr>
            </w:pPr>
          </w:p>
        </w:tc>
        <w:tc>
          <w:tcPr>
            <w:tcW w:w="0" w:type="auto"/>
            <w:vAlign w:val="center"/>
            <w:hideMark/>
          </w:tcPr>
          <w:p w14:paraId="4A9E224D" w14:textId="77777777" w:rsidR="00000000" w:rsidRDefault="00C01C43">
            <w:pPr>
              <w:rPr>
                <w:rFonts w:eastAsia="Times New Roman"/>
                <w:sz w:val="20"/>
                <w:szCs w:val="20"/>
              </w:rPr>
            </w:pPr>
          </w:p>
        </w:tc>
      </w:tr>
      <w:tr w:rsidR="00000000" w14:paraId="0E148ADF" w14:textId="77777777">
        <w:trPr>
          <w:divId w:val="213085943"/>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14:paraId="43A0D5E2" w14:textId="77777777" w:rsidR="00000000" w:rsidRDefault="00C01C43">
            <w:pPr>
              <w:rPr>
                <w:rFonts w:eastAsia="Times New Roman"/>
              </w:rPr>
            </w:pPr>
            <w:r>
              <w:rPr>
                <w:rFonts w:ascii="Arial" w:eastAsia="Times New Roman" w:hAnsi="Arial" w:cs="Arial"/>
                <w:color w:val="000000"/>
                <w:sz w:val="16"/>
                <w:szCs w:val="16"/>
              </w:rPr>
              <w:t>Operating Lease Assets</w:t>
            </w:r>
          </w:p>
        </w:tc>
        <w:tc>
          <w:tcPr>
            <w:tcW w:w="0" w:type="auto"/>
            <w:gridSpan w:val="3"/>
            <w:tcBorders>
              <w:top w:val="single" w:sz="8" w:space="0" w:color="000000"/>
            </w:tcBorders>
            <w:shd w:val="clear" w:color="auto" w:fill="FFFFFF"/>
            <w:tcMar>
              <w:top w:w="30" w:type="dxa"/>
              <w:left w:w="20" w:type="dxa"/>
              <w:bottom w:w="30" w:type="dxa"/>
              <w:right w:w="20" w:type="dxa"/>
            </w:tcMar>
            <w:hideMark/>
          </w:tcPr>
          <w:p w14:paraId="0C3A186B" w14:textId="77777777" w:rsidR="00000000" w:rsidRDefault="00C01C43">
            <w:pPr>
              <w:rPr>
                <w:rFonts w:eastAsia="Times New Roman"/>
              </w:rPr>
            </w:pPr>
            <w:r>
              <w:rPr>
                <w:rFonts w:ascii="Arial" w:eastAsia="Times New Roman" w:hAnsi="Arial" w:cs="Arial"/>
                <w:color w:val="000000"/>
                <w:sz w:val="16"/>
                <w:szCs w:val="16"/>
              </w:rPr>
              <w:t>Identifiable intangible and other non-current 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C78821" w14:textId="77777777" w:rsidR="00000000" w:rsidRDefault="00C01C4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BE29DD"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A58CEE3" w14:textId="77777777" w:rsidR="00000000" w:rsidRDefault="00C01C43">
            <w:pPr>
              <w:jc w:val="right"/>
              <w:rPr>
                <w:rFonts w:eastAsia="Times New Roman"/>
              </w:rPr>
            </w:pPr>
            <w:r>
              <w:rPr>
                <w:rFonts w:ascii="Arial" w:eastAsia="Times New Roman" w:hAnsi="Arial" w:cs="Arial"/>
                <w:color w:val="000000"/>
                <w:sz w:val="16"/>
                <w:szCs w:val="16"/>
              </w:rPr>
              <w:t>140.8 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05BEDE"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7833C7" w14:textId="77777777" w:rsidR="00000000" w:rsidRDefault="00C01C4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56706C7"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C7BBD95" w14:textId="77777777" w:rsidR="00000000" w:rsidRDefault="00C01C43">
            <w:pPr>
              <w:jc w:val="right"/>
              <w:rPr>
                <w:rFonts w:eastAsia="Times New Roman"/>
              </w:rPr>
            </w:pPr>
            <w:r>
              <w:rPr>
                <w:rFonts w:ascii="Arial" w:eastAsia="Times New Roman" w:hAnsi="Arial" w:cs="Arial"/>
                <w:color w:val="000000"/>
                <w:sz w:val="16"/>
                <w:szCs w:val="16"/>
              </w:rPr>
              <w:t>153.7 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24ED4C" w14:textId="77777777" w:rsidR="00000000" w:rsidRDefault="00C01C43">
            <w:pPr>
              <w:jc w:val="right"/>
              <w:rPr>
                <w:rFonts w:eastAsia="Times New Roman"/>
              </w:rPr>
            </w:pPr>
          </w:p>
        </w:tc>
        <w:tc>
          <w:tcPr>
            <w:tcW w:w="0" w:type="auto"/>
            <w:gridSpan w:val="3"/>
            <w:vAlign w:val="center"/>
            <w:hideMark/>
          </w:tcPr>
          <w:p w14:paraId="1DB0533B" w14:textId="77777777" w:rsidR="00000000" w:rsidRDefault="00C01C43">
            <w:pPr>
              <w:jc w:val="right"/>
              <w:rPr>
                <w:rFonts w:eastAsia="Times New Roman"/>
                <w:sz w:val="20"/>
                <w:szCs w:val="20"/>
              </w:rPr>
            </w:pPr>
          </w:p>
        </w:tc>
        <w:tc>
          <w:tcPr>
            <w:tcW w:w="0" w:type="auto"/>
            <w:gridSpan w:val="3"/>
            <w:vAlign w:val="center"/>
            <w:hideMark/>
          </w:tcPr>
          <w:p w14:paraId="1075B103" w14:textId="77777777" w:rsidR="00000000" w:rsidRDefault="00C01C43">
            <w:pPr>
              <w:rPr>
                <w:rFonts w:eastAsia="Times New Roman"/>
                <w:sz w:val="20"/>
                <w:szCs w:val="20"/>
              </w:rPr>
            </w:pPr>
          </w:p>
        </w:tc>
      </w:tr>
      <w:tr w:rsidR="00000000" w14:paraId="51AA3365" w14:textId="77777777">
        <w:trPr>
          <w:divId w:val="213085943"/>
          <w:jc w:val="center"/>
        </w:trPr>
        <w:tc>
          <w:tcPr>
            <w:tcW w:w="0" w:type="auto"/>
            <w:gridSpan w:val="3"/>
            <w:shd w:val="clear" w:color="auto" w:fill="CCEEFF"/>
            <w:tcMar>
              <w:top w:w="30" w:type="dxa"/>
              <w:left w:w="20" w:type="dxa"/>
              <w:bottom w:w="30" w:type="dxa"/>
              <w:right w:w="20" w:type="dxa"/>
            </w:tcMar>
            <w:hideMark/>
          </w:tcPr>
          <w:p w14:paraId="45204B21" w14:textId="77777777" w:rsidR="00000000" w:rsidRDefault="00C01C43">
            <w:pPr>
              <w:rPr>
                <w:rFonts w:eastAsia="Times New Roman"/>
              </w:rPr>
            </w:pPr>
            <w:r>
              <w:rPr>
                <w:rFonts w:ascii="Arial" w:eastAsia="Times New Roman" w:hAnsi="Arial" w:cs="Arial"/>
                <w:color w:val="000000"/>
                <w:sz w:val="16"/>
                <w:szCs w:val="16"/>
              </w:rPr>
              <w:t>Finance Lease Assets</w:t>
            </w:r>
          </w:p>
        </w:tc>
        <w:tc>
          <w:tcPr>
            <w:tcW w:w="0" w:type="auto"/>
            <w:gridSpan w:val="3"/>
            <w:shd w:val="clear" w:color="auto" w:fill="CCEEFF"/>
            <w:tcMar>
              <w:top w:w="30" w:type="dxa"/>
              <w:left w:w="20" w:type="dxa"/>
              <w:bottom w:w="30" w:type="dxa"/>
              <w:right w:w="20" w:type="dxa"/>
            </w:tcMar>
            <w:hideMark/>
          </w:tcPr>
          <w:p w14:paraId="02EEFAB9" w14:textId="77777777" w:rsidR="00000000" w:rsidRDefault="00C01C43">
            <w:pPr>
              <w:rPr>
                <w:rFonts w:eastAsia="Times New Roman"/>
              </w:rPr>
            </w:pPr>
            <w:r>
              <w:rPr>
                <w:rFonts w:ascii="Arial" w:eastAsia="Times New Roman" w:hAnsi="Arial" w:cs="Arial"/>
                <w:color w:val="000000"/>
                <w:sz w:val="16"/>
                <w:szCs w:val="16"/>
              </w:rPr>
              <w:t>Property and equipment, net</w:t>
            </w:r>
          </w:p>
        </w:tc>
        <w:tc>
          <w:tcPr>
            <w:tcW w:w="0" w:type="auto"/>
            <w:gridSpan w:val="3"/>
            <w:shd w:val="clear" w:color="auto" w:fill="CCEEFF"/>
            <w:tcMar>
              <w:top w:w="0" w:type="dxa"/>
              <w:left w:w="20" w:type="dxa"/>
              <w:bottom w:w="0" w:type="dxa"/>
              <w:right w:w="20" w:type="dxa"/>
            </w:tcMar>
            <w:vAlign w:val="center"/>
            <w:hideMark/>
          </w:tcPr>
          <w:p w14:paraId="2515347F"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8BA2D6" w14:textId="77777777" w:rsidR="00000000" w:rsidRDefault="00C01C43">
            <w:pPr>
              <w:jc w:val="right"/>
              <w:rPr>
                <w:rFonts w:eastAsia="Times New Roman"/>
              </w:rPr>
            </w:pPr>
            <w:r>
              <w:rPr>
                <w:rFonts w:ascii="Arial" w:eastAsia="Times New Roman" w:hAnsi="Arial" w:cs="Arial"/>
                <w:color w:val="000000"/>
                <w:sz w:val="16"/>
                <w:szCs w:val="16"/>
              </w:rPr>
              <w:t>17.4 </w:t>
            </w:r>
          </w:p>
        </w:tc>
        <w:tc>
          <w:tcPr>
            <w:tcW w:w="0" w:type="auto"/>
            <w:shd w:val="clear" w:color="auto" w:fill="CCEEFF"/>
            <w:tcMar>
              <w:top w:w="30" w:type="dxa"/>
              <w:left w:w="0" w:type="dxa"/>
              <w:bottom w:w="30" w:type="dxa"/>
              <w:right w:w="20" w:type="dxa"/>
            </w:tcMar>
            <w:vAlign w:val="bottom"/>
            <w:hideMark/>
          </w:tcPr>
          <w:p w14:paraId="3CF2CD26"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509BD"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4376D2" w14:textId="77777777" w:rsidR="00000000" w:rsidRDefault="00C01C43">
            <w:pPr>
              <w:jc w:val="right"/>
              <w:rPr>
                <w:rFonts w:eastAsia="Times New Roman"/>
              </w:rPr>
            </w:pPr>
            <w:r>
              <w:rPr>
                <w:rFonts w:ascii="Arial" w:eastAsia="Times New Roman" w:hAnsi="Arial" w:cs="Arial"/>
                <w:color w:val="000000"/>
                <w:sz w:val="16"/>
                <w:szCs w:val="16"/>
              </w:rPr>
              <w:t>17.8 </w:t>
            </w:r>
          </w:p>
        </w:tc>
        <w:tc>
          <w:tcPr>
            <w:tcW w:w="0" w:type="auto"/>
            <w:shd w:val="clear" w:color="auto" w:fill="CCEEFF"/>
            <w:tcMar>
              <w:top w:w="30" w:type="dxa"/>
              <w:left w:w="0" w:type="dxa"/>
              <w:bottom w:w="30" w:type="dxa"/>
              <w:right w:w="20" w:type="dxa"/>
            </w:tcMar>
            <w:vAlign w:val="bottom"/>
            <w:hideMark/>
          </w:tcPr>
          <w:p w14:paraId="543223FD" w14:textId="77777777" w:rsidR="00000000" w:rsidRDefault="00C01C43">
            <w:pPr>
              <w:jc w:val="right"/>
              <w:rPr>
                <w:rFonts w:eastAsia="Times New Roman"/>
              </w:rPr>
            </w:pPr>
          </w:p>
        </w:tc>
        <w:tc>
          <w:tcPr>
            <w:tcW w:w="0" w:type="auto"/>
            <w:gridSpan w:val="3"/>
            <w:vAlign w:val="center"/>
            <w:hideMark/>
          </w:tcPr>
          <w:p w14:paraId="229B889D" w14:textId="77777777" w:rsidR="00000000" w:rsidRDefault="00C01C43">
            <w:pPr>
              <w:jc w:val="right"/>
              <w:rPr>
                <w:rFonts w:eastAsia="Times New Roman"/>
                <w:sz w:val="20"/>
                <w:szCs w:val="20"/>
              </w:rPr>
            </w:pPr>
          </w:p>
        </w:tc>
        <w:tc>
          <w:tcPr>
            <w:tcW w:w="0" w:type="auto"/>
            <w:gridSpan w:val="3"/>
            <w:vAlign w:val="center"/>
            <w:hideMark/>
          </w:tcPr>
          <w:p w14:paraId="43D4B17F" w14:textId="77777777" w:rsidR="00000000" w:rsidRDefault="00C01C43">
            <w:pPr>
              <w:rPr>
                <w:rFonts w:eastAsia="Times New Roman"/>
                <w:sz w:val="20"/>
                <w:szCs w:val="20"/>
              </w:rPr>
            </w:pPr>
          </w:p>
        </w:tc>
      </w:tr>
      <w:tr w:rsidR="00000000" w14:paraId="106817B4" w14:textId="77777777">
        <w:trPr>
          <w:divId w:val="213085943"/>
          <w:trHeight w:val="280"/>
          <w:jc w:val="center"/>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8296DE"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1E268B6"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5D7F273"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7CE1A6"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E955CE" w14:textId="77777777" w:rsidR="00000000" w:rsidRDefault="00C01C4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8D71AA" w14:textId="77777777" w:rsidR="00000000" w:rsidRDefault="00C01C43">
            <w:pPr>
              <w:rPr>
                <w:rFonts w:eastAsia="Times New Roman"/>
                <w:sz w:val="20"/>
                <w:szCs w:val="20"/>
              </w:rPr>
            </w:pPr>
          </w:p>
        </w:tc>
        <w:tc>
          <w:tcPr>
            <w:tcW w:w="0" w:type="auto"/>
            <w:gridSpan w:val="3"/>
            <w:vAlign w:val="center"/>
            <w:hideMark/>
          </w:tcPr>
          <w:p w14:paraId="684E5894" w14:textId="77777777" w:rsidR="00000000" w:rsidRDefault="00C01C43">
            <w:pPr>
              <w:rPr>
                <w:rFonts w:eastAsia="Times New Roman"/>
                <w:sz w:val="20"/>
                <w:szCs w:val="20"/>
              </w:rPr>
            </w:pPr>
          </w:p>
        </w:tc>
        <w:tc>
          <w:tcPr>
            <w:tcW w:w="0" w:type="auto"/>
            <w:gridSpan w:val="3"/>
            <w:vAlign w:val="center"/>
            <w:hideMark/>
          </w:tcPr>
          <w:p w14:paraId="20A90D18" w14:textId="77777777" w:rsidR="00000000" w:rsidRDefault="00C01C43">
            <w:pPr>
              <w:rPr>
                <w:rFonts w:eastAsia="Times New Roman"/>
                <w:sz w:val="20"/>
                <w:szCs w:val="20"/>
              </w:rPr>
            </w:pPr>
          </w:p>
        </w:tc>
      </w:tr>
      <w:tr w:rsidR="00000000" w14:paraId="4DB6D784" w14:textId="77777777">
        <w:trPr>
          <w:divId w:val="213085943"/>
          <w:jc w:val="center"/>
        </w:trPr>
        <w:tc>
          <w:tcPr>
            <w:tcW w:w="0" w:type="auto"/>
            <w:gridSpan w:val="3"/>
            <w:shd w:val="clear" w:color="auto" w:fill="CCEEFF"/>
            <w:tcMar>
              <w:top w:w="30" w:type="dxa"/>
              <w:left w:w="20" w:type="dxa"/>
              <w:bottom w:w="30" w:type="dxa"/>
              <w:right w:w="20" w:type="dxa"/>
            </w:tcMar>
            <w:hideMark/>
          </w:tcPr>
          <w:p w14:paraId="046220E5" w14:textId="77777777" w:rsidR="00000000" w:rsidRDefault="00C01C43">
            <w:pPr>
              <w:rPr>
                <w:rFonts w:eastAsia="Times New Roman"/>
              </w:rPr>
            </w:pPr>
            <w:r>
              <w:rPr>
                <w:rFonts w:ascii="Arial" w:eastAsia="Times New Roman" w:hAnsi="Arial" w:cs="Arial"/>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14:paraId="4394B620" w14:textId="77777777" w:rsidR="00000000" w:rsidRDefault="00C01C4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1BC7A9"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C776A9"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200A30"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339048" w14:textId="77777777" w:rsidR="00000000" w:rsidRDefault="00C01C43">
            <w:pPr>
              <w:rPr>
                <w:rFonts w:eastAsia="Times New Roman"/>
                <w:sz w:val="20"/>
                <w:szCs w:val="20"/>
              </w:rPr>
            </w:pPr>
          </w:p>
        </w:tc>
        <w:tc>
          <w:tcPr>
            <w:tcW w:w="0" w:type="auto"/>
            <w:gridSpan w:val="3"/>
            <w:vAlign w:val="center"/>
            <w:hideMark/>
          </w:tcPr>
          <w:p w14:paraId="5332E083" w14:textId="77777777" w:rsidR="00000000" w:rsidRDefault="00C01C43">
            <w:pPr>
              <w:rPr>
                <w:rFonts w:eastAsia="Times New Roman"/>
                <w:sz w:val="20"/>
                <w:szCs w:val="20"/>
              </w:rPr>
            </w:pPr>
          </w:p>
        </w:tc>
        <w:tc>
          <w:tcPr>
            <w:tcW w:w="0" w:type="auto"/>
            <w:gridSpan w:val="3"/>
            <w:vAlign w:val="center"/>
            <w:hideMark/>
          </w:tcPr>
          <w:p w14:paraId="61DBF0EE" w14:textId="77777777" w:rsidR="00000000" w:rsidRDefault="00C01C43">
            <w:pPr>
              <w:rPr>
                <w:rFonts w:eastAsia="Times New Roman"/>
                <w:sz w:val="20"/>
                <w:szCs w:val="20"/>
              </w:rPr>
            </w:pPr>
          </w:p>
        </w:tc>
      </w:tr>
      <w:tr w:rsidR="00000000" w14:paraId="5E3F2E0B" w14:textId="77777777">
        <w:trPr>
          <w:divId w:val="213085943"/>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14:paraId="7A76C2DC" w14:textId="77777777" w:rsidR="00000000" w:rsidRDefault="00C01C43">
            <w:pPr>
              <w:rPr>
                <w:rFonts w:eastAsia="Times New Roman"/>
              </w:rPr>
            </w:pPr>
            <w:r>
              <w:rPr>
                <w:rFonts w:ascii="Arial" w:eastAsia="Times New Roman" w:hAnsi="Arial" w:cs="Arial"/>
                <w:color w:val="000000"/>
                <w:sz w:val="16"/>
                <w:szCs w:val="16"/>
              </w:rPr>
              <w:t>Operating Lease Liability - Current</w:t>
            </w:r>
          </w:p>
        </w:tc>
        <w:tc>
          <w:tcPr>
            <w:tcW w:w="0" w:type="auto"/>
            <w:gridSpan w:val="3"/>
            <w:tcBorders>
              <w:top w:val="single" w:sz="8" w:space="0" w:color="000000"/>
            </w:tcBorders>
            <w:shd w:val="clear" w:color="auto" w:fill="FFFFFF"/>
            <w:tcMar>
              <w:top w:w="30" w:type="dxa"/>
              <w:left w:w="20" w:type="dxa"/>
              <w:bottom w:w="30" w:type="dxa"/>
              <w:right w:w="20" w:type="dxa"/>
            </w:tcMar>
            <w:hideMark/>
          </w:tcPr>
          <w:p w14:paraId="391E5EF1" w14:textId="77777777" w:rsidR="00000000" w:rsidRDefault="00C01C43">
            <w:pPr>
              <w:rPr>
                <w:rFonts w:eastAsia="Times New Roman"/>
              </w:rPr>
            </w:pPr>
            <w:r>
              <w:rPr>
                <w:rFonts w:ascii="Arial" w:eastAsia="Times New Roman" w:hAnsi="Arial" w:cs="Arial"/>
                <w:color w:val="000000"/>
                <w:sz w:val="16"/>
                <w:szCs w:val="16"/>
              </w:rPr>
              <w:t>Accrued expenses and other current 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D2D287A" w14:textId="77777777" w:rsidR="00000000" w:rsidRDefault="00C01C4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76C3DD" w14:textId="77777777" w:rsidR="00000000" w:rsidRDefault="00C01C43">
            <w:pPr>
              <w:jc w:val="right"/>
              <w:rPr>
                <w:rFonts w:eastAsia="Times New Roman"/>
              </w:rPr>
            </w:pPr>
            <w:r>
              <w:rPr>
                <w:rFonts w:ascii="Arial" w:eastAsia="Times New Roman" w:hAnsi="Arial" w:cs="Arial"/>
                <w:color w:val="000000"/>
                <w:sz w:val="16"/>
                <w:szCs w:val="16"/>
              </w:rPr>
              <w:t>33.2 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44AC34"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8F4C90"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790BF3" w14:textId="77777777" w:rsidR="00000000" w:rsidRDefault="00C01C43">
            <w:pPr>
              <w:jc w:val="right"/>
              <w:rPr>
                <w:rFonts w:eastAsia="Times New Roman"/>
              </w:rPr>
            </w:pPr>
            <w:r>
              <w:rPr>
                <w:rFonts w:ascii="Arial" w:eastAsia="Times New Roman" w:hAnsi="Arial" w:cs="Arial"/>
                <w:color w:val="000000"/>
                <w:sz w:val="16"/>
                <w:szCs w:val="16"/>
              </w:rPr>
              <w:t>35.6 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CC48BC" w14:textId="77777777" w:rsidR="00000000" w:rsidRDefault="00C01C43">
            <w:pPr>
              <w:jc w:val="right"/>
              <w:rPr>
                <w:rFonts w:eastAsia="Times New Roman"/>
              </w:rPr>
            </w:pPr>
          </w:p>
        </w:tc>
        <w:tc>
          <w:tcPr>
            <w:tcW w:w="0" w:type="auto"/>
            <w:gridSpan w:val="3"/>
            <w:vAlign w:val="center"/>
            <w:hideMark/>
          </w:tcPr>
          <w:p w14:paraId="0A0F3E06" w14:textId="77777777" w:rsidR="00000000" w:rsidRDefault="00C01C43">
            <w:pPr>
              <w:jc w:val="right"/>
              <w:rPr>
                <w:rFonts w:eastAsia="Times New Roman"/>
                <w:sz w:val="20"/>
                <w:szCs w:val="20"/>
              </w:rPr>
            </w:pPr>
          </w:p>
        </w:tc>
        <w:tc>
          <w:tcPr>
            <w:tcW w:w="0" w:type="auto"/>
            <w:gridSpan w:val="3"/>
            <w:vAlign w:val="center"/>
            <w:hideMark/>
          </w:tcPr>
          <w:p w14:paraId="05CB2B0C" w14:textId="77777777" w:rsidR="00000000" w:rsidRDefault="00C01C43">
            <w:pPr>
              <w:rPr>
                <w:rFonts w:eastAsia="Times New Roman"/>
                <w:sz w:val="20"/>
                <w:szCs w:val="20"/>
              </w:rPr>
            </w:pPr>
          </w:p>
        </w:tc>
      </w:tr>
      <w:tr w:rsidR="00000000" w14:paraId="347505B0" w14:textId="77777777">
        <w:trPr>
          <w:divId w:val="213085943"/>
          <w:jc w:val="center"/>
        </w:trPr>
        <w:tc>
          <w:tcPr>
            <w:tcW w:w="0" w:type="auto"/>
            <w:gridSpan w:val="3"/>
            <w:shd w:val="clear" w:color="auto" w:fill="CCEEFF"/>
            <w:tcMar>
              <w:top w:w="30" w:type="dxa"/>
              <w:left w:w="20" w:type="dxa"/>
              <w:bottom w:w="30" w:type="dxa"/>
              <w:right w:w="20" w:type="dxa"/>
            </w:tcMar>
            <w:hideMark/>
          </w:tcPr>
          <w:p w14:paraId="38D64F29" w14:textId="77777777" w:rsidR="00000000" w:rsidRDefault="00C01C43">
            <w:pPr>
              <w:rPr>
                <w:rFonts w:eastAsia="Times New Roman"/>
              </w:rPr>
            </w:pPr>
            <w:r>
              <w:rPr>
                <w:rFonts w:ascii="Arial" w:eastAsia="Times New Roman" w:hAnsi="Arial" w:cs="Arial"/>
                <w:color w:val="000000"/>
                <w:sz w:val="16"/>
                <w:szCs w:val="16"/>
              </w:rPr>
              <w:t>Operating Lease Liability - Long Term</w:t>
            </w:r>
          </w:p>
        </w:tc>
        <w:tc>
          <w:tcPr>
            <w:tcW w:w="0" w:type="auto"/>
            <w:gridSpan w:val="3"/>
            <w:shd w:val="clear" w:color="auto" w:fill="CCEEFF"/>
            <w:tcMar>
              <w:top w:w="30" w:type="dxa"/>
              <w:left w:w="20" w:type="dxa"/>
              <w:bottom w:w="30" w:type="dxa"/>
              <w:right w:w="20" w:type="dxa"/>
            </w:tcMar>
            <w:hideMark/>
          </w:tcPr>
          <w:p w14:paraId="10A7B8B5" w14:textId="77777777" w:rsidR="00000000" w:rsidRDefault="00C01C43">
            <w:pPr>
              <w:rPr>
                <w:rFonts w:eastAsia="Times New Roman"/>
              </w:rPr>
            </w:pPr>
            <w:r>
              <w:rPr>
                <w:rFonts w:ascii="Arial" w:eastAsia="Times New Roman" w:hAnsi="Arial" w:cs="Arial"/>
                <w:color w:val="000000"/>
                <w:sz w:val="16"/>
                <w:szCs w:val="16"/>
              </w:rPr>
              <w:t>Other long-term liabilitie</w:t>
            </w:r>
            <w:r>
              <w:rPr>
                <w:rFonts w:ascii="Arial" w:eastAsia="Times New Roman" w:hAnsi="Arial" w:cs="Arial"/>
                <w:color w:val="000000"/>
                <w:sz w:val="16"/>
                <w:szCs w:val="16"/>
              </w:rPr>
              <w:t>s</w:t>
            </w:r>
          </w:p>
        </w:tc>
        <w:tc>
          <w:tcPr>
            <w:tcW w:w="0" w:type="auto"/>
            <w:gridSpan w:val="3"/>
            <w:shd w:val="clear" w:color="auto" w:fill="CCEEFF"/>
            <w:tcMar>
              <w:top w:w="0" w:type="dxa"/>
              <w:left w:w="20" w:type="dxa"/>
              <w:bottom w:w="0" w:type="dxa"/>
              <w:right w:w="20" w:type="dxa"/>
            </w:tcMar>
            <w:vAlign w:val="center"/>
            <w:hideMark/>
          </w:tcPr>
          <w:p w14:paraId="0D659EF2" w14:textId="77777777" w:rsidR="00000000" w:rsidRDefault="00C01C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8F5D51" w14:textId="77777777" w:rsidR="00000000" w:rsidRDefault="00C01C43">
            <w:pPr>
              <w:jc w:val="right"/>
              <w:rPr>
                <w:rFonts w:eastAsia="Times New Roman"/>
              </w:rPr>
            </w:pPr>
            <w:r>
              <w:rPr>
                <w:rFonts w:ascii="Arial" w:eastAsia="Times New Roman" w:hAnsi="Arial" w:cs="Arial"/>
                <w:color w:val="000000"/>
                <w:sz w:val="16"/>
                <w:szCs w:val="16"/>
              </w:rPr>
              <w:t>124.3 </w:t>
            </w:r>
          </w:p>
        </w:tc>
        <w:tc>
          <w:tcPr>
            <w:tcW w:w="0" w:type="auto"/>
            <w:shd w:val="clear" w:color="auto" w:fill="CCEEFF"/>
            <w:tcMar>
              <w:top w:w="30" w:type="dxa"/>
              <w:left w:w="0" w:type="dxa"/>
              <w:bottom w:w="30" w:type="dxa"/>
              <w:right w:w="20" w:type="dxa"/>
            </w:tcMar>
            <w:vAlign w:val="bottom"/>
            <w:hideMark/>
          </w:tcPr>
          <w:p w14:paraId="2CFBB721"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D4A80"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0FDE5A" w14:textId="77777777" w:rsidR="00000000" w:rsidRDefault="00C01C43">
            <w:pPr>
              <w:jc w:val="right"/>
              <w:rPr>
                <w:rFonts w:eastAsia="Times New Roman"/>
              </w:rPr>
            </w:pPr>
            <w:r>
              <w:rPr>
                <w:rFonts w:ascii="Arial" w:eastAsia="Times New Roman" w:hAnsi="Arial" w:cs="Arial"/>
                <w:color w:val="000000"/>
                <w:sz w:val="16"/>
                <w:szCs w:val="16"/>
              </w:rPr>
              <w:t>124.7 </w:t>
            </w:r>
          </w:p>
        </w:tc>
        <w:tc>
          <w:tcPr>
            <w:tcW w:w="0" w:type="auto"/>
            <w:shd w:val="clear" w:color="auto" w:fill="CCEEFF"/>
            <w:tcMar>
              <w:top w:w="30" w:type="dxa"/>
              <w:left w:w="0" w:type="dxa"/>
              <w:bottom w:w="30" w:type="dxa"/>
              <w:right w:w="20" w:type="dxa"/>
            </w:tcMar>
            <w:vAlign w:val="bottom"/>
            <w:hideMark/>
          </w:tcPr>
          <w:p w14:paraId="69D1F1F8" w14:textId="77777777" w:rsidR="00000000" w:rsidRDefault="00C01C43">
            <w:pPr>
              <w:jc w:val="right"/>
              <w:rPr>
                <w:rFonts w:eastAsia="Times New Roman"/>
              </w:rPr>
            </w:pPr>
          </w:p>
        </w:tc>
        <w:tc>
          <w:tcPr>
            <w:tcW w:w="0" w:type="auto"/>
            <w:gridSpan w:val="3"/>
            <w:vAlign w:val="center"/>
            <w:hideMark/>
          </w:tcPr>
          <w:p w14:paraId="363C97AD" w14:textId="77777777" w:rsidR="00000000" w:rsidRDefault="00C01C43">
            <w:pPr>
              <w:jc w:val="right"/>
              <w:rPr>
                <w:rFonts w:eastAsia="Times New Roman"/>
                <w:sz w:val="20"/>
                <w:szCs w:val="20"/>
              </w:rPr>
            </w:pPr>
          </w:p>
        </w:tc>
        <w:tc>
          <w:tcPr>
            <w:tcW w:w="0" w:type="auto"/>
            <w:gridSpan w:val="3"/>
            <w:vAlign w:val="center"/>
            <w:hideMark/>
          </w:tcPr>
          <w:p w14:paraId="4D93A6DB" w14:textId="77777777" w:rsidR="00000000" w:rsidRDefault="00C01C43">
            <w:pPr>
              <w:rPr>
                <w:rFonts w:eastAsia="Times New Roman"/>
                <w:sz w:val="20"/>
                <w:szCs w:val="20"/>
              </w:rPr>
            </w:pPr>
          </w:p>
        </w:tc>
      </w:tr>
      <w:tr w:rsidR="00000000" w14:paraId="7E2C291F" w14:textId="77777777">
        <w:trPr>
          <w:divId w:val="213085943"/>
          <w:jc w:val="center"/>
        </w:trPr>
        <w:tc>
          <w:tcPr>
            <w:tcW w:w="0" w:type="auto"/>
            <w:gridSpan w:val="3"/>
            <w:shd w:val="clear" w:color="auto" w:fill="FFFFFF"/>
            <w:tcMar>
              <w:top w:w="30" w:type="dxa"/>
              <w:left w:w="20" w:type="dxa"/>
              <w:bottom w:w="30" w:type="dxa"/>
              <w:right w:w="20" w:type="dxa"/>
            </w:tcMar>
            <w:hideMark/>
          </w:tcPr>
          <w:p w14:paraId="0867FA85" w14:textId="77777777" w:rsidR="00000000" w:rsidRDefault="00C01C43">
            <w:pPr>
              <w:rPr>
                <w:rFonts w:eastAsia="Times New Roman"/>
              </w:rPr>
            </w:pPr>
            <w:r>
              <w:rPr>
                <w:rFonts w:ascii="Arial" w:eastAsia="Times New Roman" w:hAnsi="Arial" w:cs="Arial"/>
                <w:color w:val="000000"/>
                <w:sz w:val="16"/>
                <w:szCs w:val="16"/>
              </w:rPr>
              <w:t>Finance Lease Liability - Current</w:t>
            </w:r>
          </w:p>
        </w:tc>
        <w:tc>
          <w:tcPr>
            <w:tcW w:w="0" w:type="auto"/>
            <w:gridSpan w:val="3"/>
            <w:shd w:val="clear" w:color="auto" w:fill="FFFFFF"/>
            <w:tcMar>
              <w:top w:w="30" w:type="dxa"/>
              <w:left w:w="20" w:type="dxa"/>
              <w:bottom w:w="30" w:type="dxa"/>
              <w:right w:w="20" w:type="dxa"/>
            </w:tcMar>
            <w:hideMark/>
          </w:tcPr>
          <w:p w14:paraId="18028208" w14:textId="77777777" w:rsidR="00000000" w:rsidRDefault="00C01C43">
            <w:pPr>
              <w:rPr>
                <w:rFonts w:eastAsia="Times New Roman"/>
              </w:rPr>
            </w:pPr>
            <w:r>
              <w:rPr>
                <w:rFonts w:ascii="Arial" w:eastAsia="Times New Roman" w:hAnsi="Arial" w:cs="Arial"/>
                <w:color w:val="000000"/>
                <w:sz w:val="16"/>
                <w:szCs w:val="16"/>
              </w:rPr>
              <w:t>Current maturities of long-term debt</w:t>
            </w:r>
          </w:p>
        </w:tc>
        <w:tc>
          <w:tcPr>
            <w:tcW w:w="0" w:type="auto"/>
            <w:gridSpan w:val="3"/>
            <w:shd w:val="clear" w:color="auto" w:fill="FFFFFF"/>
            <w:tcMar>
              <w:top w:w="0" w:type="dxa"/>
              <w:left w:w="20" w:type="dxa"/>
              <w:bottom w:w="0" w:type="dxa"/>
              <w:right w:w="20" w:type="dxa"/>
            </w:tcMar>
            <w:vAlign w:val="center"/>
            <w:hideMark/>
          </w:tcPr>
          <w:p w14:paraId="33432BD9" w14:textId="77777777" w:rsidR="00000000" w:rsidRDefault="00C01C4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F5ED7D" w14:textId="77777777" w:rsidR="00000000" w:rsidRDefault="00C01C43">
            <w:pPr>
              <w:jc w:val="right"/>
              <w:rPr>
                <w:rFonts w:eastAsia="Times New Roman"/>
              </w:rPr>
            </w:pPr>
            <w:r>
              <w:rPr>
                <w:rFonts w:ascii="Arial" w:eastAsia="Times New Roman" w:hAnsi="Arial" w:cs="Arial"/>
                <w:color w:val="000000"/>
                <w:sz w:val="16"/>
                <w:szCs w:val="16"/>
              </w:rPr>
              <w:t>3.8 </w:t>
            </w:r>
          </w:p>
        </w:tc>
        <w:tc>
          <w:tcPr>
            <w:tcW w:w="0" w:type="auto"/>
            <w:shd w:val="clear" w:color="auto" w:fill="FFFFFF"/>
            <w:tcMar>
              <w:top w:w="30" w:type="dxa"/>
              <w:left w:w="0" w:type="dxa"/>
              <w:bottom w:w="30" w:type="dxa"/>
              <w:right w:w="20" w:type="dxa"/>
            </w:tcMar>
            <w:vAlign w:val="bottom"/>
            <w:hideMark/>
          </w:tcPr>
          <w:p w14:paraId="1FA49D18"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2B5C8B"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89E429" w14:textId="77777777" w:rsidR="00000000" w:rsidRDefault="00C01C43">
            <w:pPr>
              <w:jc w:val="right"/>
              <w:rPr>
                <w:rFonts w:eastAsia="Times New Roman"/>
              </w:rPr>
            </w:pPr>
            <w:r>
              <w:rPr>
                <w:rFonts w:ascii="Arial" w:eastAsia="Times New Roman" w:hAnsi="Arial" w:cs="Arial"/>
                <w:color w:val="000000"/>
                <w:sz w:val="16"/>
                <w:szCs w:val="16"/>
              </w:rPr>
              <w:t>4.3 </w:t>
            </w:r>
          </w:p>
        </w:tc>
        <w:tc>
          <w:tcPr>
            <w:tcW w:w="0" w:type="auto"/>
            <w:shd w:val="clear" w:color="auto" w:fill="FFFFFF"/>
            <w:tcMar>
              <w:top w:w="30" w:type="dxa"/>
              <w:left w:w="0" w:type="dxa"/>
              <w:bottom w:w="30" w:type="dxa"/>
              <w:right w:w="20" w:type="dxa"/>
            </w:tcMar>
            <w:vAlign w:val="bottom"/>
            <w:hideMark/>
          </w:tcPr>
          <w:p w14:paraId="4802E46B" w14:textId="77777777" w:rsidR="00000000" w:rsidRDefault="00C01C43">
            <w:pPr>
              <w:jc w:val="right"/>
              <w:rPr>
                <w:rFonts w:eastAsia="Times New Roman"/>
              </w:rPr>
            </w:pPr>
          </w:p>
        </w:tc>
        <w:tc>
          <w:tcPr>
            <w:tcW w:w="0" w:type="auto"/>
            <w:gridSpan w:val="3"/>
            <w:vAlign w:val="center"/>
            <w:hideMark/>
          </w:tcPr>
          <w:p w14:paraId="3201A973" w14:textId="77777777" w:rsidR="00000000" w:rsidRDefault="00C01C43">
            <w:pPr>
              <w:jc w:val="right"/>
              <w:rPr>
                <w:rFonts w:eastAsia="Times New Roman"/>
                <w:sz w:val="20"/>
                <w:szCs w:val="20"/>
              </w:rPr>
            </w:pPr>
          </w:p>
        </w:tc>
        <w:tc>
          <w:tcPr>
            <w:tcW w:w="0" w:type="auto"/>
            <w:gridSpan w:val="3"/>
            <w:vAlign w:val="center"/>
            <w:hideMark/>
          </w:tcPr>
          <w:p w14:paraId="04CE6CAF" w14:textId="77777777" w:rsidR="00000000" w:rsidRDefault="00C01C43">
            <w:pPr>
              <w:rPr>
                <w:rFonts w:eastAsia="Times New Roman"/>
                <w:sz w:val="20"/>
                <w:szCs w:val="20"/>
              </w:rPr>
            </w:pPr>
          </w:p>
        </w:tc>
      </w:tr>
      <w:tr w:rsidR="00000000" w14:paraId="1ADABD6A" w14:textId="77777777">
        <w:trPr>
          <w:divId w:val="213085943"/>
          <w:jc w:val="center"/>
        </w:trPr>
        <w:tc>
          <w:tcPr>
            <w:tcW w:w="0" w:type="auto"/>
            <w:gridSpan w:val="3"/>
            <w:tcBorders>
              <w:bottom w:val="double" w:sz="6" w:space="0" w:color="000000"/>
            </w:tcBorders>
            <w:shd w:val="clear" w:color="auto" w:fill="CCEEFF"/>
            <w:tcMar>
              <w:top w:w="30" w:type="dxa"/>
              <w:left w:w="20" w:type="dxa"/>
              <w:bottom w:w="30" w:type="dxa"/>
              <w:right w:w="20" w:type="dxa"/>
            </w:tcMar>
            <w:hideMark/>
          </w:tcPr>
          <w:p w14:paraId="7F328943" w14:textId="77777777" w:rsidR="00000000" w:rsidRDefault="00C01C43">
            <w:pPr>
              <w:rPr>
                <w:rFonts w:eastAsia="Times New Roman"/>
              </w:rPr>
            </w:pPr>
            <w:r>
              <w:rPr>
                <w:rFonts w:ascii="Arial" w:eastAsia="Times New Roman" w:hAnsi="Arial" w:cs="Arial"/>
                <w:color w:val="000000"/>
                <w:sz w:val="16"/>
                <w:szCs w:val="16"/>
              </w:rPr>
              <w:t>Finance Lease Liability - Long Term</w:t>
            </w:r>
          </w:p>
        </w:tc>
        <w:tc>
          <w:tcPr>
            <w:tcW w:w="0" w:type="auto"/>
            <w:gridSpan w:val="3"/>
            <w:tcBorders>
              <w:bottom w:val="double" w:sz="6" w:space="0" w:color="000000"/>
            </w:tcBorders>
            <w:shd w:val="clear" w:color="auto" w:fill="CCEEFF"/>
            <w:tcMar>
              <w:top w:w="30" w:type="dxa"/>
              <w:left w:w="20" w:type="dxa"/>
              <w:bottom w:w="30" w:type="dxa"/>
              <w:right w:w="20" w:type="dxa"/>
            </w:tcMar>
            <w:hideMark/>
          </w:tcPr>
          <w:p w14:paraId="50C8CB0C" w14:textId="77777777" w:rsidR="00000000" w:rsidRDefault="00C01C43">
            <w:pPr>
              <w:rPr>
                <w:rFonts w:eastAsia="Times New Roman"/>
              </w:rPr>
            </w:pPr>
            <w:r>
              <w:rPr>
                <w:rFonts w:ascii="Arial" w:eastAsia="Times New Roman" w:hAnsi="Arial" w:cs="Arial"/>
                <w:color w:val="000000"/>
                <w:sz w:val="16"/>
                <w:szCs w:val="16"/>
              </w:rPr>
              <w:t>Long-term deb</w:t>
            </w:r>
            <w:r>
              <w:rPr>
                <w:rFonts w:ascii="Arial" w:eastAsia="Times New Roman" w:hAnsi="Arial" w:cs="Arial"/>
                <w:color w:val="000000"/>
                <w:sz w:val="16"/>
                <w:szCs w:val="16"/>
              </w:rPr>
              <w:t>t</w:t>
            </w: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42226101" w14:textId="77777777" w:rsidR="00000000" w:rsidRDefault="00C01C43">
            <w:pPr>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3BF02E71"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327F0B" w14:textId="77777777" w:rsidR="00000000" w:rsidRDefault="00C01C43">
            <w:pPr>
              <w:jc w:val="right"/>
              <w:rPr>
                <w:rFonts w:eastAsia="Times New Roman"/>
              </w:rPr>
            </w:pPr>
            <w:r>
              <w:rPr>
                <w:rFonts w:ascii="Arial" w:eastAsia="Times New Roman" w:hAnsi="Arial" w:cs="Arial"/>
                <w:color w:val="000000"/>
                <w:sz w:val="16"/>
                <w:szCs w:val="16"/>
              </w:rPr>
              <w:t>14.4 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1440823F" w14:textId="77777777" w:rsidR="00000000" w:rsidRDefault="00C01C43">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09D155AD" w14:textId="77777777" w:rsidR="00000000" w:rsidRDefault="00C01C43">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3ED07676" w14:textId="77777777" w:rsidR="00000000" w:rsidRDefault="00C01C43">
            <w:pPr>
              <w:rPr>
                <w:rFonts w:eastAsia="Times New Roman"/>
              </w:rPr>
            </w:pPr>
            <w:r>
              <w:rPr>
                <w:rFonts w:ascii="Arial" w:eastAsia="Times New Roman" w:hAnsi="Arial" w:cs="Arial"/>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E5D5193" w14:textId="77777777" w:rsidR="00000000" w:rsidRDefault="00C01C43">
            <w:pPr>
              <w:jc w:val="right"/>
              <w:rPr>
                <w:rFonts w:eastAsia="Times New Roman"/>
              </w:rPr>
            </w:pPr>
            <w:r>
              <w:rPr>
                <w:rFonts w:ascii="Arial" w:eastAsia="Times New Roman" w:hAnsi="Arial" w:cs="Arial"/>
                <w:color w:val="000000"/>
                <w:sz w:val="16"/>
                <w:szCs w:val="16"/>
              </w:rPr>
              <w:t>14.4 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D0F63E5" w14:textId="77777777" w:rsidR="00000000" w:rsidRDefault="00C01C43">
            <w:pPr>
              <w:jc w:val="right"/>
              <w:rPr>
                <w:rFonts w:eastAsia="Times New Roman"/>
              </w:rPr>
            </w:pPr>
          </w:p>
        </w:tc>
        <w:tc>
          <w:tcPr>
            <w:tcW w:w="0" w:type="auto"/>
            <w:gridSpan w:val="3"/>
            <w:vAlign w:val="center"/>
            <w:hideMark/>
          </w:tcPr>
          <w:p w14:paraId="12782CD3" w14:textId="77777777" w:rsidR="00000000" w:rsidRDefault="00C01C43">
            <w:pPr>
              <w:jc w:val="right"/>
              <w:rPr>
                <w:rFonts w:eastAsia="Times New Roman"/>
                <w:sz w:val="20"/>
                <w:szCs w:val="20"/>
              </w:rPr>
            </w:pPr>
          </w:p>
        </w:tc>
        <w:tc>
          <w:tcPr>
            <w:tcW w:w="0" w:type="auto"/>
            <w:gridSpan w:val="3"/>
            <w:vAlign w:val="center"/>
            <w:hideMark/>
          </w:tcPr>
          <w:p w14:paraId="275C4BF5" w14:textId="77777777" w:rsidR="00000000" w:rsidRDefault="00C01C43">
            <w:pPr>
              <w:rPr>
                <w:rFonts w:eastAsia="Times New Roman"/>
                <w:sz w:val="20"/>
                <w:szCs w:val="20"/>
              </w:rPr>
            </w:pPr>
          </w:p>
        </w:tc>
      </w:tr>
    </w:tbl>
    <w:p w14:paraId="54A142F4" w14:textId="77777777" w:rsidR="00000000" w:rsidRDefault="00C01C43">
      <w:pPr>
        <w:divId w:val="713844887"/>
        <w:rPr>
          <w:rFonts w:eastAsia="Times New Roman"/>
        </w:rPr>
      </w:pPr>
    </w:p>
    <w:p w14:paraId="4992745D" w14:textId="77777777" w:rsidR="00000000" w:rsidRDefault="00C01C43">
      <w:pPr>
        <w:jc w:val="center"/>
        <w:divId w:val="140732618"/>
        <w:rPr>
          <w:rFonts w:eastAsia="Times New Roman"/>
        </w:rPr>
      </w:pPr>
      <w:r>
        <w:rPr>
          <w:rFonts w:ascii="Arial" w:eastAsia="Times New Roman" w:hAnsi="Arial" w:cs="Arial"/>
          <w:color w:val="000000"/>
          <w:sz w:val="16"/>
          <w:szCs w:val="16"/>
        </w:rPr>
        <w:t>90</w:t>
      </w:r>
    </w:p>
    <w:p w14:paraId="1286F8F1" w14:textId="77777777" w:rsidR="00000000" w:rsidRDefault="00C01C43">
      <w:pPr>
        <w:rPr>
          <w:rFonts w:eastAsia="Times New Roman"/>
        </w:rPr>
      </w:pPr>
      <w:r>
        <w:rPr>
          <w:rFonts w:eastAsia="Times New Roman"/>
        </w:rPr>
        <w:pict w14:anchorId="0C91E5CB">
          <v:rect id="_x0000_i1119" style="width:0;height:1.5pt" o:hralign="center" o:hrstd="t" o:hr="t" fillcolor="#a0a0a0" stroked="f"/>
        </w:pict>
      </w:r>
    </w:p>
    <w:p w14:paraId="5F08F144" w14:textId="77777777" w:rsidR="00000000" w:rsidRDefault="00C01C43">
      <w:pPr>
        <w:divId w:val="371925165"/>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751CB4FC" w14:textId="77777777" w:rsidR="00000000" w:rsidRDefault="00C01C43">
      <w:pPr>
        <w:divId w:val="1083916666"/>
        <w:rPr>
          <w:rFonts w:eastAsia="Times New Roman"/>
        </w:rPr>
      </w:pPr>
      <w:r>
        <w:rPr>
          <w:rFonts w:ascii="Arial" w:eastAsia="Times New Roman" w:hAnsi="Arial" w:cs="Arial"/>
          <w:color w:val="000000"/>
          <w:sz w:val="20"/>
          <w:szCs w:val="20"/>
        </w:rPr>
        <w:t>Other information related to leases for the twelve months ended December 31, 2020 and 2019:</w:t>
      </w:r>
    </w:p>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5457"/>
        <w:gridCol w:w="37"/>
        <w:gridCol w:w="110"/>
        <w:gridCol w:w="1158"/>
        <w:gridCol w:w="36"/>
        <w:gridCol w:w="36"/>
        <w:gridCol w:w="36"/>
        <w:gridCol w:w="36"/>
        <w:gridCol w:w="110"/>
        <w:gridCol w:w="1126"/>
        <w:gridCol w:w="36"/>
        <w:gridCol w:w="36"/>
        <w:gridCol w:w="36"/>
      </w:tblGrid>
      <w:tr w:rsidR="00000000" w14:paraId="6A228757" w14:textId="77777777">
        <w:trPr>
          <w:divId w:val="1161119736"/>
          <w:jc w:val="center"/>
        </w:trPr>
        <w:tc>
          <w:tcPr>
            <w:tcW w:w="50" w:type="pct"/>
            <w:vAlign w:val="center"/>
            <w:hideMark/>
          </w:tcPr>
          <w:p w14:paraId="69582E57" w14:textId="77777777" w:rsidR="00000000" w:rsidRDefault="00C01C43">
            <w:pPr>
              <w:rPr>
                <w:rFonts w:eastAsia="Times New Roman"/>
              </w:rPr>
            </w:pPr>
          </w:p>
        </w:tc>
        <w:tc>
          <w:tcPr>
            <w:tcW w:w="3341" w:type="pct"/>
            <w:vAlign w:val="center"/>
            <w:hideMark/>
          </w:tcPr>
          <w:p w14:paraId="76F6B71D" w14:textId="77777777" w:rsidR="00000000" w:rsidRDefault="00C01C43">
            <w:pPr>
              <w:rPr>
                <w:rFonts w:eastAsia="Times New Roman"/>
                <w:sz w:val="20"/>
                <w:szCs w:val="20"/>
              </w:rPr>
            </w:pPr>
          </w:p>
        </w:tc>
        <w:tc>
          <w:tcPr>
            <w:tcW w:w="5" w:type="pct"/>
            <w:vAlign w:val="center"/>
            <w:hideMark/>
          </w:tcPr>
          <w:p w14:paraId="71DBC8DF" w14:textId="77777777" w:rsidR="00000000" w:rsidRDefault="00C01C43">
            <w:pPr>
              <w:rPr>
                <w:rFonts w:eastAsia="Times New Roman"/>
                <w:sz w:val="20"/>
                <w:szCs w:val="20"/>
              </w:rPr>
            </w:pPr>
          </w:p>
        </w:tc>
        <w:tc>
          <w:tcPr>
            <w:tcW w:w="50" w:type="pct"/>
            <w:vAlign w:val="center"/>
            <w:hideMark/>
          </w:tcPr>
          <w:p w14:paraId="17B5FE3D" w14:textId="77777777" w:rsidR="00000000" w:rsidRDefault="00C01C43">
            <w:pPr>
              <w:rPr>
                <w:rFonts w:eastAsia="Times New Roman"/>
                <w:sz w:val="20"/>
                <w:szCs w:val="20"/>
              </w:rPr>
            </w:pPr>
          </w:p>
        </w:tc>
        <w:tc>
          <w:tcPr>
            <w:tcW w:w="728" w:type="pct"/>
            <w:vAlign w:val="center"/>
            <w:hideMark/>
          </w:tcPr>
          <w:p w14:paraId="3BE71AF0" w14:textId="77777777" w:rsidR="00000000" w:rsidRDefault="00C01C43">
            <w:pPr>
              <w:rPr>
                <w:rFonts w:eastAsia="Times New Roman"/>
                <w:sz w:val="20"/>
                <w:szCs w:val="20"/>
              </w:rPr>
            </w:pPr>
          </w:p>
        </w:tc>
        <w:tc>
          <w:tcPr>
            <w:tcW w:w="5" w:type="pct"/>
            <w:vAlign w:val="center"/>
            <w:hideMark/>
          </w:tcPr>
          <w:p w14:paraId="2C014C8B" w14:textId="77777777" w:rsidR="00000000" w:rsidRDefault="00C01C43">
            <w:pPr>
              <w:rPr>
                <w:rFonts w:eastAsia="Times New Roman"/>
                <w:sz w:val="20"/>
                <w:szCs w:val="20"/>
              </w:rPr>
            </w:pPr>
          </w:p>
        </w:tc>
        <w:tc>
          <w:tcPr>
            <w:tcW w:w="5" w:type="pct"/>
            <w:vAlign w:val="center"/>
            <w:hideMark/>
          </w:tcPr>
          <w:p w14:paraId="48E244CA" w14:textId="77777777" w:rsidR="00000000" w:rsidRDefault="00C01C43">
            <w:pPr>
              <w:rPr>
                <w:rFonts w:eastAsia="Times New Roman"/>
                <w:sz w:val="20"/>
                <w:szCs w:val="20"/>
              </w:rPr>
            </w:pPr>
          </w:p>
        </w:tc>
        <w:tc>
          <w:tcPr>
            <w:tcW w:w="26" w:type="pct"/>
            <w:vAlign w:val="center"/>
            <w:hideMark/>
          </w:tcPr>
          <w:p w14:paraId="2B75E07C" w14:textId="77777777" w:rsidR="00000000" w:rsidRDefault="00C01C43">
            <w:pPr>
              <w:rPr>
                <w:rFonts w:eastAsia="Times New Roman"/>
                <w:sz w:val="20"/>
                <w:szCs w:val="20"/>
              </w:rPr>
            </w:pPr>
          </w:p>
        </w:tc>
        <w:tc>
          <w:tcPr>
            <w:tcW w:w="5" w:type="pct"/>
            <w:vAlign w:val="center"/>
            <w:hideMark/>
          </w:tcPr>
          <w:p w14:paraId="6431CC7C" w14:textId="77777777" w:rsidR="00000000" w:rsidRDefault="00C01C43">
            <w:pPr>
              <w:rPr>
                <w:rFonts w:eastAsia="Times New Roman"/>
                <w:sz w:val="20"/>
                <w:szCs w:val="20"/>
              </w:rPr>
            </w:pPr>
          </w:p>
        </w:tc>
        <w:tc>
          <w:tcPr>
            <w:tcW w:w="50" w:type="pct"/>
            <w:vAlign w:val="center"/>
            <w:hideMark/>
          </w:tcPr>
          <w:p w14:paraId="657EB046" w14:textId="77777777" w:rsidR="00000000" w:rsidRDefault="00C01C43">
            <w:pPr>
              <w:rPr>
                <w:rFonts w:eastAsia="Times New Roman"/>
                <w:sz w:val="20"/>
                <w:szCs w:val="20"/>
              </w:rPr>
            </w:pPr>
          </w:p>
        </w:tc>
        <w:tc>
          <w:tcPr>
            <w:tcW w:w="728" w:type="pct"/>
            <w:vAlign w:val="center"/>
            <w:hideMark/>
          </w:tcPr>
          <w:p w14:paraId="483D579A" w14:textId="77777777" w:rsidR="00000000" w:rsidRDefault="00C01C43">
            <w:pPr>
              <w:rPr>
                <w:rFonts w:eastAsia="Times New Roman"/>
                <w:sz w:val="20"/>
                <w:szCs w:val="20"/>
              </w:rPr>
            </w:pPr>
          </w:p>
        </w:tc>
        <w:tc>
          <w:tcPr>
            <w:tcW w:w="5" w:type="pct"/>
            <w:vAlign w:val="center"/>
            <w:hideMark/>
          </w:tcPr>
          <w:p w14:paraId="7456978B" w14:textId="77777777" w:rsidR="00000000" w:rsidRDefault="00C01C43">
            <w:pPr>
              <w:rPr>
                <w:rFonts w:eastAsia="Times New Roman"/>
                <w:sz w:val="20"/>
                <w:szCs w:val="20"/>
              </w:rPr>
            </w:pPr>
          </w:p>
        </w:tc>
        <w:tc>
          <w:tcPr>
            <w:tcW w:w="0" w:type="auto"/>
            <w:vAlign w:val="center"/>
            <w:hideMark/>
          </w:tcPr>
          <w:p w14:paraId="39009F37" w14:textId="77777777" w:rsidR="00000000" w:rsidRDefault="00C01C43">
            <w:pPr>
              <w:rPr>
                <w:rFonts w:eastAsia="Times New Roman"/>
                <w:sz w:val="20"/>
                <w:szCs w:val="20"/>
              </w:rPr>
            </w:pPr>
          </w:p>
        </w:tc>
        <w:tc>
          <w:tcPr>
            <w:tcW w:w="0" w:type="auto"/>
            <w:vAlign w:val="center"/>
            <w:hideMark/>
          </w:tcPr>
          <w:p w14:paraId="67E8D439" w14:textId="77777777" w:rsidR="00000000" w:rsidRDefault="00C01C43">
            <w:pPr>
              <w:rPr>
                <w:rFonts w:eastAsia="Times New Roman"/>
                <w:sz w:val="20"/>
                <w:szCs w:val="20"/>
              </w:rPr>
            </w:pPr>
          </w:p>
        </w:tc>
      </w:tr>
      <w:tr w:rsidR="00000000" w14:paraId="3B52F929" w14:textId="77777777">
        <w:trPr>
          <w:divId w:val="1161119736"/>
          <w:trHeight w:val="240"/>
          <w:jc w:val="center"/>
        </w:trPr>
        <w:tc>
          <w:tcPr>
            <w:tcW w:w="0" w:type="auto"/>
            <w:gridSpan w:val="3"/>
            <w:tcMar>
              <w:top w:w="0" w:type="dxa"/>
              <w:left w:w="20" w:type="dxa"/>
              <w:bottom w:w="0" w:type="dxa"/>
              <w:right w:w="20" w:type="dxa"/>
            </w:tcMar>
            <w:vAlign w:val="center"/>
            <w:hideMark/>
          </w:tcPr>
          <w:p w14:paraId="49AEFF61" w14:textId="77777777" w:rsidR="00000000" w:rsidRDefault="00C01C43">
            <w:pPr>
              <w:rPr>
                <w:rFonts w:eastAsia="Times New Roman"/>
                <w:sz w:val="20"/>
                <w:szCs w:val="20"/>
              </w:rPr>
            </w:pPr>
          </w:p>
        </w:tc>
        <w:tc>
          <w:tcPr>
            <w:tcW w:w="0" w:type="auto"/>
            <w:gridSpan w:val="9"/>
            <w:tcMar>
              <w:top w:w="0" w:type="dxa"/>
              <w:left w:w="20" w:type="dxa"/>
              <w:bottom w:w="0" w:type="dxa"/>
              <w:right w:w="20" w:type="dxa"/>
            </w:tcMar>
            <w:vAlign w:val="center"/>
            <w:hideMark/>
          </w:tcPr>
          <w:p w14:paraId="5987FFDB" w14:textId="77777777" w:rsidR="00000000" w:rsidRDefault="00C01C43">
            <w:pPr>
              <w:rPr>
                <w:rFonts w:eastAsia="Times New Roman"/>
                <w:sz w:val="20"/>
                <w:szCs w:val="20"/>
              </w:rPr>
            </w:pPr>
          </w:p>
        </w:tc>
        <w:tc>
          <w:tcPr>
            <w:tcW w:w="0" w:type="auto"/>
            <w:vAlign w:val="center"/>
            <w:hideMark/>
          </w:tcPr>
          <w:p w14:paraId="516F69AC" w14:textId="77777777" w:rsidR="00000000" w:rsidRDefault="00C01C43">
            <w:pPr>
              <w:rPr>
                <w:rFonts w:eastAsia="Times New Roman"/>
                <w:sz w:val="20"/>
                <w:szCs w:val="20"/>
              </w:rPr>
            </w:pPr>
          </w:p>
        </w:tc>
        <w:tc>
          <w:tcPr>
            <w:tcW w:w="0" w:type="auto"/>
            <w:vAlign w:val="center"/>
            <w:hideMark/>
          </w:tcPr>
          <w:p w14:paraId="3A35C1A7" w14:textId="77777777" w:rsidR="00000000" w:rsidRDefault="00C01C43">
            <w:pPr>
              <w:rPr>
                <w:rFonts w:eastAsia="Times New Roman"/>
                <w:sz w:val="20"/>
                <w:szCs w:val="20"/>
              </w:rPr>
            </w:pPr>
          </w:p>
        </w:tc>
      </w:tr>
      <w:tr w:rsidR="00000000" w14:paraId="6C0DC0E6" w14:textId="77777777">
        <w:trPr>
          <w:divId w:val="1161119736"/>
          <w:jc w:val="center"/>
        </w:trPr>
        <w:tc>
          <w:tcPr>
            <w:tcW w:w="0" w:type="auto"/>
            <w:gridSpan w:val="3"/>
            <w:tcMar>
              <w:top w:w="0" w:type="dxa"/>
              <w:left w:w="20" w:type="dxa"/>
              <w:bottom w:w="0" w:type="dxa"/>
              <w:right w:w="20" w:type="dxa"/>
            </w:tcMar>
            <w:vAlign w:val="center"/>
            <w:hideMark/>
          </w:tcPr>
          <w:p w14:paraId="792D7D65"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61309449"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1FB59375"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13E6A84D"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vAlign w:val="center"/>
            <w:hideMark/>
          </w:tcPr>
          <w:p w14:paraId="12D35FAD" w14:textId="77777777" w:rsidR="00000000" w:rsidRDefault="00C01C43">
            <w:pPr>
              <w:jc w:val="center"/>
              <w:rPr>
                <w:rFonts w:eastAsia="Times New Roman"/>
              </w:rPr>
            </w:pPr>
          </w:p>
        </w:tc>
        <w:tc>
          <w:tcPr>
            <w:tcW w:w="0" w:type="auto"/>
            <w:vAlign w:val="center"/>
            <w:hideMark/>
          </w:tcPr>
          <w:p w14:paraId="520A312F" w14:textId="77777777" w:rsidR="00000000" w:rsidRDefault="00C01C43">
            <w:pPr>
              <w:rPr>
                <w:rFonts w:eastAsia="Times New Roman"/>
                <w:sz w:val="20"/>
                <w:szCs w:val="20"/>
              </w:rPr>
            </w:pPr>
          </w:p>
        </w:tc>
      </w:tr>
      <w:tr w:rsidR="00000000" w14:paraId="15029A0A" w14:textId="77777777">
        <w:trPr>
          <w:divId w:val="1161119736"/>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14:paraId="66AE15D0" w14:textId="77777777" w:rsidR="00000000" w:rsidRDefault="00C01C43">
            <w:pPr>
              <w:rPr>
                <w:rFonts w:eastAsia="Times New Roman"/>
              </w:rPr>
            </w:pPr>
            <w:r>
              <w:rPr>
                <w:rFonts w:ascii="Arial" w:eastAsia="Times New Roman" w:hAnsi="Arial" w:cs="Arial"/>
                <w:color w:val="000000"/>
                <w:sz w:val="16"/>
                <w:szCs w:val="16"/>
              </w:rPr>
              <w:t>Weighted-average remaining lease term (years) - finance leases</w:t>
            </w: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3F87B9E2" w14:textId="77777777" w:rsidR="00000000" w:rsidRDefault="00C01C43">
            <w:pPr>
              <w:jc w:val="right"/>
              <w:rPr>
                <w:rFonts w:eastAsia="Times New Roman"/>
              </w:rPr>
            </w:pPr>
            <w:r>
              <w:rPr>
                <w:rFonts w:ascii="Arial" w:eastAsia="Times New Roman" w:hAnsi="Arial" w:cs="Arial"/>
                <w:color w:val="000000"/>
                <w:sz w:val="16"/>
                <w:szCs w:val="16"/>
              </w:rPr>
              <w:t>5.6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F2ED77"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068CCA52" w14:textId="77777777" w:rsidR="00000000" w:rsidRDefault="00C01C43">
            <w:pPr>
              <w:jc w:val="right"/>
              <w:rPr>
                <w:rFonts w:eastAsia="Times New Roman"/>
              </w:rPr>
            </w:pPr>
            <w:r>
              <w:rPr>
                <w:rFonts w:ascii="Arial" w:eastAsia="Times New Roman" w:hAnsi="Arial" w:cs="Arial"/>
                <w:color w:val="000000"/>
                <w:sz w:val="16"/>
                <w:szCs w:val="16"/>
              </w:rPr>
              <w:t>5.6</w:t>
            </w:r>
          </w:p>
        </w:tc>
        <w:tc>
          <w:tcPr>
            <w:tcW w:w="0" w:type="auto"/>
            <w:vAlign w:val="center"/>
            <w:hideMark/>
          </w:tcPr>
          <w:p w14:paraId="623A6854" w14:textId="77777777" w:rsidR="00000000" w:rsidRDefault="00C01C43">
            <w:pPr>
              <w:jc w:val="right"/>
              <w:rPr>
                <w:rFonts w:eastAsia="Times New Roman"/>
              </w:rPr>
            </w:pPr>
          </w:p>
        </w:tc>
        <w:tc>
          <w:tcPr>
            <w:tcW w:w="0" w:type="auto"/>
            <w:vAlign w:val="center"/>
            <w:hideMark/>
          </w:tcPr>
          <w:p w14:paraId="75C155B9" w14:textId="77777777" w:rsidR="00000000" w:rsidRDefault="00C01C43">
            <w:pPr>
              <w:rPr>
                <w:rFonts w:eastAsia="Times New Roman"/>
                <w:sz w:val="20"/>
                <w:szCs w:val="20"/>
              </w:rPr>
            </w:pPr>
          </w:p>
        </w:tc>
      </w:tr>
      <w:tr w:rsidR="00000000" w14:paraId="65285EDC" w14:textId="77777777">
        <w:trPr>
          <w:divId w:val="1161119736"/>
          <w:jc w:val="center"/>
        </w:trPr>
        <w:tc>
          <w:tcPr>
            <w:tcW w:w="0" w:type="auto"/>
            <w:gridSpan w:val="3"/>
            <w:shd w:val="clear" w:color="auto" w:fill="FFFFFF"/>
            <w:tcMar>
              <w:top w:w="30" w:type="dxa"/>
              <w:left w:w="20" w:type="dxa"/>
              <w:bottom w:w="30" w:type="dxa"/>
              <w:right w:w="20" w:type="dxa"/>
            </w:tcMar>
            <w:hideMark/>
          </w:tcPr>
          <w:p w14:paraId="1FDC209D" w14:textId="77777777" w:rsidR="00000000" w:rsidRDefault="00C01C43">
            <w:pPr>
              <w:rPr>
                <w:rFonts w:eastAsia="Times New Roman"/>
              </w:rPr>
            </w:pPr>
            <w:r>
              <w:rPr>
                <w:rFonts w:ascii="Arial" w:eastAsia="Times New Roman" w:hAnsi="Arial" w:cs="Arial"/>
                <w:color w:val="000000"/>
                <w:sz w:val="16"/>
                <w:szCs w:val="16"/>
              </w:rPr>
              <w:t>Weighted-average remaining lease term (years) - operating leases</w:t>
            </w:r>
          </w:p>
        </w:tc>
        <w:tc>
          <w:tcPr>
            <w:tcW w:w="0" w:type="auto"/>
            <w:gridSpan w:val="3"/>
            <w:shd w:val="clear" w:color="auto" w:fill="FFFFFF"/>
            <w:tcMar>
              <w:top w:w="30" w:type="dxa"/>
              <w:left w:w="20" w:type="dxa"/>
              <w:bottom w:w="30" w:type="dxa"/>
              <w:right w:w="140" w:type="dxa"/>
            </w:tcMar>
            <w:vAlign w:val="bottom"/>
            <w:hideMark/>
          </w:tcPr>
          <w:p w14:paraId="5ADBFC9A" w14:textId="77777777" w:rsidR="00000000" w:rsidRDefault="00C01C43">
            <w:pPr>
              <w:jc w:val="right"/>
              <w:rPr>
                <w:rFonts w:eastAsia="Times New Roman"/>
              </w:rPr>
            </w:pPr>
            <w:r>
              <w:rPr>
                <w:rFonts w:ascii="Arial" w:eastAsia="Times New Roman" w:hAnsi="Arial" w:cs="Arial"/>
                <w:color w:val="000000"/>
                <w:sz w:val="16"/>
                <w:szCs w:val="16"/>
              </w:rPr>
              <w:t>6.6</w:t>
            </w:r>
          </w:p>
        </w:tc>
        <w:tc>
          <w:tcPr>
            <w:tcW w:w="0" w:type="auto"/>
            <w:gridSpan w:val="3"/>
            <w:shd w:val="clear" w:color="auto" w:fill="FFFFFF"/>
            <w:tcMar>
              <w:top w:w="0" w:type="dxa"/>
              <w:left w:w="20" w:type="dxa"/>
              <w:bottom w:w="0" w:type="dxa"/>
              <w:right w:w="20" w:type="dxa"/>
            </w:tcMar>
            <w:vAlign w:val="center"/>
            <w:hideMark/>
          </w:tcPr>
          <w:p w14:paraId="44768A6B" w14:textId="77777777" w:rsidR="00000000" w:rsidRDefault="00C01C43">
            <w:pPr>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2A908FC" w14:textId="77777777" w:rsidR="00000000" w:rsidRDefault="00C01C43">
            <w:pPr>
              <w:jc w:val="right"/>
              <w:rPr>
                <w:rFonts w:eastAsia="Times New Roman"/>
              </w:rPr>
            </w:pPr>
            <w:r>
              <w:rPr>
                <w:rFonts w:ascii="Arial" w:eastAsia="Times New Roman" w:hAnsi="Arial" w:cs="Arial"/>
                <w:color w:val="000000"/>
                <w:sz w:val="16"/>
                <w:szCs w:val="16"/>
              </w:rPr>
              <w:t>6.5</w:t>
            </w:r>
          </w:p>
        </w:tc>
        <w:tc>
          <w:tcPr>
            <w:tcW w:w="0" w:type="auto"/>
            <w:vAlign w:val="center"/>
            <w:hideMark/>
          </w:tcPr>
          <w:p w14:paraId="79CA646A" w14:textId="77777777" w:rsidR="00000000" w:rsidRDefault="00C01C43">
            <w:pPr>
              <w:jc w:val="right"/>
              <w:rPr>
                <w:rFonts w:eastAsia="Times New Roman"/>
              </w:rPr>
            </w:pPr>
          </w:p>
        </w:tc>
        <w:tc>
          <w:tcPr>
            <w:tcW w:w="0" w:type="auto"/>
            <w:vAlign w:val="center"/>
            <w:hideMark/>
          </w:tcPr>
          <w:p w14:paraId="647B318A" w14:textId="77777777" w:rsidR="00000000" w:rsidRDefault="00C01C43">
            <w:pPr>
              <w:rPr>
                <w:rFonts w:eastAsia="Times New Roman"/>
                <w:sz w:val="20"/>
                <w:szCs w:val="20"/>
              </w:rPr>
            </w:pPr>
          </w:p>
        </w:tc>
      </w:tr>
      <w:tr w:rsidR="00000000" w14:paraId="2A0D26C2" w14:textId="77777777">
        <w:trPr>
          <w:divId w:val="1161119736"/>
          <w:jc w:val="center"/>
        </w:trPr>
        <w:tc>
          <w:tcPr>
            <w:tcW w:w="0" w:type="auto"/>
            <w:gridSpan w:val="3"/>
            <w:shd w:val="clear" w:color="auto" w:fill="CCEEFF"/>
            <w:tcMar>
              <w:top w:w="30" w:type="dxa"/>
              <w:left w:w="20" w:type="dxa"/>
              <w:bottom w:w="30" w:type="dxa"/>
              <w:right w:w="20" w:type="dxa"/>
            </w:tcMar>
            <w:hideMark/>
          </w:tcPr>
          <w:p w14:paraId="58CC150F" w14:textId="77777777" w:rsidR="00000000" w:rsidRDefault="00C01C43">
            <w:pPr>
              <w:rPr>
                <w:rFonts w:eastAsia="Times New Roman"/>
              </w:rPr>
            </w:pPr>
            <w:r>
              <w:rPr>
                <w:rFonts w:ascii="Arial" w:eastAsia="Times New Roman" w:hAnsi="Arial" w:cs="Arial"/>
                <w:color w:val="000000"/>
                <w:sz w:val="16"/>
                <w:szCs w:val="16"/>
              </w:rPr>
              <w:t>Weighted-average discount rate - finance leases</w:t>
            </w:r>
          </w:p>
        </w:tc>
        <w:tc>
          <w:tcPr>
            <w:tcW w:w="0" w:type="auto"/>
            <w:gridSpan w:val="3"/>
            <w:shd w:val="clear" w:color="auto" w:fill="CCEEFF"/>
            <w:tcMar>
              <w:top w:w="30" w:type="dxa"/>
              <w:left w:w="20" w:type="dxa"/>
              <w:bottom w:w="30" w:type="dxa"/>
              <w:right w:w="35" w:type="dxa"/>
            </w:tcMar>
            <w:vAlign w:val="bottom"/>
            <w:hideMark/>
          </w:tcPr>
          <w:p w14:paraId="2850B2F2" w14:textId="77777777" w:rsidR="00000000" w:rsidRDefault="00C01C43">
            <w:pPr>
              <w:jc w:val="right"/>
              <w:rPr>
                <w:rFonts w:eastAsia="Times New Roman"/>
              </w:rPr>
            </w:pPr>
            <w:r>
              <w:rPr>
                <w:rFonts w:ascii="Arial" w:eastAsia="Times New Roman" w:hAnsi="Arial" w:cs="Arial"/>
                <w:color w:val="000000"/>
                <w:sz w:val="16"/>
                <w:szCs w:val="16"/>
              </w:rPr>
              <w:t>3.3%</w:t>
            </w:r>
          </w:p>
        </w:tc>
        <w:tc>
          <w:tcPr>
            <w:tcW w:w="0" w:type="auto"/>
            <w:gridSpan w:val="3"/>
            <w:shd w:val="clear" w:color="auto" w:fill="CCEEFF"/>
            <w:tcMar>
              <w:top w:w="0" w:type="dxa"/>
              <w:left w:w="20" w:type="dxa"/>
              <w:bottom w:w="0" w:type="dxa"/>
              <w:right w:w="20" w:type="dxa"/>
            </w:tcMar>
            <w:vAlign w:val="center"/>
            <w:hideMark/>
          </w:tcPr>
          <w:p w14:paraId="3AEDC73B" w14:textId="77777777" w:rsidR="00000000" w:rsidRDefault="00C01C43">
            <w:pPr>
              <w:jc w:val="right"/>
              <w:rPr>
                <w:rFonts w:eastAsia="Times New Roman"/>
              </w:rPr>
            </w:pPr>
          </w:p>
        </w:tc>
        <w:tc>
          <w:tcPr>
            <w:tcW w:w="0" w:type="auto"/>
            <w:gridSpan w:val="3"/>
            <w:shd w:val="clear" w:color="auto" w:fill="CCEEFF"/>
            <w:tcMar>
              <w:top w:w="30" w:type="dxa"/>
              <w:left w:w="20" w:type="dxa"/>
              <w:bottom w:w="30" w:type="dxa"/>
              <w:right w:w="35" w:type="dxa"/>
            </w:tcMar>
            <w:vAlign w:val="bottom"/>
            <w:hideMark/>
          </w:tcPr>
          <w:p w14:paraId="4F00E9B1" w14:textId="77777777" w:rsidR="00000000" w:rsidRDefault="00C01C43">
            <w:pPr>
              <w:jc w:val="right"/>
              <w:rPr>
                <w:rFonts w:eastAsia="Times New Roman"/>
              </w:rPr>
            </w:pPr>
            <w:r>
              <w:rPr>
                <w:rFonts w:ascii="Arial" w:eastAsia="Times New Roman" w:hAnsi="Arial" w:cs="Arial"/>
                <w:color w:val="000000"/>
                <w:sz w:val="16"/>
                <w:szCs w:val="16"/>
              </w:rPr>
              <w:t>3.2%</w:t>
            </w:r>
          </w:p>
        </w:tc>
        <w:tc>
          <w:tcPr>
            <w:tcW w:w="0" w:type="auto"/>
            <w:vAlign w:val="center"/>
            <w:hideMark/>
          </w:tcPr>
          <w:p w14:paraId="7111FB2C" w14:textId="77777777" w:rsidR="00000000" w:rsidRDefault="00C01C43">
            <w:pPr>
              <w:jc w:val="right"/>
              <w:rPr>
                <w:rFonts w:eastAsia="Times New Roman"/>
              </w:rPr>
            </w:pPr>
          </w:p>
        </w:tc>
        <w:tc>
          <w:tcPr>
            <w:tcW w:w="0" w:type="auto"/>
            <w:vAlign w:val="center"/>
            <w:hideMark/>
          </w:tcPr>
          <w:p w14:paraId="59DDB8F3" w14:textId="77777777" w:rsidR="00000000" w:rsidRDefault="00C01C43">
            <w:pPr>
              <w:rPr>
                <w:rFonts w:eastAsia="Times New Roman"/>
                <w:sz w:val="20"/>
                <w:szCs w:val="20"/>
              </w:rPr>
            </w:pPr>
          </w:p>
        </w:tc>
      </w:tr>
      <w:tr w:rsidR="00000000" w14:paraId="5862A8F2" w14:textId="77777777">
        <w:trPr>
          <w:divId w:val="1161119736"/>
          <w:jc w:val="center"/>
        </w:trPr>
        <w:tc>
          <w:tcPr>
            <w:tcW w:w="0" w:type="auto"/>
            <w:gridSpan w:val="3"/>
            <w:shd w:val="clear" w:color="auto" w:fill="FFFFFF"/>
            <w:tcMar>
              <w:top w:w="30" w:type="dxa"/>
              <w:left w:w="20" w:type="dxa"/>
              <w:bottom w:w="30" w:type="dxa"/>
              <w:right w:w="20" w:type="dxa"/>
            </w:tcMar>
            <w:hideMark/>
          </w:tcPr>
          <w:p w14:paraId="5594AA34" w14:textId="77777777" w:rsidR="00000000" w:rsidRDefault="00C01C43">
            <w:pPr>
              <w:rPr>
                <w:rFonts w:eastAsia="Times New Roman"/>
              </w:rPr>
            </w:pPr>
            <w:r>
              <w:rPr>
                <w:rFonts w:ascii="Arial" w:eastAsia="Times New Roman" w:hAnsi="Arial" w:cs="Arial"/>
                <w:color w:val="000000"/>
                <w:sz w:val="16"/>
                <w:szCs w:val="16"/>
              </w:rPr>
              <w:t>Weighted-average discount rate - operating leases</w:t>
            </w:r>
          </w:p>
        </w:tc>
        <w:tc>
          <w:tcPr>
            <w:tcW w:w="0" w:type="auto"/>
            <w:gridSpan w:val="3"/>
            <w:shd w:val="clear" w:color="auto" w:fill="FFFFFF"/>
            <w:tcMar>
              <w:top w:w="30" w:type="dxa"/>
              <w:left w:w="20" w:type="dxa"/>
              <w:bottom w:w="30" w:type="dxa"/>
              <w:right w:w="35" w:type="dxa"/>
            </w:tcMar>
            <w:vAlign w:val="bottom"/>
            <w:hideMark/>
          </w:tcPr>
          <w:p w14:paraId="435282E7" w14:textId="77777777" w:rsidR="00000000" w:rsidRDefault="00C01C43">
            <w:pPr>
              <w:jc w:val="right"/>
              <w:rPr>
                <w:rFonts w:eastAsia="Times New Roman"/>
              </w:rPr>
            </w:pPr>
            <w:r>
              <w:rPr>
                <w:rFonts w:ascii="Arial" w:eastAsia="Times New Roman" w:hAnsi="Arial" w:cs="Arial"/>
                <w:color w:val="000000"/>
                <w:sz w:val="16"/>
                <w:szCs w:val="16"/>
              </w:rPr>
              <w:t>5.6%</w:t>
            </w:r>
          </w:p>
        </w:tc>
        <w:tc>
          <w:tcPr>
            <w:tcW w:w="0" w:type="auto"/>
            <w:gridSpan w:val="3"/>
            <w:shd w:val="clear" w:color="auto" w:fill="FFFFFF"/>
            <w:tcMar>
              <w:top w:w="0" w:type="dxa"/>
              <w:left w:w="20" w:type="dxa"/>
              <w:bottom w:w="0" w:type="dxa"/>
              <w:right w:w="20" w:type="dxa"/>
            </w:tcMar>
            <w:vAlign w:val="center"/>
            <w:hideMark/>
          </w:tcPr>
          <w:p w14:paraId="4F74B4FA" w14:textId="77777777" w:rsidR="00000000" w:rsidRDefault="00C01C43">
            <w:pPr>
              <w:jc w:val="right"/>
              <w:rPr>
                <w:rFonts w:eastAsia="Times New Roman"/>
              </w:rPr>
            </w:pPr>
          </w:p>
        </w:tc>
        <w:tc>
          <w:tcPr>
            <w:tcW w:w="0" w:type="auto"/>
            <w:gridSpan w:val="3"/>
            <w:shd w:val="clear" w:color="auto" w:fill="FFFFFF"/>
            <w:tcMar>
              <w:top w:w="30" w:type="dxa"/>
              <w:left w:w="20" w:type="dxa"/>
              <w:bottom w:w="30" w:type="dxa"/>
              <w:right w:w="35" w:type="dxa"/>
            </w:tcMar>
            <w:vAlign w:val="bottom"/>
            <w:hideMark/>
          </w:tcPr>
          <w:p w14:paraId="4B4FCB96" w14:textId="77777777" w:rsidR="00000000" w:rsidRDefault="00C01C43">
            <w:pPr>
              <w:jc w:val="right"/>
              <w:rPr>
                <w:rFonts w:eastAsia="Times New Roman"/>
              </w:rPr>
            </w:pPr>
            <w:r>
              <w:rPr>
                <w:rFonts w:ascii="Arial" w:eastAsia="Times New Roman" w:hAnsi="Arial" w:cs="Arial"/>
                <w:color w:val="000000"/>
                <w:sz w:val="16"/>
                <w:szCs w:val="16"/>
              </w:rPr>
              <w:t>5.9%</w:t>
            </w:r>
          </w:p>
        </w:tc>
        <w:tc>
          <w:tcPr>
            <w:tcW w:w="0" w:type="auto"/>
            <w:vAlign w:val="center"/>
            <w:hideMark/>
          </w:tcPr>
          <w:p w14:paraId="4F42217E" w14:textId="77777777" w:rsidR="00000000" w:rsidRDefault="00C01C43">
            <w:pPr>
              <w:jc w:val="right"/>
              <w:rPr>
                <w:rFonts w:eastAsia="Times New Roman"/>
              </w:rPr>
            </w:pPr>
          </w:p>
        </w:tc>
        <w:tc>
          <w:tcPr>
            <w:tcW w:w="0" w:type="auto"/>
            <w:vAlign w:val="center"/>
            <w:hideMark/>
          </w:tcPr>
          <w:p w14:paraId="370BBD1C" w14:textId="77777777" w:rsidR="00000000" w:rsidRDefault="00C01C43">
            <w:pPr>
              <w:rPr>
                <w:rFonts w:eastAsia="Times New Roman"/>
                <w:sz w:val="20"/>
                <w:szCs w:val="20"/>
              </w:rPr>
            </w:pPr>
          </w:p>
        </w:tc>
      </w:tr>
      <w:tr w:rsidR="00000000" w14:paraId="341606F7" w14:textId="77777777">
        <w:trPr>
          <w:divId w:val="1161119736"/>
          <w:jc w:val="center"/>
        </w:trPr>
        <w:tc>
          <w:tcPr>
            <w:tcW w:w="0" w:type="auto"/>
            <w:gridSpan w:val="3"/>
            <w:shd w:val="clear" w:color="auto" w:fill="CCEEFF"/>
            <w:tcMar>
              <w:top w:w="30" w:type="dxa"/>
              <w:left w:w="20" w:type="dxa"/>
              <w:bottom w:w="30" w:type="dxa"/>
              <w:right w:w="20" w:type="dxa"/>
            </w:tcMar>
            <w:hideMark/>
          </w:tcPr>
          <w:p w14:paraId="5BF83A95" w14:textId="77777777" w:rsidR="00000000" w:rsidRDefault="00C01C43">
            <w:pPr>
              <w:rPr>
                <w:rFonts w:eastAsia="Times New Roman"/>
              </w:rPr>
            </w:pPr>
            <w:r>
              <w:rPr>
                <w:rFonts w:ascii="Arial" w:eastAsia="Times New Roman" w:hAnsi="Arial" w:cs="Arial"/>
                <w:color w:val="000000"/>
                <w:sz w:val="16"/>
                <w:szCs w:val="16"/>
              </w:rPr>
              <w:t>Cash paid for amounts included in the measurement of lease liabilities (in millions):</w:t>
            </w:r>
          </w:p>
        </w:tc>
        <w:tc>
          <w:tcPr>
            <w:tcW w:w="0" w:type="auto"/>
            <w:gridSpan w:val="3"/>
            <w:shd w:val="clear" w:color="auto" w:fill="CCEEFF"/>
            <w:tcMar>
              <w:top w:w="0" w:type="dxa"/>
              <w:left w:w="20" w:type="dxa"/>
              <w:bottom w:w="0" w:type="dxa"/>
              <w:right w:w="155" w:type="dxa"/>
            </w:tcMar>
            <w:vAlign w:val="center"/>
            <w:hideMark/>
          </w:tcPr>
          <w:p w14:paraId="5CEC4AD5" w14:textId="77777777" w:rsidR="00000000" w:rsidRDefault="00C01C4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FAC03" w14:textId="77777777" w:rsidR="00000000" w:rsidRDefault="00C01C43">
            <w:pPr>
              <w:rPr>
                <w:rFonts w:eastAsia="Times New Roman"/>
                <w:sz w:val="20"/>
                <w:szCs w:val="20"/>
              </w:rPr>
            </w:pPr>
          </w:p>
        </w:tc>
        <w:tc>
          <w:tcPr>
            <w:tcW w:w="0" w:type="auto"/>
            <w:gridSpan w:val="3"/>
            <w:shd w:val="clear" w:color="auto" w:fill="CCEEFF"/>
            <w:tcMar>
              <w:top w:w="0" w:type="dxa"/>
              <w:left w:w="20" w:type="dxa"/>
              <w:bottom w:w="0" w:type="dxa"/>
              <w:right w:w="155" w:type="dxa"/>
            </w:tcMar>
            <w:vAlign w:val="center"/>
            <w:hideMark/>
          </w:tcPr>
          <w:p w14:paraId="3E76D8BD" w14:textId="77777777" w:rsidR="00000000" w:rsidRDefault="00C01C43">
            <w:pPr>
              <w:rPr>
                <w:rFonts w:eastAsia="Times New Roman"/>
                <w:sz w:val="20"/>
                <w:szCs w:val="20"/>
              </w:rPr>
            </w:pPr>
          </w:p>
        </w:tc>
        <w:tc>
          <w:tcPr>
            <w:tcW w:w="0" w:type="auto"/>
            <w:vAlign w:val="center"/>
            <w:hideMark/>
          </w:tcPr>
          <w:p w14:paraId="7065A8FE" w14:textId="77777777" w:rsidR="00000000" w:rsidRDefault="00C01C43">
            <w:pPr>
              <w:rPr>
                <w:rFonts w:eastAsia="Times New Roman"/>
                <w:sz w:val="20"/>
                <w:szCs w:val="20"/>
              </w:rPr>
            </w:pPr>
          </w:p>
        </w:tc>
        <w:tc>
          <w:tcPr>
            <w:tcW w:w="0" w:type="auto"/>
            <w:vAlign w:val="center"/>
            <w:hideMark/>
          </w:tcPr>
          <w:p w14:paraId="07110C6B" w14:textId="77777777" w:rsidR="00000000" w:rsidRDefault="00C01C43">
            <w:pPr>
              <w:rPr>
                <w:rFonts w:eastAsia="Times New Roman"/>
                <w:sz w:val="20"/>
                <w:szCs w:val="20"/>
              </w:rPr>
            </w:pPr>
          </w:p>
        </w:tc>
      </w:tr>
      <w:tr w:rsidR="00000000" w14:paraId="4EA1081E" w14:textId="77777777">
        <w:trPr>
          <w:divId w:val="1161119736"/>
          <w:jc w:val="center"/>
        </w:trPr>
        <w:tc>
          <w:tcPr>
            <w:tcW w:w="0" w:type="auto"/>
            <w:gridSpan w:val="3"/>
            <w:shd w:val="clear" w:color="auto" w:fill="FFFFFF"/>
            <w:tcMar>
              <w:top w:w="30" w:type="dxa"/>
              <w:left w:w="140" w:type="dxa"/>
              <w:bottom w:w="30" w:type="dxa"/>
              <w:right w:w="20" w:type="dxa"/>
            </w:tcMar>
            <w:hideMark/>
          </w:tcPr>
          <w:p w14:paraId="4C15FE02" w14:textId="77777777" w:rsidR="00000000" w:rsidRDefault="00C01C43">
            <w:pPr>
              <w:rPr>
                <w:rFonts w:eastAsia="Times New Roman"/>
              </w:rPr>
            </w:pPr>
            <w:r>
              <w:rPr>
                <w:rFonts w:ascii="Arial" w:eastAsia="Times New Roman" w:hAnsi="Arial" w:cs="Arial"/>
                <w:color w:val="000000"/>
                <w:sz w:val="16"/>
                <w:szCs w:val="16"/>
              </w:rPr>
              <w:t>Operating cash flows from finance leases</w:t>
            </w:r>
          </w:p>
        </w:tc>
        <w:tc>
          <w:tcPr>
            <w:tcW w:w="0" w:type="auto"/>
            <w:shd w:val="clear" w:color="auto" w:fill="FFFFFF"/>
            <w:tcMar>
              <w:top w:w="30" w:type="dxa"/>
              <w:left w:w="20" w:type="dxa"/>
              <w:bottom w:w="30" w:type="dxa"/>
              <w:right w:w="0" w:type="dxa"/>
            </w:tcMar>
            <w:vAlign w:val="bottom"/>
            <w:hideMark/>
          </w:tcPr>
          <w:p w14:paraId="02BE691F" w14:textId="77777777" w:rsidR="00000000" w:rsidRDefault="00C01C43">
            <w:pPr>
              <w:rPr>
                <w:rFonts w:eastAsia="Times New Roman"/>
              </w:rPr>
            </w:pPr>
            <w:r>
              <w:rPr>
                <w:rFonts w:ascii="Arial" w:eastAsia="Times New Roman" w:hAnsi="Arial" w:cs="Arial"/>
                <w:color w:val="000000"/>
                <w:sz w:val="16"/>
                <w:szCs w:val="16"/>
              </w:rPr>
              <w:t>$</w:t>
            </w:r>
          </w:p>
        </w:tc>
        <w:tc>
          <w:tcPr>
            <w:tcW w:w="0" w:type="auto"/>
            <w:gridSpan w:val="2"/>
            <w:shd w:val="clear" w:color="auto" w:fill="FFFFFF"/>
            <w:tcMar>
              <w:top w:w="30" w:type="dxa"/>
              <w:left w:w="0" w:type="dxa"/>
              <w:bottom w:w="30" w:type="dxa"/>
              <w:right w:w="155" w:type="dxa"/>
            </w:tcMar>
            <w:vAlign w:val="bottom"/>
            <w:hideMark/>
          </w:tcPr>
          <w:p w14:paraId="5DD38E4C" w14:textId="77777777" w:rsidR="00000000" w:rsidRDefault="00C01C43">
            <w:pPr>
              <w:jc w:val="right"/>
              <w:rPr>
                <w:rFonts w:eastAsia="Times New Roman"/>
              </w:rPr>
            </w:pPr>
            <w:r>
              <w:rPr>
                <w:rFonts w:ascii="Arial" w:eastAsia="Times New Roman" w:hAnsi="Arial" w:cs="Arial"/>
                <w:color w:val="000000"/>
                <w:sz w:val="16"/>
                <w:szCs w:val="16"/>
              </w:rPr>
              <w:t>0.6</w:t>
            </w:r>
          </w:p>
        </w:tc>
        <w:tc>
          <w:tcPr>
            <w:tcW w:w="0" w:type="auto"/>
            <w:gridSpan w:val="3"/>
            <w:shd w:val="clear" w:color="auto" w:fill="FFFFFF"/>
            <w:tcMar>
              <w:top w:w="0" w:type="dxa"/>
              <w:left w:w="20" w:type="dxa"/>
              <w:bottom w:w="0" w:type="dxa"/>
              <w:right w:w="20" w:type="dxa"/>
            </w:tcMar>
            <w:vAlign w:val="center"/>
            <w:hideMark/>
          </w:tcPr>
          <w:p w14:paraId="1806D0C2" w14:textId="77777777" w:rsidR="00000000" w:rsidRDefault="00C01C4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883501B" w14:textId="77777777" w:rsidR="00000000" w:rsidRDefault="00C01C43">
            <w:pPr>
              <w:rPr>
                <w:rFonts w:eastAsia="Times New Roman"/>
              </w:rPr>
            </w:pPr>
            <w:r>
              <w:rPr>
                <w:rFonts w:ascii="Arial" w:eastAsia="Times New Roman" w:hAnsi="Arial" w:cs="Arial"/>
                <w:color w:val="000000"/>
                <w:sz w:val="16"/>
                <w:szCs w:val="16"/>
              </w:rPr>
              <w:t>$</w:t>
            </w:r>
          </w:p>
        </w:tc>
        <w:tc>
          <w:tcPr>
            <w:tcW w:w="0" w:type="auto"/>
            <w:gridSpan w:val="2"/>
            <w:shd w:val="clear" w:color="auto" w:fill="FFFFFF"/>
            <w:tcMar>
              <w:top w:w="30" w:type="dxa"/>
              <w:left w:w="0" w:type="dxa"/>
              <w:bottom w:w="30" w:type="dxa"/>
              <w:right w:w="155" w:type="dxa"/>
            </w:tcMar>
            <w:vAlign w:val="bottom"/>
            <w:hideMark/>
          </w:tcPr>
          <w:p w14:paraId="40A50D66" w14:textId="77777777" w:rsidR="00000000" w:rsidRDefault="00C01C43">
            <w:pPr>
              <w:jc w:val="right"/>
              <w:rPr>
                <w:rFonts w:eastAsia="Times New Roman"/>
              </w:rPr>
            </w:pPr>
            <w:r>
              <w:rPr>
                <w:rFonts w:ascii="Arial" w:eastAsia="Times New Roman" w:hAnsi="Arial" w:cs="Arial"/>
                <w:color w:val="000000"/>
                <w:sz w:val="16"/>
                <w:szCs w:val="16"/>
              </w:rPr>
              <w:t>0.5</w:t>
            </w:r>
          </w:p>
        </w:tc>
        <w:tc>
          <w:tcPr>
            <w:tcW w:w="0" w:type="auto"/>
            <w:vAlign w:val="center"/>
            <w:hideMark/>
          </w:tcPr>
          <w:p w14:paraId="16FFE9FC" w14:textId="77777777" w:rsidR="00000000" w:rsidRDefault="00C01C43">
            <w:pPr>
              <w:jc w:val="right"/>
              <w:rPr>
                <w:rFonts w:eastAsia="Times New Roman"/>
              </w:rPr>
            </w:pPr>
          </w:p>
        </w:tc>
        <w:tc>
          <w:tcPr>
            <w:tcW w:w="0" w:type="auto"/>
            <w:vAlign w:val="center"/>
            <w:hideMark/>
          </w:tcPr>
          <w:p w14:paraId="72C0198C" w14:textId="77777777" w:rsidR="00000000" w:rsidRDefault="00C01C43">
            <w:pPr>
              <w:rPr>
                <w:rFonts w:eastAsia="Times New Roman"/>
                <w:sz w:val="20"/>
                <w:szCs w:val="20"/>
              </w:rPr>
            </w:pPr>
          </w:p>
        </w:tc>
      </w:tr>
      <w:tr w:rsidR="00000000" w14:paraId="31E9A1FD" w14:textId="77777777">
        <w:trPr>
          <w:divId w:val="1161119736"/>
          <w:jc w:val="center"/>
        </w:trPr>
        <w:tc>
          <w:tcPr>
            <w:tcW w:w="0" w:type="auto"/>
            <w:gridSpan w:val="3"/>
            <w:shd w:val="clear" w:color="auto" w:fill="CCEEFF"/>
            <w:tcMar>
              <w:top w:w="30" w:type="dxa"/>
              <w:left w:w="140" w:type="dxa"/>
              <w:bottom w:w="30" w:type="dxa"/>
              <w:right w:w="20" w:type="dxa"/>
            </w:tcMar>
            <w:hideMark/>
          </w:tcPr>
          <w:p w14:paraId="12C15545" w14:textId="77777777" w:rsidR="00000000" w:rsidRDefault="00C01C43">
            <w:pPr>
              <w:rPr>
                <w:rFonts w:eastAsia="Times New Roman"/>
              </w:rPr>
            </w:pPr>
            <w:r>
              <w:rPr>
                <w:rFonts w:ascii="Arial" w:eastAsia="Times New Roman" w:hAnsi="Arial" w:cs="Arial"/>
                <w:color w:val="000000"/>
                <w:sz w:val="16"/>
                <w:szCs w:val="16"/>
              </w:rPr>
              <w:t>Operating cash flows from operating leases</w:t>
            </w:r>
          </w:p>
        </w:tc>
        <w:tc>
          <w:tcPr>
            <w:tcW w:w="0" w:type="auto"/>
            <w:shd w:val="clear" w:color="auto" w:fill="CCEEFF"/>
            <w:tcMar>
              <w:top w:w="30" w:type="dxa"/>
              <w:left w:w="20" w:type="dxa"/>
              <w:bottom w:w="30" w:type="dxa"/>
              <w:right w:w="0" w:type="dxa"/>
            </w:tcMar>
            <w:vAlign w:val="bottom"/>
            <w:hideMark/>
          </w:tcPr>
          <w:p w14:paraId="1DF100E6" w14:textId="77777777" w:rsidR="00000000" w:rsidRDefault="00C01C43">
            <w:pPr>
              <w:rPr>
                <w:rFonts w:eastAsia="Times New Roman"/>
              </w:rPr>
            </w:pPr>
            <w:r>
              <w:rPr>
                <w:rFonts w:ascii="Arial" w:eastAsia="Times New Roman" w:hAnsi="Arial" w:cs="Arial"/>
                <w:color w:val="000000"/>
                <w:sz w:val="16"/>
                <w:szCs w:val="16"/>
              </w:rPr>
              <w:t>$</w:t>
            </w:r>
          </w:p>
        </w:tc>
        <w:tc>
          <w:tcPr>
            <w:tcW w:w="0" w:type="auto"/>
            <w:gridSpan w:val="2"/>
            <w:shd w:val="clear" w:color="auto" w:fill="CCEEFF"/>
            <w:tcMar>
              <w:top w:w="30" w:type="dxa"/>
              <w:left w:w="0" w:type="dxa"/>
              <w:bottom w:w="30" w:type="dxa"/>
              <w:right w:w="155" w:type="dxa"/>
            </w:tcMar>
            <w:vAlign w:val="bottom"/>
            <w:hideMark/>
          </w:tcPr>
          <w:p w14:paraId="41BC404F" w14:textId="77777777" w:rsidR="00000000" w:rsidRDefault="00C01C43">
            <w:pPr>
              <w:jc w:val="right"/>
              <w:rPr>
                <w:rFonts w:eastAsia="Times New Roman"/>
              </w:rPr>
            </w:pPr>
            <w:r>
              <w:rPr>
                <w:rFonts w:ascii="Arial" w:eastAsia="Times New Roman" w:hAnsi="Arial" w:cs="Arial"/>
                <w:color w:val="000000"/>
                <w:sz w:val="16"/>
                <w:szCs w:val="16"/>
              </w:rPr>
              <w:t>49.9</w:t>
            </w:r>
          </w:p>
        </w:tc>
        <w:tc>
          <w:tcPr>
            <w:tcW w:w="0" w:type="auto"/>
            <w:gridSpan w:val="3"/>
            <w:shd w:val="clear" w:color="auto" w:fill="CCEEFF"/>
            <w:tcMar>
              <w:top w:w="0" w:type="dxa"/>
              <w:left w:w="20" w:type="dxa"/>
              <w:bottom w:w="0" w:type="dxa"/>
              <w:right w:w="20" w:type="dxa"/>
            </w:tcMar>
            <w:vAlign w:val="center"/>
            <w:hideMark/>
          </w:tcPr>
          <w:p w14:paraId="6DFBFED9" w14:textId="77777777" w:rsidR="00000000" w:rsidRDefault="00C01C4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76CB71A" w14:textId="77777777" w:rsidR="00000000" w:rsidRDefault="00C01C43">
            <w:pPr>
              <w:rPr>
                <w:rFonts w:eastAsia="Times New Roman"/>
              </w:rPr>
            </w:pPr>
            <w:r>
              <w:rPr>
                <w:rFonts w:ascii="Arial" w:eastAsia="Times New Roman" w:hAnsi="Arial" w:cs="Arial"/>
                <w:color w:val="000000"/>
                <w:sz w:val="16"/>
                <w:szCs w:val="16"/>
              </w:rPr>
              <w:t>$</w:t>
            </w:r>
          </w:p>
        </w:tc>
        <w:tc>
          <w:tcPr>
            <w:tcW w:w="0" w:type="auto"/>
            <w:gridSpan w:val="2"/>
            <w:shd w:val="clear" w:color="auto" w:fill="CCEEFF"/>
            <w:tcMar>
              <w:top w:w="30" w:type="dxa"/>
              <w:left w:w="0" w:type="dxa"/>
              <w:bottom w:w="30" w:type="dxa"/>
              <w:right w:w="155" w:type="dxa"/>
            </w:tcMar>
            <w:vAlign w:val="bottom"/>
            <w:hideMark/>
          </w:tcPr>
          <w:p w14:paraId="20B94C6B" w14:textId="77777777" w:rsidR="00000000" w:rsidRDefault="00C01C43">
            <w:pPr>
              <w:jc w:val="right"/>
              <w:rPr>
                <w:rFonts w:eastAsia="Times New Roman"/>
              </w:rPr>
            </w:pPr>
            <w:r>
              <w:rPr>
                <w:rFonts w:ascii="Arial" w:eastAsia="Times New Roman" w:hAnsi="Arial" w:cs="Arial"/>
                <w:color w:val="000000"/>
                <w:sz w:val="16"/>
                <w:szCs w:val="16"/>
              </w:rPr>
              <w:t>52.9</w:t>
            </w:r>
          </w:p>
        </w:tc>
        <w:tc>
          <w:tcPr>
            <w:tcW w:w="0" w:type="auto"/>
            <w:vAlign w:val="center"/>
            <w:hideMark/>
          </w:tcPr>
          <w:p w14:paraId="7FB574F7" w14:textId="77777777" w:rsidR="00000000" w:rsidRDefault="00C01C43">
            <w:pPr>
              <w:jc w:val="right"/>
              <w:rPr>
                <w:rFonts w:eastAsia="Times New Roman"/>
              </w:rPr>
            </w:pPr>
          </w:p>
        </w:tc>
        <w:tc>
          <w:tcPr>
            <w:tcW w:w="0" w:type="auto"/>
            <w:vAlign w:val="center"/>
            <w:hideMark/>
          </w:tcPr>
          <w:p w14:paraId="6F552E99" w14:textId="77777777" w:rsidR="00000000" w:rsidRDefault="00C01C43">
            <w:pPr>
              <w:rPr>
                <w:rFonts w:eastAsia="Times New Roman"/>
                <w:sz w:val="20"/>
                <w:szCs w:val="20"/>
              </w:rPr>
            </w:pPr>
          </w:p>
        </w:tc>
      </w:tr>
      <w:tr w:rsidR="00000000" w14:paraId="1D0D30B9" w14:textId="77777777">
        <w:trPr>
          <w:divId w:val="1161119736"/>
          <w:jc w:val="center"/>
        </w:trPr>
        <w:tc>
          <w:tcPr>
            <w:tcW w:w="0" w:type="auto"/>
            <w:gridSpan w:val="3"/>
            <w:shd w:val="clear" w:color="auto" w:fill="FFFFFF"/>
            <w:tcMar>
              <w:top w:w="30" w:type="dxa"/>
              <w:left w:w="140" w:type="dxa"/>
              <w:bottom w:w="30" w:type="dxa"/>
              <w:right w:w="20" w:type="dxa"/>
            </w:tcMar>
            <w:hideMark/>
          </w:tcPr>
          <w:p w14:paraId="6AF82ADE" w14:textId="77777777" w:rsidR="00000000" w:rsidRDefault="00C01C43">
            <w:pPr>
              <w:rPr>
                <w:rFonts w:eastAsia="Times New Roman"/>
              </w:rPr>
            </w:pPr>
            <w:r>
              <w:rPr>
                <w:rFonts w:ascii="Arial" w:eastAsia="Times New Roman" w:hAnsi="Arial" w:cs="Arial"/>
                <w:color w:val="000000"/>
                <w:sz w:val="16"/>
                <w:szCs w:val="16"/>
              </w:rPr>
              <w:t>Financing cash flows from finance leases</w:t>
            </w:r>
          </w:p>
        </w:tc>
        <w:tc>
          <w:tcPr>
            <w:tcW w:w="0" w:type="auto"/>
            <w:shd w:val="clear" w:color="auto" w:fill="FFFFFF"/>
            <w:tcMar>
              <w:top w:w="30" w:type="dxa"/>
              <w:left w:w="20" w:type="dxa"/>
              <w:bottom w:w="30" w:type="dxa"/>
              <w:right w:w="0" w:type="dxa"/>
            </w:tcMar>
            <w:vAlign w:val="bottom"/>
            <w:hideMark/>
          </w:tcPr>
          <w:p w14:paraId="4D917D2F" w14:textId="77777777" w:rsidR="00000000" w:rsidRDefault="00C01C43">
            <w:pPr>
              <w:rPr>
                <w:rFonts w:eastAsia="Times New Roman"/>
              </w:rPr>
            </w:pPr>
            <w:r>
              <w:rPr>
                <w:rFonts w:ascii="Arial" w:eastAsia="Times New Roman" w:hAnsi="Arial" w:cs="Arial"/>
                <w:color w:val="000000"/>
                <w:sz w:val="16"/>
                <w:szCs w:val="16"/>
              </w:rPr>
              <w:t>$</w:t>
            </w:r>
          </w:p>
        </w:tc>
        <w:tc>
          <w:tcPr>
            <w:tcW w:w="0" w:type="auto"/>
            <w:gridSpan w:val="2"/>
            <w:shd w:val="clear" w:color="auto" w:fill="FFFFFF"/>
            <w:tcMar>
              <w:top w:w="30" w:type="dxa"/>
              <w:left w:w="0" w:type="dxa"/>
              <w:bottom w:w="30" w:type="dxa"/>
              <w:right w:w="155" w:type="dxa"/>
            </w:tcMar>
            <w:vAlign w:val="bottom"/>
            <w:hideMark/>
          </w:tcPr>
          <w:p w14:paraId="617C5BB3" w14:textId="77777777" w:rsidR="00000000" w:rsidRDefault="00C01C43">
            <w:pPr>
              <w:jc w:val="right"/>
              <w:rPr>
                <w:rFonts w:eastAsia="Times New Roman"/>
              </w:rPr>
            </w:pPr>
            <w:r>
              <w:rPr>
                <w:rFonts w:ascii="Arial" w:eastAsia="Times New Roman" w:hAnsi="Arial" w:cs="Arial"/>
                <w:color w:val="000000"/>
                <w:sz w:val="16"/>
                <w:szCs w:val="16"/>
              </w:rPr>
              <w:t>4.3</w:t>
            </w:r>
          </w:p>
        </w:tc>
        <w:tc>
          <w:tcPr>
            <w:tcW w:w="0" w:type="auto"/>
            <w:gridSpan w:val="3"/>
            <w:shd w:val="clear" w:color="auto" w:fill="FFFFFF"/>
            <w:tcMar>
              <w:top w:w="0" w:type="dxa"/>
              <w:left w:w="20" w:type="dxa"/>
              <w:bottom w:w="0" w:type="dxa"/>
              <w:right w:w="20" w:type="dxa"/>
            </w:tcMar>
            <w:vAlign w:val="center"/>
            <w:hideMark/>
          </w:tcPr>
          <w:p w14:paraId="7AD6C3E1" w14:textId="77777777" w:rsidR="00000000" w:rsidRDefault="00C01C4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C25977C" w14:textId="77777777" w:rsidR="00000000" w:rsidRDefault="00C01C43">
            <w:pPr>
              <w:rPr>
                <w:rFonts w:eastAsia="Times New Roman"/>
              </w:rPr>
            </w:pPr>
            <w:r>
              <w:rPr>
                <w:rFonts w:ascii="Arial" w:eastAsia="Times New Roman" w:hAnsi="Arial" w:cs="Arial"/>
                <w:color w:val="000000"/>
                <w:sz w:val="16"/>
                <w:szCs w:val="16"/>
              </w:rPr>
              <w:t>$</w:t>
            </w:r>
          </w:p>
        </w:tc>
        <w:tc>
          <w:tcPr>
            <w:tcW w:w="0" w:type="auto"/>
            <w:gridSpan w:val="2"/>
            <w:shd w:val="clear" w:color="auto" w:fill="FFFFFF"/>
            <w:tcMar>
              <w:top w:w="30" w:type="dxa"/>
              <w:left w:w="0" w:type="dxa"/>
              <w:bottom w:w="30" w:type="dxa"/>
              <w:right w:w="155" w:type="dxa"/>
            </w:tcMar>
            <w:vAlign w:val="bottom"/>
            <w:hideMark/>
          </w:tcPr>
          <w:p w14:paraId="6931368D" w14:textId="77777777" w:rsidR="00000000" w:rsidRDefault="00C01C43">
            <w:pPr>
              <w:jc w:val="right"/>
              <w:rPr>
                <w:rFonts w:eastAsia="Times New Roman"/>
              </w:rPr>
            </w:pPr>
            <w:r>
              <w:rPr>
                <w:rFonts w:ascii="Arial" w:eastAsia="Times New Roman" w:hAnsi="Arial" w:cs="Arial"/>
                <w:color w:val="000000"/>
                <w:sz w:val="16"/>
                <w:szCs w:val="16"/>
              </w:rPr>
              <w:t>4.0</w:t>
            </w:r>
          </w:p>
        </w:tc>
        <w:tc>
          <w:tcPr>
            <w:tcW w:w="0" w:type="auto"/>
            <w:vAlign w:val="center"/>
            <w:hideMark/>
          </w:tcPr>
          <w:p w14:paraId="2006BC81" w14:textId="77777777" w:rsidR="00000000" w:rsidRDefault="00C01C43">
            <w:pPr>
              <w:jc w:val="right"/>
              <w:rPr>
                <w:rFonts w:eastAsia="Times New Roman"/>
              </w:rPr>
            </w:pPr>
          </w:p>
        </w:tc>
        <w:tc>
          <w:tcPr>
            <w:tcW w:w="0" w:type="auto"/>
            <w:vAlign w:val="center"/>
            <w:hideMark/>
          </w:tcPr>
          <w:p w14:paraId="3D7A6F50" w14:textId="77777777" w:rsidR="00000000" w:rsidRDefault="00C01C43">
            <w:pPr>
              <w:rPr>
                <w:rFonts w:eastAsia="Times New Roman"/>
                <w:sz w:val="20"/>
                <w:szCs w:val="20"/>
              </w:rPr>
            </w:pPr>
          </w:p>
        </w:tc>
      </w:tr>
      <w:tr w:rsidR="00000000" w14:paraId="16BBA1E2" w14:textId="77777777">
        <w:trPr>
          <w:divId w:val="1161119736"/>
          <w:jc w:val="center"/>
        </w:trPr>
        <w:tc>
          <w:tcPr>
            <w:tcW w:w="0" w:type="auto"/>
            <w:gridSpan w:val="3"/>
            <w:shd w:val="clear" w:color="auto" w:fill="CCEEFF"/>
            <w:tcMar>
              <w:top w:w="30" w:type="dxa"/>
              <w:left w:w="20" w:type="dxa"/>
              <w:bottom w:w="30" w:type="dxa"/>
              <w:right w:w="20" w:type="dxa"/>
            </w:tcMar>
            <w:hideMark/>
          </w:tcPr>
          <w:p w14:paraId="1E12E8D3" w14:textId="77777777" w:rsidR="00000000" w:rsidRDefault="00C01C43">
            <w:pPr>
              <w:rPr>
                <w:rFonts w:eastAsia="Times New Roman"/>
              </w:rPr>
            </w:pPr>
            <w:r>
              <w:rPr>
                <w:rFonts w:ascii="Arial" w:eastAsia="Times New Roman" w:hAnsi="Arial" w:cs="Arial"/>
                <w:color w:val="000000"/>
                <w:sz w:val="16"/>
                <w:szCs w:val="16"/>
              </w:rPr>
              <w:t>Right of use assets obtained in exchange for new operating lease liability (noncash in millions)</w:t>
            </w:r>
          </w:p>
        </w:tc>
        <w:tc>
          <w:tcPr>
            <w:tcW w:w="0" w:type="auto"/>
            <w:shd w:val="clear" w:color="auto" w:fill="CCEEFF"/>
            <w:tcMar>
              <w:top w:w="30" w:type="dxa"/>
              <w:left w:w="20" w:type="dxa"/>
              <w:bottom w:w="30" w:type="dxa"/>
              <w:right w:w="0" w:type="dxa"/>
            </w:tcMar>
            <w:vAlign w:val="bottom"/>
            <w:hideMark/>
          </w:tcPr>
          <w:p w14:paraId="567AA24B" w14:textId="77777777" w:rsidR="00000000" w:rsidRDefault="00C01C43">
            <w:pPr>
              <w:rPr>
                <w:rFonts w:eastAsia="Times New Roman"/>
              </w:rPr>
            </w:pPr>
            <w:r>
              <w:rPr>
                <w:rFonts w:ascii="Arial" w:eastAsia="Times New Roman" w:hAnsi="Arial" w:cs="Arial"/>
                <w:color w:val="000000"/>
                <w:sz w:val="16"/>
                <w:szCs w:val="16"/>
              </w:rPr>
              <w:t>$</w:t>
            </w:r>
          </w:p>
        </w:tc>
        <w:tc>
          <w:tcPr>
            <w:tcW w:w="0" w:type="auto"/>
            <w:gridSpan w:val="2"/>
            <w:shd w:val="clear" w:color="auto" w:fill="CCEEFF"/>
            <w:tcMar>
              <w:top w:w="30" w:type="dxa"/>
              <w:left w:w="0" w:type="dxa"/>
              <w:bottom w:w="30" w:type="dxa"/>
              <w:right w:w="155" w:type="dxa"/>
            </w:tcMar>
            <w:vAlign w:val="bottom"/>
            <w:hideMark/>
          </w:tcPr>
          <w:p w14:paraId="39B10790" w14:textId="77777777" w:rsidR="00000000" w:rsidRDefault="00C01C43">
            <w:pPr>
              <w:jc w:val="right"/>
              <w:rPr>
                <w:rFonts w:eastAsia="Times New Roman"/>
              </w:rPr>
            </w:pPr>
            <w:r>
              <w:rPr>
                <w:rFonts w:ascii="Arial" w:eastAsia="Times New Roman" w:hAnsi="Arial" w:cs="Arial"/>
                <w:color w:val="000000"/>
                <w:sz w:val="16"/>
                <w:szCs w:val="16"/>
              </w:rPr>
              <w:t>38.9</w:t>
            </w:r>
          </w:p>
        </w:tc>
        <w:tc>
          <w:tcPr>
            <w:tcW w:w="0" w:type="auto"/>
            <w:gridSpan w:val="3"/>
            <w:shd w:val="clear" w:color="auto" w:fill="CCEEFF"/>
            <w:tcMar>
              <w:top w:w="0" w:type="dxa"/>
              <w:left w:w="20" w:type="dxa"/>
              <w:bottom w:w="0" w:type="dxa"/>
              <w:right w:w="20" w:type="dxa"/>
            </w:tcMar>
            <w:vAlign w:val="center"/>
            <w:hideMark/>
          </w:tcPr>
          <w:p w14:paraId="577C03DD" w14:textId="77777777" w:rsidR="00000000" w:rsidRDefault="00C01C4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BAD2C59" w14:textId="77777777" w:rsidR="00000000" w:rsidRDefault="00C01C43">
            <w:pPr>
              <w:rPr>
                <w:rFonts w:eastAsia="Times New Roman"/>
              </w:rPr>
            </w:pPr>
            <w:r>
              <w:rPr>
                <w:rFonts w:ascii="Arial" w:eastAsia="Times New Roman" w:hAnsi="Arial" w:cs="Arial"/>
                <w:color w:val="000000"/>
                <w:sz w:val="16"/>
                <w:szCs w:val="16"/>
              </w:rPr>
              <w:t>$</w:t>
            </w:r>
          </w:p>
        </w:tc>
        <w:tc>
          <w:tcPr>
            <w:tcW w:w="0" w:type="auto"/>
            <w:gridSpan w:val="2"/>
            <w:shd w:val="clear" w:color="auto" w:fill="CCEEFF"/>
            <w:tcMar>
              <w:top w:w="30" w:type="dxa"/>
              <w:left w:w="0" w:type="dxa"/>
              <w:bottom w:w="30" w:type="dxa"/>
              <w:right w:w="155" w:type="dxa"/>
            </w:tcMar>
            <w:vAlign w:val="bottom"/>
            <w:hideMark/>
          </w:tcPr>
          <w:p w14:paraId="4D8B1DDC" w14:textId="77777777" w:rsidR="00000000" w:rsidRDefault="00C01C43">
            <w:pPr>
              <w:jc w:val="right"/>
              <w:rPr>
                <w:rFonts w:eastAsia="Times New Roman"/>
              </w:rPr>
            </w:pPr>
            <w:r>
              <w:rPr>
                <w:rFonts w:ascii="Arial" w:eastAsia="Times New Roman" w:hAnsi="Arial" w:cs="Arial"/>
                <w:color w:val="000000"/>
                <w:sz w:val="16"/>
                <w:szCs w:val="16"/>
              </w:rPr>
              <w:t>30.2</w:t>
            </w:r>
          </w:p>
        </w:tc>
        <w:tc>
          <w:tcPr>
            <w:tcW w:w="0" w:type="auto"/>
            <w:vAlign w:val="center"/>
            <w:hideMark/>
          </w:tcPr>
          <w:p w14:paraId="6D055E5B" w14:textId="77777777" w:rsidR="00000000" w:rsidRDefault="00C01C43">
            <w:pPr>
              <w:jc w:val="right"/>
              <w:rPr>
                <w:rFonts w:eastAsia="Times New Roman"/>
              </w:rPr>
            </w:pPr>
          </w:p>
        </w:tc>
        <w:tc>
          <w:tcPr>
            <w:tcW w:w="0" w:type="auto"/>
            <w:vAlign w:val="center"/>
            <w:hideMark/>
          </w:tcPr>
          <w:p w14:paraId="0201B64F" w14:textId="77777777" w:rsidR="00000000" w:rsidRDefault="00C01C43">
            <w:pPr>
              <w:rPr>
                <w:rFonts w:eastAsia="Times New Roman"/>
                <w:sz w:val="20"/>
                <w:szCs w:val="20"/>
              </w:rPr>
            </w:pPr>
          </w:p>
        </w:tc>
      </w:tr>
      <w:tr w:rsidR="00000000" w14:paraId="53F6721B" w14:textId="77777777">
        <w:trPr>
          <w:divId w:val="1161119736"/>
          <w:jc w:val="center"/>
        </w:trPr>
        <w:tc>
          <w:tcPr>
            <w:tcW w:w="0" w:type="auto"/>
            <w:gridSpan w:val="3"/>
            <w:tcBorders>
              <w:bottom w:val="double" w:sz="6" w:space="0" w:color="000000"/>
            </w:tcBorders>
            <w:shd w:val="clear" w:color="auto" w:fill="FFFFFF"/>
            <w:tcMar>
              <w:top w:w="30" w:type="dxa"/>
              <w:left w:w="20" w:type="dxa"/>
              <w:bottom w:w="30" w:type="dxa"/>
              <w:right w:w="20" w:type="dxa"/>
            </w:tcMar>
            <w:hideMark/>
          </w:tcPr>
          <w:p w14:paraId="373E22E3" w14:textId="77777777" w:rsidR="00000000" w:rsidRDefault="00C01C43">
            <w:pPr>
              <w:rPr>
                <w:rFonts w:eastAsia="Times New Roman"/>
              </w:rPr>
            </w:pPr>
            <w:r>
              <w:rPr>
                <w:rFonts w:ascii="Arial" w:eastAsia="Times New Roman" w:hAnsi="Arial" w:cs="Arial"/>
                <w:color w:val="000000"/>
                <w:sz w:val="16"/>
                <w:szCs w:val="16"/>
              </w:rPr>
              <w:t>Right of use assets obtained in exchange for new finance lease liability (noncash in millions)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65CD2964" w14:textId="77777777" w:rsidR="00000000" w:rsidRDefault="00C01C43">
            <w:pPr>
              <w:rPr>
                <w:rFonts w:eastAsia="Times New Roman"/>
              </w:rPr>
            </w:pPr>
            <w:r>
              <w:rPr>
                <w:rFonts w:ascii="Arial" w:eastAsia="Times New Roman" w:hAnsi="Arial" w:cs="Arial"/>
                <w:color w:val="000000"/>
                <w:sz w:val="16"/>
                <w:szCs w:val="16"/>
              </w:rPr>
              <w:t>$</w:t>
            </w:r>
          </w:p>
        </w:tc>
        <w:tc>
          <w:tcPr>
            <w:tcW w:w="0" w:type="auto"/>
            <w:gridSpan w:val="2"/>
            <w:tcBorders>
              <w:bottom w:val="double" w:sz="6" w:space="0" w:color="000000"/>
            </w:tcBorders>
            <w:shd w:val="clear" w:color="auto" w:fill="FFFFFF"/>
            <w:tcMar>
              <w:top w:w="30" w:type="dxa"/>
              <w:left w:w="0" w:type="dxa"/>
              <w:bottom w:w="30" w:type="dxa"/>
              <w:right w:w="140" w:type="dxa"/>
            </w:tcMar>
            <w:vAlign w:val="bottom"/>
            <w:hideMark/>
          </w:tcPr>
          <w:p w14:paraId="0AB9D3BF" w14:textId="77777777" w:rsidR="00000000" w:rsidRDefault="00C01C43">
            <w:pPr>
              <w:jc w:val="right"/>
              <w:rPr>
                <w:rFonts w:eastAsia="Times New Roman"/>
              </w:rPr>
            </w:pPr>
            <w:r>
              <w:rPr>
                <w:rFonts w:ascii="Arial" w:eastAsia="Times New Roman" w:hAnsi="Arial" w:cs="Arial"/>
                <w:color w:val="000000"/>
                <w:sz w:val="16"/>
                <w:szCs w:val="16"/>
              </w:rPr>
              <w:t>4.1</w:t>
            </w: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15FD07E0" w14:textId="77777777" w:rsidR="00000000" w:rsidRDefault="00C01C43">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2723ECC6" w14:textId="77777777" w:rsidR="00000000" w:rsidRDefault="00C01C43">
            <w:pPr>
              <w:rPr>
                <w:rFonts w:eastAsia="Times New Roman"/>
              </w:rPr>
            </w:pPr>
            <w:r>
              <w:rPr>
                <w:rFonts w:ascii="Arial" w:eastAsia="Times New Roman" w:hAnsi="Arial" w:cs="Arial"/>
                <w:color w:val="000000"/>
                <w:sz w:val="16"/>
                <w:szCs w:val="16"/>
              </w:rPr>
              <w:t>$</w:t>
            </w:r>
          </w:p>
        </w:tc>
        <w:tc>
          <w:tcPr>
            <w:tcW w:w="0" w:type="auto"/>
            <w:gridSpan w:val="2"/>
            <w:tcBorders>
              <w:bottom w:val="double" w:sz="6" w:space="0" w:color="000000"/>
            </w:tcBorders>
            <w:shd w:val="clear" w:color="auto" w:fill="FFFFFF"/>
            <w:tcMar>
              <w:top w:w="30" w:type="dxa"/>
              <w:left w:w="0" w:type="dxa"/>
              <w:bottom w:w="30" w:type="dxa"/>
              <w:right w:w="140" w:type="dxa"/>
            </w:tcMar>
            <w:vAlign w:val="bottom"/>
            <w:hideMark/>
          </w:tcPr>
          <w:p w14:paraId="283F3DF3" w14:textId="77777777" w:rsidR="00000000" w:rsidRDefault="00C01C43">
            <w:pPr>
              <w:jc w:val="right"/>
              <w:rPr>
                <w:rFonts w:eastAsia="Times New Roman"/>
              </w:rPr>
            </w:pPr>
            <w:r>
              <w:rPr>
                <w:rFonts w:ascii="Arial" w:eastAsia="Times New Roman" w:hAnsi="Arial" w:cs="Arial"/>
                <w:color w:val="000000"/>
                <w:sz w:val="16"/>
                <w:szCs w:val="16"/>
              </w:rPr>
              <w:t>8.2</w:t>
            </w:r>
          </w:p>
        </w:tc>
        <w:tc>
          <w:tcPr>
            <w:tcW w:w="0" w:type="auto"/>
            <w:vAlign w:val="center"/>
            <w:hideMark/>
          </w:tcPr>
          <w:p w14:paraId="1D385AD6" w14:textId="77777777" w:rsidR="00000000" w:rsidRDefault="00C01C43">
            <w:pPr>
              <w:jc w:val="right"/>
              <w:rPr>
                <w:rFonts w:eastAsia="Times New Roman"/>
              </w:rPr>
            </w:pPr>
          </w:p>
        </w:tc>
        <w:tc>
          <w:tcPr>
            <w:tcW w:w="0" w:type="auto"/>
            <w:vAlign w:val="center"/>
            <w:hideMark/>
          </w:tcPr>
          <w:p w14:paraId="16018921" w14:textId="77777777" w:rsidR="00000000" w:rsidRDefault="00C01C43">
            <w:pPr>
              <w:rPr>
                <w:rFonts w:eastAsia="Times New Roman"/>
                <w:sz w:val="20"/>
                <w:szCs w:val="20"/>
              </w:rPr>
            </w:pPr>
          </w:p>
        </w:tc>
      </w:tr>
    </w:tbl>
    <w:p w14:paraId="30845BB6" w14:textId="77777777" w:rsidR="00000000" w:rsidRDefault="00C01C43">
      <w:pPr>
        <w:divId w:val="387413505"/>
        <w:rPr>
          <w:rFonts w:eastAsia="Times New Roman"/>
        </w:rPr>
      </w:pPr>
    </w:p>
    <w:p w14:paraId="60BF3027" w14:textId="77777777" w:rsidR="00000000" w:rsidRDefault="00C01C43">
      <w:pPr>
        <w:divId w:val="965509005"/>
        <w:rPr>
          <w:rFonts w:eastAsia="Times New Roman"/>
        </w:rPr>
      </w:pPr>
    </w:p>
    <w:p w14:paraId="21A73C9C" w14:textId="77777777" w:rsidR="00000000" w:rsidRDefault="00C01C43">
      <w:pPr>
        <w:jc w:val="both"/>
        <w:divId w:val="1975527509"/>
        <w:rPr>
          <w:rFonts w:eastAsia="Times New Roman"/>
        </w:rPr>
      </w:pPr>
      <w:r>
        <w:rPr>
          <w:rFonts w:ascii="Arial" w:eastAsia="Times New Roman" w:hAnsi="Arial" w:cs="Arial"/>
          <w:b/>
          <w:bCs/>
          <w:color w:val="000000"/>
          <w:sz w:val="20"/>
          <w:szCs w:val="20"/>
        </w:rPr>
        <w:t>16. Earnings per Common Share</w:t>
      </w:r>
    </w:p>
    <w:p w14:paraId="27CCEA7D" w14:textId="77777777" w:rsidR="00000000" w:rsidRDefault="00C01C43">
      <w:pPr>
        <w:jc w:val="both"/>
        <w:rPr>
          <w:rFonts w:eastAsia="Times New Roman"/>
        </w:rPr>
      </w:pPr>
      <w:r>
        <w:rPr>
          <w:rFonts w:ascii="Arial" w:eastAsia="Times New Roman" w:hAnsi="Arial" w:cs="Arial"/>
          <w:color w:val="000000"/>
          <w:sz w:val="20"/>
          <w:szCs w:val="20"/>
        </w:rPr>
        <w:t>The following table sets forth the computation of basic and diluted earnings per common share for the periods presented (in millions, except per share amounts):</w:t>
      </w:r>
    </w:p>
    <w:p w14:paraId="7B4C91A0" w14:textId="77777777" w:rsidR="00000000" w:rsidRDefault="00C01C43">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665"/>
        <w:gridCol w:w="37"/>
        <w:gridCol w:w="132"/>
        <w:gridCol w:w="645"/>
        <w:gridCol w:w="36"/>
        <w:gridCol w:w="36"/>
        <w:gridCol w:w="36"/>
        <w:gridCol w:w="36"/>
        <w:gridCol w:w="132"/>
        <w:gridCol w:w="600"/>
        <w:gridCol w:w="36"/>
        <w:gridCol w:w="36"/>
        <w:gridCol w:w="36"/>
        <w:gridCol w:w="36"/>
        <w:gridCol w:w="132"/>
        <w:gridCol w:w="601"/>
        <w:gridCol w:w="36"/>
      </w:tblGrid>
      <w:tr w:rsidR="00000000" w14:paraId="3DE7E992" w14:textId="77777777">
        <w:trPr>
          <w:divId w:val="1654990457"/>
        </w:trPr>
        <w:tc>
          <w:tcPr>
            <w:tcW w:w="50" w:type="pct"/>
            <w:vAlign w:val="center"/>
            <w:hideMark/>
          </w:tcPr>
          <w:p w14:paraId="437BAD9F" w14:textId="77777777" w:rsidR="00000000" w:rsidRDefault="00C01C43">
            <w:pPr>
              <w:jc w:val="both"/>
              <w:rPr>
                <w:rFonts w:eastAsia="Times New Roman"/>
              </w:rPr>
            </w:pPr>
          </w:p>
        </w:tc>
        <w:tc>
          <w:tcPr>
            <w:tcW w:w="3446" w:type="pct"/>
            <w:vAlign w:val="center"/>
            <w:hideMark/>
          </w:tcPr>
          <w:p w14:paraId="7AC08865" w14:textId="77777777" w:rsidR="00000000" w:rsidRDefault="00C01C43">
            <w:pPr>
              <w:rPr>
                <w:rFonts w:eastAsia="Times New Roman"/>
                <w:sz w:val="20"/>
                <w:szCs w:val="20"/>
              </w:rPr>
            </w:pPr>
          </w:p>
        </w:tc>
        <w:tc>
          <w:tcPr>
            <w:tcW w:w="5" w:type="pct"/>
            <w:vAlign w:val="center"/>
            <w:hideMark/>
          </w:tcPr>
          <w:p w14:paraId="473D9083" w14:textId="77777777" w:rsidR="00000000" w:rsidRDefault="00C01C43">
            <w:pPr>
              <w:rPr>
                <w:rFonts w:eastAsia="Times New Roman"/>
                <w:sz w:val="20"/>
                <w:szCs w:val="20"/>
              </w:rPr>
            </w:pPr>
          </w:p>
        </w:tc>
        <w:tc>
          <w:tcPr>
            <w:tcW w:w="50" w:type="pct"/>
            <w:vAlign w:val="center"/>
            <w:hideMark/>
          </w:tcPr>
          <w:p w14:paraId="1FDDDB51" w14:textId="77777777" w:rsidR="00000000" w:rsidRDefault="00C01C43">
            <w:pPr>
              <w:rPr>
                <w:rFonts w:eastAsia="Times New Roman"/>
                <w:sz w:val="20"/>
                <w:szCs w:val="20"/>
              </w:rPr>
            </w:pPr>
          </w:p>
        </w:tc>
        <w:tc>
          <w:tcPr>
            <w:tcW w:w="420" w:type="pct"/>
            <w:vAlign w:val="center"/>
            <w:hideMark/>
          </w:tcPr>
          <w:p w14:paraId="1D337138" w14:textId="77777777" w:rsidR="00000000" w:rsidRDefault="00C01C43">
            <w:pPr>
              <w:rPr>
                <w:rFonts w:eastAsia="Times New Roman"/>
                <w:sz w:val="20"/>
                <w:szCs w:val="20"/>
              </w:rPr>
            </w:pPr>
          </w:p>
        </w:tc>
        <w:tc>
          <w:tcPr>
            <w:tcW w:w="5" w:type="pct"/>
            <w:vAlign w:val="center"/>
            <w:hideMark/>
          </w:tcPr>
          <w:p w14:paraId="598B2D0F" w14:textId="77777777" w:rsidR="00000000" w:rsidRDefault="00C01C43">
            <w:pPr>
              <w:rPr>
                <w:rFonts w:eastAsia="Times New Roman"/>
                <w:sz w:val="20"/>
                <w:szCs w:val="20"/>
              </w:rPr>
            </w:pPr>
          </w:p>
        </w:tc>
        <w:tc>
          <w:tcPr>
            <w:tcW w:w="5" w:type="pct"/>
            <w:vAlign w:val="center"/>
            <w:hideMark/>
          </w:tcPr>
          <w:p w14:paraId="4B4C8FBC" w14:textId="77777777" w:rsidR="00000000" w:rsidRDefault="00C01C43">
            <w:pPr>
              <w:rPr>
                <w:rFonts w:eastAsia="Times New Roman"/>
                <w:sz w:val="20"/>
                <w:szCs w:val="20"/>
              </w:rPr>
            </w:pPr>
          </w:p>
        </w:tc>
        <w:tc>
          <w:tcPr>
            <w:tcW w:w="26" w:type="pct"/>
            <w:vAlign w:val="center"/>
            <w:hideMark/>
          </w:tcPr>
          <w:p w14:paraId="5332FFBB" w14:textId="77777777" w:rsidR="00000000" w:rsidRDefault="00C01C43">
            <w:pPr>
              <w:rPr>
                <w:rFonts w:eastAsia="Times New Roman"/>
                <w:sz w:val="20"/>
                <w:szCs w:val="20"/>
              </w:rPr>
            </w:pPr>
          </w:p>
        </w:tc>
        <w:tc>
          <w:tcPr>
            <w:tcW w:w="5" w:type="pct"/>
            <w:vAlign w:val="center"/>
            <w:hideMark/>
          </w:tcPr>
          <w:p w14:paraId="66897A01" w14:textId="77777777" w:rsidR="00000000" w:rsidRDefault="00C01C43">
            <w:pPr>
              <w:rPr>
                <w:rFonts w:eastAsia="Times New Roman"/>
                <w:sz w:val="20"/>
                <w:szCs w:val="20"/>
              </w:rPr>
            </w:pPr>
          </w:p>
        </w:tc>
        <w:tc>
          <w:tcPr>
            <w:tcW w:w="50" w:type="pct"/>
            <w:vAlign w:val="center"/>
            <w:hideMark/>
          </w:tcPr>
          <w:p w14:paraId="431A66BC" w14:textId="77777777" w:rsidR="00000000" w:rsidRDefault="00C01C43">
            <w:pPr>
              <w:rPr>
                <w:rFonts w:eastAsia="Times New Roman"/>
                <w:sz w:val="20"/>
                <w:szCs w:val="20"/>
              </w:rPr>
            </w:pPr>
          </w:p>
        </w:tc>
        <w:tc>
          <w:tcPr>
            <w:tcW w:w="420" w:type="pct"/>
            <w:vAlign w:val="center"/>
            <w:hideMark/>
          </w:tcPr>
          <w:p w14:paraId="66E40320" w14:textId="77777777" w:rsidR="00000000" w:rsidRDefault="00C01C43">
            <w:pPr>
              <w:rPr>
                <w:rFonts w:eastAsia="Times New Roman"/>
                <w:sz w:val="20"/>
                <w:szCs w:val="20"/>
              </w:rPr>
            </w:pPr>
          </w:p>
        </w:tc>
        <w:tc>
          <w:tcPr>
            <w:tcW w:w="5" w:type="pct"/>
            <w:vAlign w:val="center"/>
            <w:hideMark/>
          </w:tcPr>
          <w:p w14:paraId="5458D1BE" w14:textId="77777777" w:rsidR="00000000" w:rsidRDefault="00C01C43">
            <w:pPr>
              <w:rPr>
                <w:rFonts w:eastAsia="Times New Roman"/>
                <w:sz w:val="20"/>
                <w:szCs w:val="20"/>
              </w:rPr>
            </w:pPr>
          </w:p>
        </w:tc>
        <w:tc>
          <w:tcPr>
            <w:tcW w:w="5" w:type="pct"/>
            <w:vAlign w:val="center"/>
            <w:hideMark/>
          </w:tcPr>
          <w:p w14:paraId="6E734E2C" w14:textId="77777777" w:rsidR="00000000" w:rsidRDefault="00C01C43">
            <w:pPr>
              <w:rPr>
                <w:rFonts w:eastAsia="Times New Roman"/>
                <w:sz w:val="20"/>
                <w:szCs w:val="20"/>
              </w:rPr>
            </w:pPr>
          </w:p>
        </w:tc>
        <w:tc>
          <w:tcPr>
            <w:tcW w:w="26" w:type="pct"/>
            <w:vAlign w:val="center"/>
            <w:hideMark/>
          </w:tcPr>
          <w:p w14:paraId="588ADA41" w14:textId="77777777" w:rsidR="00000000" w:rsidRDefault="00C01C43">
            <w:pPr>
              <w:rPr>
                <w:rFonts w:eastAsia="Times New Roman"/>
                <w:sz w:val="20"/>
                <w:szCs w:val="20"/>
              </w:rPr>
            </w:pPr>
          </w:p>
        </w:tc>
        <w:tc>
          <w:tcPr>
            <w:tcW w:w="5" w:type="pct"/>
            <w:vAlign w:val="center"/>
            <w:hideMark/>
          </w:tcPr>
          <w:p w14:paraId="61E3DB95" w14:textId="77777777" w:rsidR="00000000" w:rsidRDefault="00C01C43">
            <w:pPr>
              <w:rPr>
                <w:rFonts w:eastAsia="Times New Roman"/>
                <w:sz w:val="20"/>
                <w:szCs w:val="20"/>
              </w:rPr>
            </w:pPr>
          </w:p>
        </w:tc>
        <w:tc>
          <w:tcPr>
            <w:tcW w:w="50" w:type="pct"/>
            <w:vAlign w:val="center"/>
            <w:hideMark/>
          </w:tcPr>
          <w:p w14:paraId="7D6BD983" w14:textId="77777777" w:rsidR="00000000" w:rsidRDefault="00C01C43">
            <w:pPr>
              <w:rPr>
                <w:rFonts w:eastAsia="Times New Roman"/>
                <w:sz w:val="20"/>
                <w:szCs w:val="20"/>
              </w:rPr>
            </w:pPr>
          </w:p>
        </w:tc>
        <w:tc>
          <w:tcPr>
            <w:tcW w:w="420" w:type="pct"/>
            <w:vAlign w:val="center"/>
            <w:hideMark/>
          </w:tcPr>
          <w:p w14:paraId="2D84767E" w14:textId="77777777" w:rsidR="00000000" w:rsidRDefault="00C01C43">
            <w:pPr>
              <w:rPr>
                <w:rFonts w:eastAsia="Times New Roman"/>
                <w:sz w:val="20"/>
                <w:szCs w:val="20"/>
              </w:rPr>
            </w:pPr>
          </w:p>
        </w:tc>
        <w:tc>
          <w:tcPr>
            <w:tcW w:w="5" w:type="pct"/>
            <w:vAlign w:val="center"/>
            <w:hideMark/>
          </w:tcPr>
          <w:p w14:paraId="4DC29C02" w14:textId="77777777" w:rsidR="00000000" w:rsidRDefault="00C01C43">
            <w:pPr>
              <w:rPr>
                <w:rFonts w:eastAsia="Times New Roman"/>
                <w:sz w:val="20"/>
                <w:szCs w:val="20"/>
              </w:rPr>
            </w:pPr>
          </w:p>
        </w:tc>
      </w:tr>
      <w:tr w:rsidR="00000000" w14:paraId="59C86579" w14:textId="77777777">
        <w:trPr>
          <w:divId w:val="1654990457"/>
        </w:trPr>
        <w:tc>
          <w:tcPr>
            <w:tcW w:w="0" w:type="auto"/>
            <w:gridSpan w:val="3"/>
            <w:tcMar>
              <w:top w:w="0" w:type="dxa"/>
              <w:left w:w="20" w:type="dxa"/>
              <w:bottom w:w="0" w:type="dxa"/>
              <w:right w:w="20" w:type="dxa"/>
            </w:tcMar>
            <w:vAlign w:val="center"/>
            <w:hideMark/>
          </w:tcPr>
          <w:p w14:paraId="04F84EA6"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44EDEA28"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763CCEAE"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15D1D45C"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2DCC9DAC"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1DC99791" w14:textId="77777777" w:rsidR="00000000" w:rsidRDefault="00C01C43">
            <w:pPr>
              <w:jc w:val="center"/>
              <w:rPr>
                <w:rFonts w:eastAsia="Times New Roman"/>
              </w:rPr>
            </w:pPr>
            <w:r>
              <w:rPr>
                <w:rFonts w:ascii="Arial" w:eastAsia="Times New Roman" w:hAnsi="Arial" w:cs="Arial"/>
                <w:b/>
                <w:bCs/>
                <w:color w:val="000000"/>
                <w:sz w:val="16"/>
                <w:szCs w:val="16"/>
              </w:rPr>
              <w:t>2018</w:t>
            </w:r>
          </w:p>
        </w:tc>
      </w:tr>
      <w:tr w:rsidR="00000000" w14:paraId="343762E8" w14:textId="77777777">
        <w:trPr>
          <w:divId w:val="165499045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7E9BDF4" w14:textId="77777777" w:rsidR="00000000" w:rsidRDefault="00C01C43">
            <w:pPr>
              <w:rPr>
                <w:rFonts w:eastAsia="Times New Roman"/>
              </w:rPr>
            </w:pPr>
            <w:r>
              <w:rPr>
                <w:rFonts w:ascii="Arial" w:eastAsia="Times New Roman" w:hAnsi="Arial" w:cs="Arial"/>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29222A"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108E16"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2799E4"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4786A4"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04E7A5" w14:textId="77777777" w:rsidR="00000000" w:rsidRDefault="00C01C43">
            <w:pPr>
              <w:rPr>
                <w:rFonts w:eastAsia="Times New Roman"/>
                <w:sz w:val="20"/>
                <w:szCs w:val="20"/>
              </w:rPr>
            </w:pPr>
          </w:p>
        </w:tc>
      </w:tr>
      <w:tr w:rsidR="00000000" w14:paraId="41EB52B9" w14:textId="77777777">
        <w:trPr>
          <w:divId w:val="1654990457"/>
        </w:trPr>
        <w:tc>
          <w:tcPr>
            <w:tcW w:w="0" w:type="auto"/>
            <w:gridSpan w:val="3"/>
            <w:shd w:val="clear" w:color="auto" w:fill="FFFFFF"/>
            <w:tcMar>
              <w:top w:w="30" w:type="dxa"/>
              <w:left w:w="20" w:type="dxa"/>
              <w:bottom w:w="30" w:type="dxa"/>
              <w:right w:w="20" w:type="dxa"/>
            </w:tcMar>
            <w:vAlign w:val="bottom"/>
            <w:hideMark/>
          </w:tcPr>
          <w:p w14:paraId="4BDA4070" w14:textId="77777777" w:rsidR="00000000" w:rsidRDefault="00C01C43">
            <w:pPr>
              <w:rPr>
                <w:rFonts w:eastAsia="Times New Roman"/>
              </w:rPr>
            </w:pPr>
            <w:r>
              <w:rPr>
                <w:rFonts w:ascii="Arial" w:eastAsia="Times New Roman" w:hAnsi="Arial" w:cs="Arial"/>
                <w:color w:val="000000"/>
                <w:sz w:val="20"/>
                <w:szCs w:val="20"/>
              </w:rPr>
              <w:t>Net income (loss) attributable to World Fuel</w:t>
            </w:r>
          </w:p>
        </w:tc>
        <w:tc>
          <w:tcPr>
            <w:tcW w:w="0" w:type="auto"/>
            <w:shd w:val="clear" w:color="auto" w:fill="FFFFFF"/>
            <w:tcMar>
              <w:top w:w="30" w:type="dxa"/>
              <w:left w:w="20" w:type="dxa"/>
              <w:bottom w:w="30" w:type="dxa"/>
              <w:right w:w="0" w:type="dxa"/>
            </w:tcMar>
            <w:vAlign w:val="bottom"/>
            <w:hideMark/>
          </w:tcPr>
          <w:p w14:paraId="0EE6EC15"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BFBA643" w14:textId="77777777" w:rsidR="00000000" w:rsidRDefault="00C01C43">
            <w:pPr>
              <w:jc w:val="right"/>
              <w:rPr>
                <w:rFonts w:eastAsia="Times New Roman"/>
              </w:rPr>
            </w:pPr>
            <w:r>
              <w:rPr>
                <w:rFonts w:ascii="Arial" w:eastAsia="Times New Roman" w:hAnsi="Arial" w:cs="Arial"/>
                <w:color w:val="000000"/>
                <w:sz w:val="20"/>
                <w:szCs w:val="20"/>
              </w:rPr>
              <w:t>109.6 </w:t>
            </w:r>
          </w:p>
        </w:tc>
        <w:tc>
          <w:tcPr>
            <w:tcW w:w="0" w:type="auto"/>
            <w:shd w:val="clear" w:color="auto" w:fill="FFFFFF"/>
            <w:tcMar>
              <w:top w:w="30" w:type="dxa"/>
              <w:left w:w="0" w:type="dxa"/>
              <w:bottom w:w="30" w:type="dxa"/>
              <w:right w:w="20" w:type="dxa"/>
            </w:tcMar>
            <w:vAlign w:val="bottom"/>
            <w:hideMark/>
          </w:tcPr>
          <w:p w14:paraId="102640DE"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934709"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18FB8F"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8778E3F" w14:textId="77777777" w:rsidR="00000000" w:rsidRDefault="00C01C43">
            <w:pPr>
              <w:jc w:val="right"/>
              <w:rPr>
                <w:rFonts w:eastAsia="Times New Roman"/>
              </w:rPr>
            </w:pPr>
            <w:r>
              <w:rPr>
                <w:rFonts w:ascii="Arial" w:eastAsia="Times New Roman" w:hAnsi="Arial" w:cs="Arial"/>
                <w:color w:val="000000"/>
                <w:sz w:val="20"/>
                <w:szCs w:val="20"/>
              </w:rPr>
              <w:t>178.9 </w:t>
            </w:r>
          </w:p>
        </w:tc>
        <w:tc>
          <w:tcPr>
            <w:tcW w:w="0" w:type="auto"/>
            <w:shd w:val="clear" w:color="auto" w:fill="FFFFFF"/>
            <w:tcMar>
              <w:top w:w="30" w:type="dxa"/>
              <w:left w:w="0" w:type="dxa"/>
              <w:bottom w:w="30" w:type="dxa"/>
              <w:right w:w="20" w:type="dxa"/>
            </w:tcMar>
            <w:vAlign w:val="bottom"/>
            <w:hideMark/>
          </w:tcPr>
          <w:p w14:paraId="6D98AC9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16B42" w14:textId="77777777" w:rsidR="00000000" w:rsidRDefault="00C01C4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E1C6D29" w14:textId="77777777" w:rsidR="00000000" w:rsidRDefault="00C01C43">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394A1D9" w14:textId="77777777" w:rsidR="00000000" w:rsidRDefault="00C01C43">
            <w:pPr>
              <w:jc w:val="right"/>
              <w:rPr>
                <w:rFonts w:eastAsia="Times New Roman"/>
              </w:rPr>
            </w:pPr>
            <w:r>
              <w:rPr>
                <w:rFonts w:ascii="Arial" w:eastAsia="Times New Roman" w:hAnsi="Arial" w:cs="Arial"/>
                <w:color w:val="000000"/>
                <w:sz w:val="20"/>
                <w:szCs w:val="20"/>
              </w:rPr>
              <w:t>127.7 </w:t>
            </w:r>
          </w:p>
        </w:tc>
        <w:tc>
          <w:tcPr>
            <w:tcW w:w="0" w:type="auto"/>
            <w:shd w:val="clear" w:color="auto" w:fill="FFFFFF"/>
            <w:tcMar>
              <w:top w:w="30" w:type="dxa"/>
              <w:left w:w="0" w:type="dxa"/>
              <w:bottom w:w="30" w:type="dxa"/>
              <w:right w:w="20" w:type="dxa"/>
            </w:tcMar>
            <w:vAlign w:val="bottom"/>
            <w:hideMark/>
          </w:tcPr>
          <w:p w14:paraId="5811E782" w14:textId="77777777" w:rsidR="00000000" w:rsidRDefault="00C01C43">
            <w:pPr>
              <w:jc w:val="right"/>
              <w:rPr>
                <w:rFonts w:eastAsia="Times New Roman"/>
              </w:rPr>
            </w:pPr>
          </w:p>
        </w:tc>
      </w:tr>
      <w:tr w:rsidR="00000000" w14:paraId="2C028E65" w14:textId="77777777">
        <w:trPr>
          <w:divId w:val="165499045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D15DA4" w14:textId="77777777" w:rsidR="00000000" w:rsidRDefault="00C01C43">
            <w:pPr>
              <w:rPr>
                <w:rFonts w:eastAsia="Times New Roman"/>
              </w:rPr>
            </w:pPr>
            <w:r>
              <w:rPr>
                <w:rFonts w:ascii="Arial" w:eastAsia="Times New Roman" w:hAnsi="Arial" w:cs="Arial"/>
                <w:color w:val="000000"/>
                <w:sz w:val="20"/>
                <w:szCs w:val="20"/>
              </w:rPr>
              <w:t>Denominator: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026600" w14:textId="77777777" w:rsidR="00000000" w:rsidRDefault="00C01C4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0FC692"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41AE33"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C4A83A" w14:textId="77777777" w:rsidR="00000000" w:rsidRDefault="00C01C4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76A0C5" w14:textId="77777777" w:rsidR="00000000" w:rsidRDefault="00C01C43">
            <w:pPr>
              <w:rPr>
                <w:rFonts w:eastAsia="Times New Roman"/>
                <w:sz w:val="20"/>
                <w:szCs w:val="20"/>
              </w:rPr>
            </w:pPr>
          </w:p>
        </w:tc>
      </w:tr>
      <w:tr w:rsidR="00000000" w14:paraId="2FE78B14" w14:textId="77777777">
        <w:trPr>
          <w:divId w:val="1654990457"/>
        </w:trPr>
        <w:tc>
          <w:tcPr>
            <w:tcW w:w="0" w:type="auto"/>
            <w:gridSpan w:val="3"/>
            <w:shd w:val="clear" w:color="auto" w:fill="FFFFFF"/>
            <w:tcMar>
              <w:top w:w="30" w:type="dxa"/>
              <w:left w:w="20" w:type="dxa"/>
              <w:bottom w:w="30" w:type="dxa"/>
              <w:right w:w="20" w:type="dxa"/>
            </w:tcMar>
            <w:vAlign w:val="bottom"/>
            <w:hideMark/>
          </w:tcPr>
          <w:p w14:paraId="791D7096" w14:textId="77777777" w:rsidR="00000000" w:rsidRDefault="00C01C43">
            <w:pPr>
              <w:rPr>
                <w:rFonts w:eastAsia="Times New Roman"/>
              </w:rPr>
            </w:pPr>
            <w:r>
              <w:rPr>
                <w:rFonts w:ascii="Arial" w:eastAsia="Times New Roman" w:hAnsi="Arial" w:cs="Arial"/>
                <w:color w:val="000000"/>
                <w:sz w:val="20"/>
                <w:szCs w:val="20"/>
              </w:rPr>
              <w:t>Weighted average common shares for basic earnings per common share</w:t>
            </w:r>
          </w:p>
        </w:tc>
        <w:tc>
          <w:tcPr>
            <w:tcW w:w="0" w:type="auto"/>
            <w:gridSpan w:val="2"/>
            <w:shd w:val="clear" w:color="auto" w:fill="FFFFFF"/>
            <w:tcMar>
              <w:top w:w="30" w:type="dxa"/>
              <w:left w:w="20" w:type="dxa"/>
              <w:bottom w:w="30" w:type="dxa"/>
              <w:right w:w="0" w:type="dxa"/>
            </w:tcMar>
            <w:vAlign w:val="bottom"/>
            <w:hideMark/>
          </w:tcPr>
          <w:p w14:paraId="797517A9" w14:textId="77777777" w:rsidR="00000000" w:rsidRDefault="00C01C43">
            <w:pPr>
              <w:jc w:val="right"/>
              <w:rPr>
                <w:rFonts w:eastAsia="Times New Roman"/>
              </w:rPr>
            </w:pPr>
            <w:r>
              <w:rPr>
                <w:rFonts w:ascii="Arial" w:eastAsia="Times New Roman" w:hAnsi="Arial" w:cs="Arial"/>
                <w:color w:val="000000"/>
                <w:sz w:val="20"/>
                <w:szCs w:val="20"/>
              </w:rPr>
              <w:t>63.7 </w:t>
            </w:r>
          </w:p>
        </w:tc>
        <w:tc>
          <w:tcPr>
            <w:tcW w:w="0" w:type="auto"/>
            <w:shd w:val="clear" w:color="auto" w:fill="FFFFFF"/>
            <w:tcMar>
              <w:top w:w="30" w:type="dxa"/>
              <w:left w:w="0" w:type="dxa"/>
              <w:bottom w:w="30" w:type="dxa"/>
              <w:right w:w="20" w:type="dxa"/>
            </w:tcMar>
            <w:vAlign w:val="bottom"/>
            <w:hideMark/>
          </w:tcPr>
          <w:p w14:paraId="1C19A14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C4C5A"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19D755" w14:textId="77777777" w:rsidR="00000000" w:rsidRDefault="00C01C43">
            <w:pPr>
              <w:jc w:val="right"/>
              <w:rPr>
                <w:rFonts w:eastAsia="Times New Roman"/>
              </w:rPr>
            </w:pPr>
            <w:r>
              <w:rPr>
                <w:rFonts w:ascii="Arial" w:eastAsia="Times New Roman" w:hAnsi="Arial" w:cs="Arial"/>
                <w:color w:val="000000"/>
                <w:sz w:val="20"/>
                <w:szCs w:val="20"/>
              </w:rPr>
              <w:t>66.1 </w:t>
            </w:r>
          </w:p>
        </w:tc>
        <w:tc>
          <w:tcPr>
            <w:tcW w:w="0" w:type="auto"/>
            <w:shd w:val="clear" w:color="auto" w:fill="FFFFFF"/>
            <w:tcMar>
              <w:top w:w="30" w:type="dxa"/>
              <w:left w:w="0" w:type="dxa"/>
              <w:bottom w:w="30" w:type="dxa"/>
              <w:right w:w="20" w:type="dxa"/>
            </w:tcMar>
            <w:vAlign w:val="bottom"/>
            <w:hideMark/>
          </w:tcPr>
          <w:p w14:paraId="2A66D263" w14:textId="77777777" w:rsidR="00000000" w:rsidRDefault="00C01C4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1F934" w14:textId="77777777" w:rsidR="00000000" w:rsidRDefault="00C01C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E2268A" w14:textId="77777777" w:rsidR="00000000" w:rsidRDefault="00C01C43">
            <w:pPr>
              <w:jc w:val="right"/>
              <w:rPr>
                <w:rFonts w:eastAsia="Times New Roman"/>
              </w:rPr>
            </w:pPr>
            <w:r>
              <w:rPr>
                <w:rFonts w:ascii="Arial" w:eastAsia="Times New Roman" w:hAnsi="Arial" w:cs="Arial"/>
                <w:color w:val="000000"/>
                <w:sz w:val="20"/>
                <w:szCs w:val="20"/>
              </w:rPr>
              <w:t>67.4 </w:t>
            </w:r>
          </w:p>
        </w:tc>
        <w:tc>
          <w:tcPr>
            <w:tcW w:w="0" w:type="auto"/>
            <w:shd w:val="clear" w:color="auto" w:fill="FFFFFF"/>
            <w:tcMar>
              <w:top w:w="30" w:type="dxa"/>
              <w:left w:w="0" w:type="dxa"/>
              <w:bottom w:w="30" w:type="dxa"/>
              <w:right w:w="20" w:type="dxa"/>
            </w:tcMar>
            <w:vAlign w:val="bottom"/>
            <w:hideMark/>
          </w:tcPr>
          <w:p w14:paraId="0BED767F" w14:textId="77777777" w:rsidR="00000000" w:rsidRDefault="00C01C43">
            <w:pPr>
              <w:jc w:val="right"/>
              <w:rPr>
                <w:rFonts w:eastAsia="Times New Roman"/>
              </w:rPr>
            </w:pPr>
          </w:p>
        </w:tc>
      </w:tr>
      <w:tr w:rsidR="00000000" w14:paraId="14BFE00B" w14:textId="77777777">
        <w:trPr>
          <w:divId w:val="1654990457"/>
        </w:trPr>
        <w:tc>
          <w:tcPr>
            <w:tcW w:w="0" w:type="auto"/>
            <w:gridSpan w:val="3"/>
            <w:shd w:val="clear" w:color="auto" w:fill="CCEEFF"/>
            <w:tcMar>
              <w:top w:w="30" w:type="dxa"/>
              <w:left w:w="20" w:type="dxa"/>
              <w:bottom w:w="30" w:type="dxa"/>
              <w:right w:w="20" w:type="dxa"/>
            </w:tcMar>
            <w:vAlign w:val="bottom"/>
            <w:hideMark/>
          </w:tcPr>
          <w:p w14:paraId="60CF46CB" w14:textId="77777777" w:rsidR="00000000" w:rsidRDefault="00C01C43">
            <w:pPr>
              <w:rPr>
                <w:rFonts w:eastAsia="Times New Roman"/>
              </w:rPr>
            </w:pPr>
            <w:r>
              <w:rPr>
                <w:rFonts w:ascii="Arial" w:eastAsia="Times New Roman" w:hAnsi="Arial" w:cs="Arial"/>
                <w:color w:val="000000"/>
                <w:sz w:val="20"/>
                <w:szCs w:val="20"/>
              </w:rPr>
              <w:t>Effect of dilutive securities</w:t>
            </w:r>
          </w:p>
        </w:tc>
        <w:tc>
          <w:tcPr>
            <w:tcW w:w="0" w:type="auto"/>
            <w:gridSpan w:val="2"/>
            <w:shd w:val="clear" w:color="auto" w:fill="CCEEFF"/>
            <w:tcMar>
              <w:top w:w="30" w:type="dxa"/>
              <w:left w:w="20" w:type="dxa"/>
              <w:bottom w:w="30" w:type="dxa"/>
              <w:right w:w="0" w:type="dxa"/>
            </w:tcMar>
            <w:vAlign w:val="bottom"/>
            <w:hideMark/>
          </w:tcPr>
          <w:p w14:paraId="0ADBD35C" w14:textId="77777777" w:rsidR="00000000" w:rsidRDefault="00C01C43">
            <w:pPr>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14:paraId="2E481C55"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3AD4A"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CBC381" w14:textId="77777777" w:rsidR="00000000" w:rsidRDefault="00C01C43">
            <w:pPr>
              <w:jc w:val="right"/>
              <w:rPr>
                <w:rFonts w:eastAsia="Times New Roman"/>
              </w:rPr>
            </w:pPr>
            <w:r>
              <w:rPr>
                <w:rFonts w:ascii="Arial" w:eastAsia="Times New Roman" w:hAnsi="Arial" w:cs="Arial"/>
                <w:color w:val="000000"/>
                <w:sz w:val="20"/>
                <w:szCs w:val="20"/>
              </w:rPr>
              <w:t>0.4 </w:t>
            </w:r>
          </w:p>
        </w:tc>
        <w:tc>
          <w:tcPr>
            <w:tcW w:w="0" w:type="auto"/>
            <w:shd w:val="clear" w:color="auto" w:fill="CCEEFF"/>
            <w:tcMar>
              <w:top w:w="30" w:type="dxa"/>
              <w:left w:w="0" w:type="dxa"/>
              <w:bottom w:w="30" w:type="dxa"/>
              <w:right w:w="20" w:type="dxa"/>
            </w:tcMar>
            <w:vAlign w:val="bottom"/>
            <w:hideMark/>
          </w:tcPr>
          <w:p w14:paraId="2B17FA9D" w14:textId="77777777" w:rsidR="00000000" w:rsidRDefault="00C01C4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62F34" w14:textId="77777777" w:rsidR="00000000" w:rsidRDefault="00C01C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7DB362" w14:textId="77777777" w:rsidR="00000000" w:rsidRDefault="00C01C43">
            <w:pPr>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14:paraId="2D579A1C" w14:textId="77777777" w:rsidR="00000000" w:rsidRDefault="00C01C43">
            <w:pPr>
              <w:jc w:val="right"/>
              <w:rPr>
                <w:rFonts w:eastAsia="Times New Roman"/>
              </w:rPr>
            </w:pPr>
          </w:p>
        </w:tc>
      </w:tr>
      <w:tr w:rsidR="00000000" w14:paraId="614DFAE3" w14:textId="77777777">
        <w:trPr>
          <w:divId w:val="165499045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002BE7F" w14:textId="77777777" w:rsidR="00000000" w:rsidRDefault="00C01C43">
            <w:pPr>
              <w:rPr>
                <w:rFonts w:eastAsia="Times New Roman"/>
              </w:rPr>
            </w:pPr>
            <w:r>
              <w:rPr>
                <w:rFonts w:ascii="Arial" w:eastAsia="Times New Roman" w:hAnsi="Arial" w:cs="Arial"/>
                <w:color w:val="000000"/>
                <w:sz w:val="20"/>
                <w:szCs w:val="20"/>
              </w:rPr>
              <w:t>Weighted average common shares for diluted earnings per common share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52BFF7" w14:textId="77777777" w:rsidR="00000000" w:rsidRDefault="00C01C43">
            <w:pPr>
              <w:jc w:val="right"/>
              <w:rPr>
                <w:rFonts w:eastAsia="Times New Roman"/>
              </w:rPr>
            </w:pPr>
            <w:r>
              <w:rPr>
                <w:rFonts w:ascii="Arial" w:eastAsia="Times New Roman" w:hAnsi="Arial" w:cs="Arial"/>
                <w:color w:val="000000"/>
                <w:sz w:val="20"/>
                <w:szCs w:val="20"/>
              </w:rPr>
              <w:t>64.0 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9B388E"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ED5608C"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E5C734" w14:textId="77777777" w:rsidR="00000000" w:rsidRDefault="00C01C43">
            <w:pPr>
              <w:jc w:val="right"/>
              <w:rPr>
                <w:rFonts w:eastAsia="Times New Roman"/>
              </w:rPr>
            </w:pPr>
            <w:r>
              <w:rPr>
                <w:rFonts w:ascii="Arial" w:eastAsia="Times New Roman" w:hAnsi="Arial" w:cs="Arial"/>
                <w:color w:val="000000"/>
                <w:sz w:val="20"/>
                <w:szCs w:val="20"/>
              </w:rPr>
              <w:t>66.5 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1808E8" w14:textId="77777777" w:rsidR="00000000" w:rsidRDefault="00C01C43">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1A7F28" w14:textId="77777777" w:rsidR="00000000" w:rsidRDefault="00C01C4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8CD0F5" w14:textId="77777777" w:rsidR="00000000" w:rsidRDefault="00C01C43">
            <w:pPr>
              <w:jc w:val="right"/>
              <w:rPr>
                <w:rFonts w:eastAsia="Times New Roman"/>
              </w:rPr>
            </w:pPr>
            <w:r>
              <w:rPr>
                <w:rFonts w:ascii="Arial" w:eastAsia="Times New Roman" w:hAnsi="Arial" w:cs="Arial"/>
                <w:color w:val="000000"/>
                <w:sz w:val="20"/>
                <w:szCs w:val="20"/>
              </w:rPr>
              <w:t>67.7 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394662" w14:textId="77777777" w:rsidR="00000000" w:rsidRDefault="00C01C43">
            <w:pPr>
              <w:jc w:val="right"/>
              <w:rPr>
                <w:rFonts w:eastAsia="Times New Roman"/>
              </w:rPr>
            </w:pPr>
          </w:p>
        </w:tc>
      </w:tr>
      <w:tr w:rsidR="00000000" w14:paraId="435FCCAF" w14:textId="77777777">
        <w:trPr>
          <w:divId w:val="1654990457"/>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79EB5C7" w14:textId="77777777" w:rsidR="00000000" w:rsidRDefault="00C01C43">
            <w:pPr>
              <w:rPr>
                <w:rFonts w:eastAsia="Times New Roman"/>
              </w:rPr>
            </w:pPr>
            <w:r>
              <w:rPr>
                <w:rFonts w:ascii="Arial" w:eastAsia="Times New Roman" w:hAnsi="Arial" w:cs="Arial"/>
                <w:color w:val="000000"/>
                <w:sz w:val="20"/>
                <w:szCs w:val="20"/>
              </w:rPr>
              <w:t>Weighted average securities which are not included in the calculation of diluted earnings per common share because their impact is anti-dilutive or their performance conditions have not been met</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EB04891" w14:textId="77777777" w:rsidR="00000000" w:rsidRDefault="00C01C43">
            <w:pPr>
              <w:jc w:val="right"/>
              <w:rPr>
                <w:rFonts w:eastAsia="Times New Roman"/>
              </w:rPr>
            </w:pPr>
            <w:r>
              <w:rPr>
                <w:rFonts w:ascii="Arial" w:eastAsia="Times New Roman" w:hAnsi="Arial" w:cs="Arial"/>
                <w:color w:val="000000"/>
                <w:sz w:val="20"/>
                <w:szCs w:val="20"/>
              </w:rPr>
              <w:t>3.0 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BDCC222"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F107C13" w14:textId="77777777" w:rsidR="00000000" w:rsidRDefault="00C01C43">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674CA22" w14:textId="77777777" w:rsidR="00000000" w:rsidRDefault="00C01C43">
            <w:pPr>
              <w:jc w:val="right"/>
              <w:rPr>
                <w:rFonts w:eastAsia="Times New Roman"/>
              </w:rPr>
            </w:pPr>
            <w:r>
              <w:rPr>
                <w:rFonts w:ascii="Arial" w:eastAsia="Times New Roman" w:hAnsi="Arial" w:cs="Arial"/>
                <w:color w:val="000000"/>
                <w:sz w:val="20"/>
                <w:szCs w:val="20"/>
              </w:rPr>
              <w:t>1.4 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97B3D0A"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7E17570" w14:textId="77777777" w:rsidR="00000000" w:rsidRDefault="00C01C43">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0F630423" w14:textId="77777777" w:rsidR="00000000" w:rsidRDefault="00C01C43">
            <w:pPr>
              <w:jc w:val="right"/>
              <w:rPr>
                <w:rFonts w:eastAsia="Times New Roman"/>
              </w:rPr>
            </w:pPr>
            <w:r>
              <w:rPr>
                <w:rFonts w:ascii="Arial" w:eastAsia="Times New Roman" w:hAnsi="Arial" w:cs="Arial"/>
                <w:color w:val="000000"/>
                <w:sz w:val="20"/>
                <w:szCs w:val="20"/>
              </w:rPr>
              <w:t>1.2 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4A259E7" w14:textId="77777777" w:rsidR="00000000" w:rsidRDefault="00C01C43">
            <w:pPr>
              <w:jc w:val="right"/>
              <w:rPr>
                <w:rFonts w:eastAsia="Times New Roman"/>
              </w:rPr>
            </w:pPr>
          </w:p>
        </w:tc>
      </w:tr>
      <w:tr w:rsidR="00000000" w14:paraId="412FD250" w14:textId="77777777">
        <w:trPr>
          <w:divId w:val="1654990457"/>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D3C2047" w14:textId="77777777" w:rsidR="00000000" w:rsidRDefault="00C01C43">
            <w:pPr>
              <w:rPr>
                <w:rFonts w:eastAsia="Times New Roman"/>
              </w:rPr>
            </w:pPr>
            <w:r>
              <w:rPr>
                <w:rFonts w:ascii="Arial" w:eastAsia="Times New Roman" w:hAnsi="Arial" w:cs="Arial"/>
                <w:color w:val="000000"/>
                <w:sz w:val="20"/>
                <w:szCs w:val="20"/>
              </w:rPr>
              <w:t>Basic earnings (loss) per commo</w:t>
            </w:r>
            <w:r>
              <w:rPr>
                <w:rFonts w:ascii="Arial" w:eastAsia="Times New Roman" w:hAnsi="Arial" w:cs="Arial"/>
                <w:color w:val="000000"/>
                <w:sz w:val="20"/>
                <w:szCs w:val="20"/>
              </w:rPr>
              <w:t>n share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6AF214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79D7B2F" w14:textId="77777777" w:rsidR="00000000" w:rsidRDefault="00C01C43">
            <w:pPr>
              <w:jc w:val="right"/>
              <w:rPr>
                <w:rFonts w:eastAsia="Times New Roman"/>
              </w:rPr>
            </w:pPr>
            <w:r>
              <w:rPr>
                <w:rFonts w:ascii="Arial" w:eastAsia="Times New Roman" w:hAnsi="Arial" w:cs="Arial"/>
                <w:color w:val="000000"/>
                <w:sz w:val="20"/>
                <w:szCs w:val="20"/>
              </w:rPr>
              <w:t>1.72 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F8BAFB6" w14:textId="77777777" w:rsidR="00000000" w:rsidRDefault="00C01C43">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E0B9B3" w14:textId="77777777" w:rsidR="00000000" w:rsidRDefault="00C01C4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440E70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8EC2A66" w14:textId="77777777" w:rsidR="00000000" w:rsidRDefault="00C01C43">
            <w:pPr>
              <w:jc w:val="right"/>
              <w:rPr>
                <w:rFonts w:eastAsia="Times New Roman"/>
              </w:rPr>
            </w:pPr>
            <w:r>
              <w:rPr>
                <w:rFonts w:ascii="Arial" w:eastAsia="Times New Roman" w:hAnsi="Arial" w:cs="Arial"/>
                <w:color w:val="000000"/>
                <w:sz w:val="20"/>
                <w:szCs w:val="20"/>
              </w:rPr>
              <w:t>2.71 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72354A3" w14:textId="77777777" w:rsidR="00000000" w:rsidRDefault="00C01C43">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172B2ED" w14:textId="77777777" w:rsidR="00000000" w:rsidRDefault="00C01C4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847136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9C02013" w14:textId="77777777" w:rsidR="00000000" w:rsidRDefault="00C01C43">
            <w:pPr>
              <w:jc w:val="right"/>
              <w:rPr>
                <w:rFonts w:eastAsia="Times New Roman"/>
              </w:rPr>
            </w:pPr>
            <w:r>
              <w:rPr>
                <w:rFonts w:ascii="Arial" w:eastAsia="Times New Roman" w:hAnsi="Arial" w:cs="Arial"/>
                <w:color w:val="000000"/>
                <w:sz w:val="20"/>
                <w:szCs w:val="20"/>
              </w:rPr>
              <w:t>1.89 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A9B4195" w14:textId="77777777" w:rsidR="00000000" w:rsidRDefault="00C01C43">
            <w:pPr>
              <w:jc w:val="right"/>
              <w:rPr>
                <w:rFonts w:eastAsia="Times New Roman"/>
              </w:rPr>
            </w:pPr>
          </w:p>
        </w:tc>
      </w:tr>
      <w:tr w:rsidR="00000000" w14:paraId="3702A4C2" w14:textId="77777777">
        <w:trPr>
          <w:divId w:val="1654990457"/>
        </w:trPr>
        <w:tc>
          <w:tcPr>
            <w:tcW w:w="0" w:type="auto"/>
            <w:gridSpan w:val="3"/>
            <w:tcBorders>
              <w:top w:val="double" w:sz="6" w:space="0" w:color="000000"/>
              <w:bottom w:val="double" w:sz="6" w:space="0" w:color="000000"/>
            </w:tcBorders>
            <w:shd w:val="clear" w:color="auto" w:fill="CCEEFF"/>
            <w:tcMar>
              <w:top w:w="30" w:type="dxa"/>
              <w:left w:w="20" w:type="dxa"/>
              <w:bottom w:w="30" w:type="dxa"/>
              <w:right w:w="20" w:type="dxa"/>
            </w:tcMar>
            <w:vAlign w:val="bottom"/>
            <w:hideMark/>
          </w:tcPr>
          <w:p w14:paraId="62A41117" w14:textId="77777777" w:rsidR="00000000" w:rsidRDefault="00C01C43">
            <w:pPr>
              <w:rPr>
                <w:rFonts w:eastAsia="Times New Roman"/>
              </w:rPr>
            </w:pPr>
            <w:r>
              <w:rPr>
                <w:rFonts w:ascii="Arial" w:eastAsia="Times New Roman" w:hAnsi="Arial" w:cs="Arial"/>
                <w:color w:val="000000"/>
                <w:sz w:val="20"/>
                <w:szCs w:val="20"/>
              </w:rPr>
              <w:t>Diluted earnings (loss) per common share</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4B308AE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04CA651" w14:textId="77777777" w:rsidR="00000000" w:rsidRDefault="00C01C43">
            <w:pPr>
              <w:jc w:val="right"/>
              <w:rPr>
                <w:rFonts w:eastAsia="Times New Roman"/>
              </w:rPr>
            </w:pPr>
            <w:r>
              <w:rPr>
                <w:rFonts w:ascii="Arial" w:eastAsia="Times New Roman" w:hAnsi="Arial" w:cs="Arial"/>
                <w:color w:val="000000"/>
                <w:sz w:val="20"/>
                <w:szCs w:val="20"/>
              </w:rPr>
              <w:t>1.71 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7953D54" w14:textId="77777777" w:rsidR="00000000" w:rsidRDefault="00C01C43">
            <w:pPr>
              <w:jc w:val="right"/>
              <w:rPr>
                <w:rFonts w:eastAsia="Times New Roman"/>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vAlign w:val="center"/>
            <w:hideMark/>
          </w:tcPr>
          <w:p w14:paraId="735E996D" w14:textId="77777777" w:rsidR="00000000" w:rsidRDefault="00C01C43">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F30E99B"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27E8E49" w14:textId="77777777" w:rsidR="00000000" w:rsidRDefault="00C01C43">
            <w:pPr>
              <w:jc w:val="right"/>
              <w:rPr>
                <w:rFonts w:eastAsia="Times New Roman"/>
              </w:rPr>
            </w:pPr>
            <w:r>
              <w:rPr>
                <w:rFonts w:ascii="Arial" w:eastAsia="Times New Roman" w:hAnsi="Arial" w:cs="Arial"/>
                <w:color w:val="000000"/>
                <w:sz w:val="20"/>
                <w:szCs w:val="20"/>
              </w:rPr>
              <w:t>2.69 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2C258274" w14:textId="77777777" w:rsidR="00000000" w:rsidRDefault="00C01C43">
            <w:pPr>
              <w:jc w:val="right"/>
              <w:rPr>
                <w:rFonts w:eastAsia="Times New Roman"/>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vAlign w:val="center"/>
            <w:hideMark/>
          </w:tcPr>
          <w:p w14:paraId="360A6040" w14:textId="77777777" w:rsidR="00000000" w:rsidRDefault="00C01C43">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471B555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EA689A7" w14:textId="77777777" w:rsidR="00000000" w:rsidRDefault="00C01C43">
            <w:pPr>
              <w:jc w:val="right"/>
              <w:rPr>
                <w:rFonts w:eastAsia="Times New Roman"/>
              </w:rPr>
            </w:pPr>
            <w:r>
              <w:rPr>
                <w:rFonts w:ascii="Arial" w:eastAsia="Times New Roman" w:hAnsi="Arial" w:cs="Arial"/>
                <w:color w:val="000000"/>
                <w:sz w:val="20"/>
                <w:szCs w:val="20"/>
              </w:rPr>
              <w:t>1.89 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55FBC6B3" w14:textId="77777777" w:rsidR="00000000" w:rsidRDefault="00C01C43">
            <w:pPr>
              <w:jc w:val="right"/>
              <w:rPr>
                <w:rFonts w:eastAsia="Times New Roman"/>
              </w:rPr>
            </w:pPr>
          </w:p>
        </w:tc>
      </w:tr>
    </w:tbl>
    <w:p w14:paraId="7B77773F" w14:textId="77777777" w:rsidR="00000000" w:rsidRDefault="00C01C43">
      <w:pPr>
        <w:jc w:val="both"/>
        <w:rPr>
          <w:rFonts w:eastAsia="Times New Roman"/>
        </w:rPr>
      </w:pPr>
    </w:p>
    <w:p w14:paraId="3126A4BF" w14:textId="77777777" w:rsidR="00000000" w:rsidRDefault="00C01C43">
      <w:pPr>
        <w:jc w:val="center"/>
        <w:divId w:val="175199592"/>
        <w:rPr>
          <w:rFonts w:eastAsia="Times New Roman"/>
        </w:rPr>
      </w:pPr>
      <w:r>
        <w:rPr>
          <w:rFonts w:ascii="Arial" w:eastAsia="Times New Roman" w:hAnsi="Arial" w:cs="Arial"/>
          <w:color w:val="000000"/>
          <w:sz w:val="16"/>
          <w:szCs w:val="16"/>
        </w:rPr>
        <w:t>91</w:t>
      </w:r>
    </w:p>
    <w:p w14:paraId="328B0CC7" w14:textId="77777777" w:rsidR="00000000" w:rsidRDefault="00C01C43">
      <w:pPr>
        <w:rPr>
          <w:rFonts w:eastAsia="Times New Roman"/>
        </w:rPr>
      </w:pPr>
      <w:r>
        <w:rPr>
          <w:rFonts w:eastAsia="Times New Roman"/>
        </w:rPr>
        <w:pict w14:anchorId="54296221">
          <v:rect id="_x0000_i1120" style="width:0;height:1.5pt" o:hralign="center" o:hrstd="t" o:hr="t" fillcolor="#a0a0a0" stroked="f"/>
        </w:pict>
      </w:r>
    </w:p>
    <w:p w14:paraId="1B75FC85" w14:textId="77777777" w:rsidR="00000000" w:rsidRDefault="00C01C43">
      <w:pPr>
        <w:divId w:val="632634271"/>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18654612" w14:textId="77777777" w:rsidR="00000000" w:rsidRDefault="00C01C43">
      <w:pPr>
        <w:jc w:val="both"/>
        <w:rPr>
          <w:rFonts w:eastAsia="Times New Roman"/>
        </w:rPr>
      </w:pPr>
    </w:p>
    <w:p w14:paraId="003DEC85" w14:textId="77777777" w:rsidR="00000000" w:rsidRDefault="00C01C43">
      <w:pPr>
        <w:jc w:val="both"/>
        <w:divId w:val="411004857"/>
        <w:rPr>
          <w:rFonts w:eastAsia="Times New Roman"/>
        </w:rPr>
      </w:pPr>
      <w:r>
        <w:rPr>
          <w:rFonts w:ascii="Arial" w:eastAsia="Times New Roman" w:hAnsi="Arial" w:cs="Arial"/>
          <w:b/>
          <w:bCs/>
          <w:color w:val="000000"/>
          <w:sz w:val="20"/>
          <w:szCs w:val="20"/>
        </w:rPr>
        <w:t>17. Summary Quarterly Information (Unaudited)</w:t>
      </w:r>
    </w:p>
    <w:p w14:paraId="62A764D5" w14:textId="77777777" w:rsidR="00000000" w:rsidRDefault="00C01C43">
      <w:pPr>
        <w:jc w:val="both"/>
        <w:rPr>
          <w:rFonts w:eastAsia="Times New Roman"/>
        </w:rPr>
      </w:pPr>
      <w:r>
        <w:rPr>
          <w:rFonts w:ascii="Arial" w:eastAsia="Times New Roman" w:hAnsi="Arial" w:cs="Arial"/>
          <w:color w:val="000000"/>
          <w:sz w:val="20"/>
          <w:szCs w:val="20"/>
        </w:rPr>
        <w:t xml:space="preserve">The following is a summary of the unaudited quarterly </w:t>
      </w:r>
      <w:r>
        <w:rPr>
          <w:rFonts w:ascii="Arial" w:eastAsia="Times New Roman" w:hAnsi="Arial" w:cs="Arial"/>
          <w:color w:val="000000"/>
          <w:sz w:val="20"/>
          <w:szCs w:val="20"/>
        </w:rPr>
        <w:t>results for 2020 and 2019 (in millions, except earnings per share data):</w:t>
      </w:r>
    </w:p>
    <w:tbl>
      <w:tblPr>
        <w:tblW w:w="4970" w:type="pct"/>
        <w:tblCellMar>
          <w:top w:w="15" w:type="dxa"/>
          <w:left w:w="15" w:type="dxa"/>
          <w:bottom w:w="15" w:type="dxa"/>
          <w:right w:w="15" w:type="dxa"/>
        </w:tblCellMar>
        <w:tblLook w:val="04A0" w:firstRow="1" w:lastRow="0" w:firstColumn="1" w:lastColumn="0" w:noHBand="0" w:noVBand="1"/>
      </w:tblPr>
      <w:tblGrid>
        <w:gridCol w:w="38"/>
        <w:gridCol w:w="3402"/>
        <w:gridCol w:w="36"/>
        <w:gridCol w:w="132"/>
        <w:gridCol w:w="982"/>
        <w:gridCol w:w="36"/>
        <w:gridCol w:w="36"/>
        <w:gridCol w:w="36"/>
        <w:gridCol w:w="36"/>
        <w:gridCol w:w="132"/>
        <w:gridCol w:w="934"/>
        <w:gridCol w:w="36"/>
        <w:gridCol w:w="36"/>
        <w:gridCol w:w="36"/>
        <w:gridCol w:w="36"/>
        <w:gridCol w:w="132"/>
        <w:gridCol w:w="934"/>
        <w:gridCol w:w="36"/>
        <w:gridCol w:w="36"/>
        <w:gridCol w:w="36"/>
        <w:gridCol w:w="36"/>
        <w:gridCol w:w="132"/>
        <w:gridCol w:w="934"/>
        <w:gridCol w:w="36"/>
      </w:tblGrid>
      <w:tr w:rsidR="00000000" w14:paraId="3BE1A743" w14:textId="77777777">
        <w:trPr>
          <w:divId w:val="2013872049"/>
        </w:trPr>
        <w:tc>
          <w:tcPr>
            <w:tcW w:w="50" w:type="pct"/>
            <w:vAlign w:val="center"/>
            <w:hideMark/>
          </w:tcPr>
          <w:p w14:paraId="4AD43A43" w14:textId="77777777" w:rsidR="00000000" w:rsidRDefault="00C01C43">
            <w:pPr>
              <w:jc w:val="both"/>
              <w:rPr>
                <w:rFonts w:eastAsia="Times New Roman"/>
              </w:rPr>
            </w:pPr>
          </w:p>
        </w:tc>
        <w:tc>
          <w:tcPr>
            <w:tcW w:w="2099" w:type="pct"/>
            <w:vAlign w:val="center"/>
            <w:hideMark/>
          </w:tcPr>
          <w:p w14:paraId="4ACC005E" w14:textId="77777777" w:rsidR="00000000" w:rsidRDefault="00C01C43">
            <w:pPr>
              <w:rPr>
                <w:rFonts w:eastAsia="Times New Roman"/>
                <w:sz w:val="20"/>
                <w:szCs w:val="20"/>
              </w:rPr>
            </w:pPr>
          </w:p>
        </w:tc>
        <w:tc>
          <w:tcPr>
            <w:tcW w:w="5" w:type="pct"/>
            <w:vAlign w:val="center"/>
            <w:hideMark/>
          </w:tcPr>
          <w:p w14:paraId="0F3702CC" w14:textId="77777777" w:rsidR="00000000" w:rsidRDefault="00C01C43">
            <w:pPr>
              <w:rPr>
                <w:rFonts w:eastAsia="Times New Roman"/>
                <w:sz w:val="20"/>
                <w:szCs w:val="20"/>
              </w:rPr>
            </w:pPr>
          </w:p>
        </w:tc>
        <w:tc>
          <w:tcPr>
            <w:tcW w:w="50" w:type="pct"/>
            <w:vAlign w:val="center"/>
            <w:hideMark/>
          </w:tcPr>
          <w:p w14:paraId="4C730E1F" w14:textId="77777777" w:rsidR="00000000" w:rsidRDefault="00C01C43">
            <w:pPr>
              <w:rPr>
                <w:rFonts w:eastAsia="Times New Roman"/>
                <w:sz w:val="20"/>
                <w:szCs w:val="20"/>
              </w:rPr>
            </w:pPr>
          </w:p>
        </w:tc>
        <w:tc>
          <w:tcPr>
            <w:tcW w:w="628" w:type="pct"/>
            <w:vAlign w:val="center"/>
            <w:hideMark/>
          </w:tcPr>
          <w:p w14:paraId="74F19612" w14:textId="77777777" w:rsidR="00000000" w:rsidRDefault="00C01C43">
            <w:pPr>
              <w:rPr>
                <w:rFonts w:eastAsia="Times New Roman"/>
                <w:sz w:val="20"/>
                <w:szCs w:val="20"/>
              </w:rPr>
            </w:pPr>
          </w:p>
        </w:tc>
        <w:tc>
          <w:tcPr>
            <w:tcW w:w="5" w:type="pct"/>
            <w:vAlign w:val="center"/>
            <w:hideMark/>
          </w:tcPr>
          <w:p w14:paraId="7317366F" w14:textId="77777777" w:rsidR="00000000" w:rsidRDefault="00C01C43">
            <w:pPr>
              <w:rPr>
                <w:rFonts w:eastAsia="Times New Roman"/>
                <w:sz w:val="20"/>
                <w:szCs w:val="20"/>
              </w:rPr>
            </w:pPr>
          </w:p>
        </w:tc>
        <w:tc>
          <w:tcPr>
            <w:tcW w:w="5" w:type="pct"/>
            <w:vAlign w:val="center"/>
            <w:hideMark/>
          </w:tcPr>
          <w:p w14:paraId="5C9030F1" w14:textId="77777777" w:rsidR="00000000" w:rsidRDefault="00C01C43">
            <w:pPr>
              <w:rPr>
                <w:rFonts w:eastAsia="Times New Roman"/>
                <w:sz w:val="20"/>
                <w:szCs w:val="20"/>
              </w:rPr>
            </w:pPr>
          </w:p>
        </w:tc>
        <w:tc>
          <w:tcPr>
            <w:tcW w:w="26" w:type="pct"/>
            <w:vAlign w:val="center"/>
            <w:hideMark/>
          </w:tcPr>
          <w:p w14:paraId="22B267B1" w14:textId="77777777" w:rsidR="00000000" w:rsidRDefault="00C01C43">
            <w:pPr>
              <w:rPr>
                <w:rFonts w:eastAsia="Times New Roman"/>
                <w:sz w:val="20"/>
                <w:szCs w:val="20"/>
              </w:rPr>
            </w:pPr>
          </w:p>
        </w:tc>
        <w:tc>
          <w:tcPr>
            <w:tcW w:w="5" w:type="pct"/>
            <w:vAlign w:val="center"/>
            <w:hideMark/>
          </w:tcPr>
          <w:p w14:paraId="3140B87C" w14:textId="77777777" w:rsidR="00000000" w:rsidRDefault="00C01C43">
            <w:pPr>
              <w:rPr>
                <w:rFonts w:eastAsia="Times New Roman"/>
                <w:sz w:val="20"/>
                <w:szCs w:val="20"/>
              </w:rPr>
            </w:pPr>
          </w:p>
        </w:tc>
        <w:tc>
          <w:tcPr>
            <w:tcW w:w="50" w:type="pct"/>
            <w:vAlign w:val="center"/>
            <w:hideMark/>
          </w:tcPr>
          <w:p w14:paraId="1AF235F4" w14:textId="77777777" w:rsidR="00000000" w:rsidRDefault="00C01C43">
            <w:pPr>
              <w:rPr>
                <w:rFonts w:eastAsia="Times New Roman"/>
                <w:sz w:val="20"/>
                <w:szCs w:val="20"/>
              </w:rPr>
            </w:pPr>
          </w:p>
        </w:tc>
        <w:tc>
          <w:tcPr>
            <w:tcW w:w="628" w:type="pct"/>
            <w:vAlign w:val="center"/>
            <w:hideMark/>
          </w:tcPr>
          <w:p w14:paraId="590CA15D" w14:textId="77777777" w:rsidR="00000000" w:rsidRDefault="00C01C43">
            <w:pPr>
              <w:rPr>
                <w:rFonts w:eastAsia="Times New Roman"/>
                <w:sz w:val="20"/>
                <w:szCs w:val="20"/>
              </w:rPr>
            </w:pPr>
          </w:p>
        </w:tc>
        <w:tc>
          <w:tcPr>
            <w:tcW w:w="5" w:type="pct"/>
            <w:vAlign w:val="center"/>
            <w:hideMark/>
          </w:tcPr>
          <w:p w14:paraId="549750D0" w14:textId="77777777" w:rsidR="00000000" w:rsidRDefault="00C01C43">
            <w:pPr>
              <w:rPr>
                <w:rFonts w:eastAsia="Times New Roman"/>
                <w:sz w:val="20"/>
                <w:szCs w:val="20"/>
              </w:rPr>
            </w:pPr>
          </w:p>
        </w:tc>
        <w:tc>
          <w:tcPr>
            <w:tcW w:w="5" w:type="pct"/>
            <w:vAlign w:val="center"/>
            <w:hideMark/>
          </w:tcPr>
          <w:p w14:paraId="4C042835" w14:textId="77777777" w:rsidR="00000000" w:rsidRDefault="00C01C43">
            <w:pPr>
              <w:rPr>
                <w:rFonts w:eastAsia="Times New Roman"/>
                <w:sz w:val="20"/>
                <w:szCs w:val="20"/>
              </w:rPr>
            </w:pPr>
          </w:p>
        </w:tc>
        <w:tc>
          <w:tcPr>
            <w:tcW w:w="26" w:type="pct"/>
            <w:vAlign w:val="center"/>
            <w:hideMark/>
          </w:tcPr>
          <w:p w14:paraId="568761A1" w14:textId="77777777" w:rsidR="00000000" w:rsidRDefault="00C01C43">
            <w:pPr>
              <w:rPr>
                <w:rFonts w:eastAsia="Times New Roman"/>
                <w:sz w:val="20"/>
                <w:szCs w:val="20"/>
              </w:rPr>
            </w:pPr>
          </w:p>
        </w:tc>
        <w:tc>
          <w:tcPr>
            <w:tcW w:w="5" w:type="pct"/>
            <w:vAlign w:val="center"/>
            <w:hideMark/>
          </w:tcPr>
          <w:p w14:paraId="22B9384E" w14:textId="77777777" w:rsidR="00000000" w:rsidRDefault="00C01C43">
            <w:pPr>
              <w:rPr>
                <w:rFonts w:eastAsia="Times New Roman"/>
                <w:sz w:val="20"/>
                <w:szCs w:val="20"/>
              </w:rPr>
            </w:pPr>
          </w:p>
        </w:tc>
        <w:tc>
          <w:tcPr>
            <w:tcW w:w="50" w:type="pct"/>
            <w:vAlign w:val="center"/>
            <w:hideMark/>
          </w:tcPr>
          <w:p w14:paraId="36B1C182" w14:textId="77777777" w:rsidR="00000000" w:rsidRDefault="00C01C43">
            <w:pPr>
              <w:rPr>
                <w:rFonts w:eastAsia="Times New Roman"/>
                <w:sz w:val="20"/>
                <w:szCs w:val="20"/>
              </w:rPr>
            </w:pPr>
          </w:p>
        </w:tc>
        <w:tc>
          <w:tcPr>
            <w:tcW w:w="628" w:type="pct"/>
            <w:vAlign w:val="center"/>
            <w:hideMark/>
          </w:tcPr>
          <w:p w14:paraId="5C596267" w14:textId="77777777" w:rsidR="00000000" w:rsidRDefault="00C01C43">
            <w:pPr>
              <w:rPr>
                <w:rFonts w:eastAsia="Times New Roman"/>
                <w:sz w:val="20"/>
                <w:szCs w:val="20"/>
              </w:rPr>
            </w:pPr>
          </w:p>
        </w:tc>
        <w:tc>
          <w:tcPr>
            <w:tcW w:w="5" w:type="pct"/>
            <w:vAlign w:val="center"/>
            <w:hideMark/>
          </w:tcPr>
          <w:p w14:paraId="6C2102E0" w14:textId="77777777" w:rsidR="00000000" w:rsidRDefault="00C01C43">
            <w:pPr>
              <w:rPr>
                <w:rFonts w:eastAsia="Times New Roman"/>
                <w:sz w:val="20"/>
                <w:szCs w:val="20"/>
              </w:rPr>
            </w:pPr>
          </w:p>
        </w:tc>
        <w:tc>
          <w:tcPr>
            <w:tcW w:w="5" w:type="pct"/>
            <w:vAlign w:val="center"/>
            <w:hideMark/>
          </w:tcPr>
          <w:p w14:paraId="49783613" w14:textId="77777777" w:rsidR="00000000" w:rsidRDefault="00C01C43">
            <w:pPr>
              <w:rPr>
                <w:rFonts w:eastAsia="Times New Roman"/>
                <w:sz w:val="20"/>
                <w:szCs w:val="20"/>
              </w:rPr>
            </w:pPr>
          </w:p>
        </w:tc>
        <w:tc>
          <w:tcPr>
            <w:tcW w:w="26" w:type="pct"/>
            <w:vAlign w:val="center"/>
            <w:hideMark/>
          </w:tcPr>
          <w:p w14:paraId="23BF438E" w14:textId="77777777" w:rsidR="00000000" w:rsidRDefault="00C01C43">
            <w:pPr>
              <w:rPr>
                <w:rFonts w:eastAsia="Times New Roman"/>
                <w:sz w:val="20"/>
                <w:szCs w:val="20"/>
              </w:rPr>
            </w:pPr>
          </w:p>
        </w:tc>
        <w:tc>
          <w:tcPr>
            <w:tcW w:w="5" w:type="pct"/>
            <w:vAlign w:val="center"/>
            <w:hideMark/>
          </w:tcPr>
          <w:p w14:paraId="7B8F7174" w14:textId="77777777" w:rsidR="00000000" w:rsidRDefault="00C01C43">
            <w:pPr>
              <w:rPr>
                <w:rFonts w:eastAsia="Times New Roman"/>
                <w:sz w:val="20"/>
                <w:szCs w:val="20"/>
              </w:rPr>
            </w:pPr>
          </w:p>
        </w:tc>
        <w:tc>
          <w:tcPr>
            <w:tcW w:w="50" w:type="pct"/>
            <w:vAlign w:val="center"/>
            <w:hideMark/>
          </w:tcPr>
          <w:p w14:paraId="49006B4C" w14:textId="77777777" w:rsidR="00000000" w:rsidRDefault="00C01C43">
            <w:pPr>
              <w:rPr>
                <w:rFonts w:eastAsia="Times New Roman"/>
                <w:sz w:val="20"/>
                <w:szCs w:val="20"/>
              </w:rPr>
            </w:pPr>
          </w:p>
        </w:tc>
        <w:tc>
          <w:tcPr>
            <w:tcW w:w="628" w:type="pct"/>
            <w:vAlign w:val="center"/>
            <w:hideMark/>
          </w:tcPr>
          <w:p w14:paraId="30211BB3" w14:textId="77777777" w:rsidR="00000000" w:rsidRDefault="00C01C43">
            <w:pPr>
              <w:rPr>
                <w:rFonts w:eastAsia="Times New Roman"/>
                <w:sz w:val="20"/>
                <w:szCs w:val="20"/>
              </w:rPr>
            </w:pPr>
          </w:p>
        </w:tc>
        <w:tc>
          <w:tcPr>
            <w:tcW w:w="5" w:type="pct"/>
            <w:vAlign w:val="center"/>
            <w:hideMark/>
          </w:tcPr>
          <w:p w14:paraId="01307ABF" w14:textId="77777777" w:rsidR="00000000" w:rsidRDefault="00C01C43">
            <w:pPr>
              <w:rPr>
                <w:rFonts w:eastAsia="Times New Roman"/>
                <w:sz w:val="20"/>
                <w:szCs w:val="20"/>
              </w:rPr>
            </w:pPr>
          </w:p>
        </w:tc>
      </w:tr>
      <w:tr w:rsidR="00000000" w14:paraId="2D48D4E8" w14:textId="77777777">
        <w:trPr>
          <w:divId w:val="2013872049"/>
        </w:trPr>
        <w:tc>
          <w:tcPr>
            <w:tcW w:w="0" w:type="auto"/>
            <w:gridSpan w:val="3"/>
            <w:tcMar>
              <w:top w:w="0" w:type="dxa"/>
              <w:left w:w="20" w:type="dxa"/>
              <w:bottom w:w="0" w:type="dxa"/>
              <w:right w:w="20" w:type="dxa"/>
            </w:tcMar>
            <w:vAlign w:val="center"/>
            <w:hideMark/>
          </w:tcPr>
          <w:p w14:paraId="5ADA7FD2"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0B666F5D" w14:textId="77777777" w:rsidR="00000000" w:rsidRDefault="00C01C43">
            <w:pPr>
              <w:jc w:val="center"/>
              <w:rPr>
                <w:rFonts w:eastAsia="Times New Roman"/>
              </w:rPr>
            </w:pPr>
            <w:r>
              <w:rPr>
                <w:rFonts w:ascii="Arial" w:eastAsia="Times New Roman" w:hAnsi="Arial" w:cs="Arial"/>
                <w:b/>
                <w:bCs/>
                <w:color w:val="000000"/>
                <w:sz w:val="16"/>
                <w:szCs w:val="16"/>
              </w:rPr>
              <w:t>March 31,</w:t>
            </w:r>
          </w:p>
        </w:tc>
        <w:tc>
          <w:tcPr>
            <w:tcW w:w="0" w:type="auto"/>
            <w:gridSpan w:val="3"/>
            <w:tcMar>
              <w:top w:w="0" w:type="dxa"/>
              <w:left w:w="20" w:type="dxa"/>
              <w:bottom w:w="0" w:type="dxa"/>
              <w:right w:w="20" w:type="dxa"/>
            </w:tcMar>
            <w:vAlign w:val="center"/>
            <w:hideMark/>
          </w:tcPr>
          <w:p w14:paraId="73CAEE9E"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4B310734" w14:textId="77777777" w:rsidR="00000000" w:rsidRDefault="00C01C43">
            <w:pPr>
              <w:jc w:val="center"/>
              <w:rPr>
                <w:rFonts w:eastAsia="Times New Roman"/>
              </w:rPr>
            </w:pPr>
            <w:r>
              <w:rPr>
                <w:rFonts w:ascii="Arial" w:eastAsia="Times New Roman" w:hAnsi="Arial" w:cs="Arial"/>
                <w:b/>
                <w:bCs/>
                <w:color w:val="000000"/>
                <w:sz w:val="16"/>
                <w:szCs w:val="16"/>
              </w:rPr>
              <w:t>June 30,</w:t>
            </w:r>
          </w:p>
        </w:tc>
        <w:tc>
          <w:tcPr>
            <w:tcW w:w="0" w:type="auto"/>
            <w:gridSpan w:val="3"/>
            <w:tcMar>
              <w:top w:w="0" w:type="dxa"/>
              <w:left w:w="20" w:type="dxa"/>
              <w:bottom w:w="0" w:type="dxa"/>
              <w:right w:w="20" w:type="dxa"/>
            </w:tcMar>
            <w:vAlign w:val="center"/>
            <w:hideMark/>
          </w:tcPr>
          <w:p w14:paraId="32EE2DA2"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76596E39" w14:textId="77777777" w:rsidR="00000000" w:rsidRDefault="00C01C43">
            <w:pPr>
              <w:jc w:val="center"/>
              <w:rPr>
                <w:rFonts w:eastAsia="Times New Roman"/>
              </w:rPr>
            </w:pPr>
            <w:r>
              <w:rPr>
                <w:rFonts w:ascii="Arial" w:eastAsia="Times New Roman" w:hAnsi="Arial" w:cs="Arial"/>
                <w:b/>
                <w:bCs/>
                <w:color w:val="000000"/>
                <w:sz w:val="16"/>
                <w:szCs w:val="16"/>
              </w:rPr>
              <w:t>September 30,</w:t>
            </w:r>
          </w:p>
        </w:tc>
        <w:tc>
          <w:tcPr>
            <w:tcW w:w="0" w:type="auto"/>
            <w:gridSpan w:val="3"/>
            <w:tcMar>
              <w:top w:w="0" w:type="dxa"/>
              <w:left w:w="20" w:type="dxa"/>
              <w:bottom w:w="0" w:type="dxa"/>
              <w:right w:w="20" w:type="dxa"/>
            </w:tcMar>
            <w:vAlign w:val="center"/>
            <w:hideMark/>
          </w:tcPr>
          <w:p w14:paraId="5FE680C2"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28E67CA7" w14:textId="77777777" w:rsidR="00000000" w:rsidRDefault="00C01C43">
            <w:pPr>
              <w:jc w:val="center"/>
              <w:rPr>
                <w:rFonts w:eastAsia="Times New Roman"/>
              </w:rPr>
            </w:pPr>
            <w:r>
              <w:rPr>
                <w:rFonts w:ascii="Arial" w:eastAsia="Times New Roman" w:hAnsi="Arial" w:cs="Arial"/>
                <w:b/>
                <w:bCs/>
                <w:color w:val="000000"/>
                <w:sz w:val="16"/>
                <w:szCs w:val="16"/>
              </w:rPr>
              <w:t>December 31,</w:t>
            </w:r>
          </w:p>
        </w:tc>
      </w:tr>
      <w:tr w:rsidR="00000000" w14:paraId="74C86665" w14:textId="77777777">
        <w:trPr>
          <w:divId w:val="2013872049"/>
        </w:trPr>
        <w:tc>
          <w:tcPr>
            <w:tcW w:w="0" w:type="auto"/>
            <w:gridSpan w:val="3"/>
            <w:tcMar>
              <w:top w:w="0" w:type="dxa"/>
              <w:left w:w="20" w:type="dxa"/>
              <w:bottom w:w="0" w:type="dxa"/>
              <w:right w:w="20" w:type="dxa"/>
            </w:tcMar>
            <w:vAlign w:val="center"/>
            <w:hideMark/>
          </w:tcPr>
          <w:p w14:paraId="5E1C91A2"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090BED64"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299EBA45"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495CB199"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04160DD5"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5D1D5049" w14:textId="77777777" w:rsidR="00000000" w:rsidRDefault="00C01C43">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489DEB4B"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6D586FDD" w14:textId="77777777" w:rsidR="00000000" w:rsidRDefault="00C01C43">
            <w:pPr>
              <w:jc w:val="center"/>
              <w:rPr>
                <w:rFonts w:eastAsia="Times New Roman"/>
              </w:rPr>
            </w:pPr>
            <w:r>
              <w:rPr>
                <w:rFonts w:ascii="Arial" w:eastAsia="Times New Roman" w:hAnsi="Arial" w:cs="Arial"/>
                <w:b/>
                <w:bCs/>
                <w:color w:val="000000"/>
                <w:sz w:val="16"/>
                <w:szCs w:val="16"/>
              </w:rPr>
              <w:t>2020</w:t>
            </w:r>
          </w:p>
        </w:tc>
      </w:tr>
      <w:tr w:rsidR="00000000" w14:paraId="1F6BD3F8" w14:textId="77777777">
        <w:trPr>
          <w:divId w:val="201387204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0D2D4C" w14:textId="77777777" w:rsidR="00000000" w:rsidRDefault="00C01C43">
            <w:pPr>
              <w:rPr>
                <w:rFonts w:eastAsia="Times New Roman"/>
              </w:rPr>
            </w:pPr>
            <w:r>
              <w:rPr>
                <w:rFonts w:ascii="Arial" w:eastAsia="Times New Roman" w:hAnsi="Arial" w:cs="Arial"/>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8F9925"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F306CC" w14:textId="77777777" w:rsidR="00000000" w:rsidRDefault="00C01C43">
            <w:pPr>
              <w:jc w:val="right"/>
              <w:rPr>
                <w:rFonts w:eastAsia="Times New Roman"/>
              </w:rPr>
            </w:pPr>
            <w:r>
              <w:rPr>
                <w:rFonts w:ascii="Arial" w:eastAsia="Times New Roman" w:hAnsi="Arial" w:cs="Arial"/>
                <w:color w:val="000000"/>
                <w:sz w:val="20"/>
                <w:szCs w:val="20"/>
              </w:rPr>
              <w:t>8,015.2 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58783B"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094B25"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94B0D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521A19" w14:textId="77777777" w:rsidR="00000000" w:rsidRDefault="00C01C43">
            <w:pPr>
              <w:jc w:val="right"/>
              <w:rPr>
                <w:rFonts w:eastAsia="Times New Roman"/>
              </w:rPr>
            </w:pPr>
            <w:r>
              <w:rPr>
                <w:rFonts w:ascii="Arial" w:eastAsia="Times New Roman" w:hAnsi="Arial" w:cs="Arial"/>
                <w:color w:val="000000"/>
                <w:sz w:val="20"/>
                <w:szCs w:val="20"/>
              </w:rPr>
              <w:t>3,158.3 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C02F09"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D95326"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579B5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EF3DD5" w14:textId="77777777" w:rsidR="00000000" w:rsidRDefault="00C01C43">
            <w:pPr>
              <w:jc w:val="right"/>
              <w:rPr>
                <w:rFonts w:eastAsia="Times New Roman"/>
              </w:rPr>
            </w:pPr>
            <w:r>
              <w:rPr>
                <w:rFonts w:ascii="Arial" w:eastAsia="Times New Roman" w:hAnsi="Arial" w:cs="Arial"/>
                <w:color w:val="000000"/>
                <w:sz w:val="20"/>
                <w:szCs w:val="20"/>
              </w:rPr>
              <w:t>4,482.7 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23FD6D"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BE31EB"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8DA66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350FA3" w14:textId="77777777" w:rsidR="00000000" w:rsidRDefault="00C01C43">
            <w:pPr>
              <w:jc w:val="right"/>
              <w:rPr>
                <w:rFonts w:eastAsia="Times New Roman"/>
              </w:rPr>
            </w:pPr>
            <w:r>
              <w:rPr>
                <w:rFonts w:ascii="Arial" w:eastAsia="Times New Roman" w:hAnsi="Arial" w:cs="Arial"/>
                <w:color w:val="000000"/>
                <w:sz w:val="20"/>
                <w:szCs w:val="20"/>
              </w:rPr>
              <w:t>4,702.1 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A5D1BC" w14:textId="77777777" w:rsidR="00000000" w:rsidRDefault="00C01C43">
            <w:pPr>
              <w:jc w:val="right"/>
              <w:rPr>
                <w:rFonts w:eastAsia="Times New Roman"/>
              </w:rPr>
            </w:pPr>
          </w:p>
        </w:tc>
      </w:tr>
      <w:tr w:rsidR="00000000" w14:paraId="2ACC0789" w14:textId="77777777">
        <w:trPr>
          <w:divId w:val="2013872049"/>
        </w:trPr>
        <w:tc>
          <w:tcPr>
            <w:tcW w:w="0" w:type="auto"/>
            <w:gridSpan w:val="3"/>
            <w:tcBorders>
              <w:top w:val="double" w:sz="6" w:space="0" w:color="000000"/>
            </w:tcBorders>
            <w:tcMar>
              <w:top w:w="30" w:type="dxa"/>
              <w:left w:w="20" w:type="dxa"/>
              <w:bottom w:w="30" w:type="dxa"/>
              <w:right w:w="20" w:type="dxa"/>
            </w:tcMar>
            <w:vAlign w:val="bottom"/>
            <w:hideMark/>
          </w:tcPr>
          <w:p w14:paraId="06AF8D31" w14:textId="77777777" w:rsidR="00000000" w:rsidRDefault="00C01C43">
            <w:pPr>
              <w:rPr>
                <w:rFonts w:eastAsia="Times New Roman"/>
              </w:rPr>
            </w:pPr>
            <w:r>
              <w:rPr>
                <w:rFonts w:ascii="Arial" w:eastAsia="Times New Roman" w:hAnsi="Arial" w:cs="Arial"/>
                <w:color w:val="000000"/>
                <w:sz w:val="20"/>
                <w:szCs w:val="20"/>
              </w:rPr>
              <w:t>Gross profit</w:t>
            </w:r>
          </w:p>
        </w:tc>
        <w:tc>
          <w:tcPr>
            <w:tcW w:w="0" w:type="auto"/>
            <w:tcBorders>
              <w:top w:val="double" w:sz="6" w:space="0" w:color="000000"/>
            </w:tcBorders>
            <w:tcMar>
              <w:top w:w="30" w:type="dxa"/>
              <w:left w:w="20" w:type="dxa"/>
              <w:bottom w:w="30" w:type="dxa"/>
              <w:right w:w="0" w:type="dxa"/>
            </w:tcMar>
            <w:vAlign w:val="bottom"/>
            <w:hideMark/>
          </w:tcPr>
          <w:p w14:paraId="17C837D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7712FEEE" w14:textId="77777777" w:rsidR="00000000" w:rsidRDefault="00C01C43">
            <w:pPr>
              <w:jc w:val="right"/>
              <w:rPr>
                <w:rFonts w:eastAsia="Times New Roman"/>
              </w:rPr>
            </w:pPr>
            <w:r>
              <w:rPr>
                <w:rFonts w:ascii="Arial" w:eastAsia="Times New Roman" w:hAnsi="Arial" w:cs="Arial"/>
                <w:color w:val="000000"/>
                <w:sz w:val="20"/>
                <w:szCs w:val="20"/>
              </w:rPr>
              <w:t>258.7 </w:t>
            </w:r>
          </w:p>
        </w:tc>
        <w:tc>
          <w:tcPr>
            <w:tcW w:w="0" w:type="auto"/>
            <w:tcBorders>
              <w:top w:val="double" w:sz="6" w:space="0" w:color="000000"/>
            </w:tcBorders>
            <w:tcMar>
              <w:top w:w="30" w:type="dxa"/>
              <w:left w:w="0" w:type="dxa"/>
              <w:bottom w:w="30" w:type="dxa"/>
              <w:right w:w="20" w:type="dxa"/>
            </w:tcMar>
            <w:vAlign w:val="bottom"/>
            <w:hideMark/>
          </w:tcPr>
          <w:p w14:paraId="2ECAE9C5" w14:textId="77777777" w:rsidR="00000000" w:rsidRDefault="00C01C43">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39770767" w14:textId="77777777" w:rsidR="00000000" w:rsidRDefault="00C01C43">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2663D648"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5F205628" w14:textId="77777777" w:rsidR="00000000" w:rsidRDefault="00C01C43">
            <w:pPr>
              <w:jc w:val="right"/>
              <w:rPr>
                <w:rFonts w:eastAsia="Times New Roman"/>
              </w:rPr>
            </w:pPr>
            <w:r>
              <w:rPr>
                <w:rFonts w:ascii="Arial" w:eastAsia="Times New Roman" w:hAnsi="Arial" w:cs="Arial"/>
                <w:color w:val="000000"/>
                <w:sz w:val="20"/>
                <w:szCs w:val="20"/>
              </w:rPr>
              <w:t>213.9 </w:t>
            </w:r>
          </w:p>
        </w:tc>
        <w:tc>
          <w:tcPr>
            <w:tcW w:w="0" w:type="auto"/>
            <w:tcBorders>
              <w:top w:val="double" w:sz="6" w:space="0" w:color="000000"/>
            </w:tcBorders>
            <w:tcMar>
              <w:top w:w="30" w:type="dxa"/>
              <w:left w:w="0" w:type="dxa"/>
              <w:bottom w:w="30" w:type="dxa"/>
              <w:right w:w="20" w:type="dxa"/>
            </w:tcMar>
            <w:vAlign w:val="bottom"/>
            <w:hideMark/>
          </w:tcPr>
          <w:p w14:paraId="769619BD" w14:textId="77777777" w:rsidR="00000000" w:rsidRDefault="00C01C43">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7766665C" w14:textId="77777777" w:rsidR="00000000" w:rsidRDefault="00C01C43">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2E71DD9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614FDC86" w14:textId="77777777" w:rsidR="00000000" w:rsidRDefault="00C01C43">
            <w:pPr>
              <w:jc w:val="right"/>
              <w:rPr>
                <w:rFonts w:eastAsia="Times New Roman"/>
              </w:rPr>
            </w:pPr>
            <w:r>
              <w:rPr>
                <w:rFonts w:ascii="Arial" w:eastAsia="Times New Roman" w:hAnsi="Arial" w:cs="Arial"/>
                <w:color w:val="000000"/>
                <w:sz w:val="20"/>
                <w:szCs w:val="20"/>
              </w:rPr>
              <w:t>214.0 </w:t>
            </w:r>
          </w:p>
        </w:tc>
        <w:tc>
          <w:tcPr>
            <w:tcW w:w="0" w:type="auto"/>
            <w:tcBorders>
              <w:top w:val="double" w:sz="6" w:space="0" w:color="000000"/>
            </w:tcBorders>
            <w:tcMar>
              <w:top w:w="30" w:type="dxa"/>
              <w:left w:w="0" w:type="dxa"/>
              <w:bottom w:w="30" w:type="dxa"/>
              <w:right w:w="20" w:type="dxa"/>
            </w:tcMar>
            <w:vAlign w:val="bottom"/>
            <w:hideMark/>
          </w:tcPr>
          <w:p w14:paraId="4FCBF09F" w14:textId="77777777" w:rsidR="00000000" w:rsidRDefault="00C01C43">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5DDAEBD6" w14:textId="77777777" w:rsidR="00000000" w:rsidRDefault="00C01C43">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3296560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4C6FD403" w14:textId="77777777" w:rsidR="00000000" w:rsidRDefault="00C01C43">
            <w:pPr>
              <w:jc w:val="right"/>
              <w:rPr>
                <w:rFonts w:eastAsia="Times New Roman"/>
              </w:rPr>
            </w:pPr>
            <w:r>
              <w:rPr>
                <w:rFonts w:ascii="Arial" w:eastAsia="Times New Roman" w:hAnsi="Arial" w:cs="Arial"/>
                <w:color w:val="000000"/>
                <w:sz w:val="20"/>
                <w:szCs w:val="20"/>
              </w:rPr>
              <w:t>165.2 </w:t>
            </w:r>
          </w:p>
        </w:tc>
        <w:tc>
          <w:tcPr>
            <w:tcW w:w="0" w:type="auto"/>
            <w:tcBorders>
              <w:top w:val="double" w:sz="6" w:space="0" w:color="000000"/>
            </w:tcBorders>
            <w:tcMar>
              <w:top w:w="30" w:type="dxa"/>
              <w:left w:w="0" w:type="dxa"/>
              <w:bottom w:w="30" w:type="dxa"/>
              <w:right w:w="20" w:type="dxa"/>
            </w:tcMar>
            <w:vAlign w:val="bottom"/>
            <w:hideMark/>
          </w:tcPr>
          <w:p w14:paraId="79256621" w14:textId="77777777" w:rsidR="00000000" w:rsidRDefault="00C01C43">
            <w:pPr>
              <w:jc w:val="right"/>
              <w:rPr>
                <w:rFonts w:eastAsia="Times New Roman"/>
              </w:rPr>
            </w:pPr>
          </w:p>
        </w:tc>
      </w:tr>
      <w:tr w:rsidR="00000000" w14:paraId="39148724" w14:textId="77777777">
        <w:trPr>
          <w:divId w:val="2013872049"/>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049DCDF" w14:textId="77777777" w:rsidR="00000000" w:rsidRDefault="00C01C43">
            <w:pPr>
              <w:rPr>
                <w:rFonts w:eastAsia="Times New Roman"/>
              </w:rPr>
            </w:pPr>
            <w:r>
              <w:rPr>
                <w:rFonts w:ascii="Arial" w:eastAsia="Times New Roman" w:hAnsi="Arial" w:cs="Arial"/>
                <w:color w:val="000000"/>
                <w:sz w:val="20"/>
                <w:szCs w:val="20"/>
              </w:rPr>
              <w:t>Net income (loss) including noncontrolling interest</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CAB498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22FA252" w14:textId="77777777" w:rsidR="00000000" w:rsidRDefault="00C01C43">
            <w:pPr>
              <w:jc w:val="right"/>
              <w:rPr>
                <w:rFonts w:eastAsia="Times New Roman"/>
              </w:rPr>
            </w:pPr>
            <w:r>
              <w:rPr>
                <w:rFonts w:ascii="Arial" w:eastAsia="Times New Roman" w:hAnsi="Arial" w:cs="Arial"/>
                <w:color w:val="000000"/>
                <w:sz w:val="20"/>
                <w:szCs w:val="20"/>
              </w:rPr>
              <w:t>41.6 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872F010"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C709292" w14:textId="77777777" w:rsidR="00000000" w:rsidRDefault="00C01C4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5B3AF1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950430A" w14:textId="77777777" w:rsidR="00000000" w:rsidRDefault="00C01C43">
            <w:pPr>
              <w:jc w:val="right"/>
              <w:rPr>
                <w:rFonts w:eastAsia="Times New Roman"/>
              </w:rPr>
            </w:pPr>
            <w:r>
              <w:rPr>
                <w:rFonts w:ascii="Arial" w:eastAsia="Times New Roman" w:hAnsi="Arial" w:cs="Arial"/>
                <w:color w:val="000000"/>
                <w:sz w:val="20"/>
                <w:szCs w:val="20"/>
              </w:rPr>
              <w:t>(10.7)</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728E05B"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633B124" w14:textId="77777777" w:rsidR="00000000" w:rsidRDefault="00C01C4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81F80C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B9B3B50" w14:textId="77777777" w:rsidR="00000000" w:rsidRDefault="00C01C43">
            <w:pPr>
              <w:jc w:val="right"/>
              <w:rPr>
                <w:rFonts w:eastAsia="Times New Roman"/>
              </w:rPr>
            </w:pPr>
            <w:r>
              <w:rPr>
                <w:rFonts w:ascii="Arial" w:eastAsia="Times New Roman" w:hAnsi="Arial" w:cs="Arial"/>
                <w:color w:val="000000"/>
                <w:sz w:val="20"/>
                <w:szCs w:val="20"/>
              </w:rPr>
              <w:t>82.4 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D3F45AE"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F60E0FB" w14:textId="77777777" w:rsidR="00000000" w:rsidRDefault="00C01C4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2A3BC9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E862081" w14:textId="77777777" w:rsidR="00000000" w:rsidRDefault="00C01C43">
            <w:pPr>
              <w:jc w:val="right"/>
              <w:rPr>
                <w:rFonts w:eastAsia="Times New Roman"/>
              </w:rPr>
            </w:pPr>
            <w:r>
              <w:rPr>
                <w:rFonts w:ascii="Arial" w:eastAsia="Times New Roman" w:hAnsi="Arial" w:cs="Arial"/>
                <w:color w:val="000000"/>
                <w:sz w:val="20"/>
                <w:szCs w:val="20"/>
              </w:rPr>
              <w:t>(3.8)</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A99CB2E" w14:textId="77777777" w:rsidR="00000000" w:rsidRDefault="00C01C43">
            <w:pPr>
              <w:jc w:val="right"/>
              <w:rPr>
                <w:rFonts w:eastAsia="Times New Roman"/>
              </w:rPr>
            </w:pPr>
          </w:p>
        </w:tc>
      </w:tr>
      <w:tr w:rsidR="00000000" w14:paraId="6976FC63" w14:textId="77777777">
        <w:trPr>
          <w:divId w:val="2013872049"/>
        </w:trPr>
        <w:tc>
          <w:tcPr>
            <w:tcW w:w="0" w:type="auto"/>
            <w:gridSpan w:val="3"/>
            <w:tcBorders>
              <w:top w:val="double" w:sz="6" w:space="0" w:color="000000"/>
            </w:tcBorders>
            <w:tcMar>
              <w:top w:w="30" w:type="dxa"/>
              <w:left w:w="20" w:type="dxa"/>
              <w:bottom w:w="30" w:type="dxa"/>
              <w:right w:w="20" w:type="dxa"/>
            </w:tcMar>
            <w:vAlign w:val="bottom"/>
            <w:hideMark/>
          </w:tcPr>
          <w:p w14:paraId="63914B57" w14:textId="77777777" w:rsidR="00000000" w:rsidRDefault="00C01C43">
            <w:pPr>
              <w:rPr>
                <w:rFonts w:eastAsia="Times New Roman"/>
              </w:rPr>
            </w:pPr>
            <w:r>
              <w:rPr>
                <w:rFonts w:ascii="Arial" w:eastAsia="Times New Roman" w:hAnsi="Arial" w:cs="Arial"/>
                <w:color w:val="000000"/>
                <w:sz w:val="20"/>
                <w:szCs w:val="20"/>
              </w:rPr>
              <w:t>Net income (loss) attributable to World Fuel</w:t>
            </w:r>
          </w:p>
        </w:tc>
        <w:tc>
          <w:tcPr>
            <w:tcW w:w="0" w:type="auto"/>
            <w:tcBorders>
              <w:top w:val="double" w:sz="6" w:space="0" w:color="000000"/>
            </w:tcBorders>
            <w:tcMar>
              <w:top w:w="30" w:type="dxa"/>
              <w:left w:w="20" w:type="dxa"/>
              <w:bottom w:w="30" w:type="dxa"/>
              <w:right w:w="0" w:type="dxa"/>
            </w:tcMar>
            <w:vAlign w:val="bottom"/>
            <w:hideMark/>
          </w:tcPr>
          <w:p w14:paraId="58042B9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3308F14F" w14:textId="77777777" w:rsidR="00000000" w:rsidRDefault="00C01C43">
            <w:pPr>
              <w:jc w:val="right"/>
              <w:rPr>
                <w:rFonts w:eastAsia="Times New Roman"/>
              </w:rPr>
            </w:pPr>
            <w:r>
              <w:rPr>
                <w:rFonts w:ascii="Arial" w:eastAsia="Times New Roman" w:hAnsi="Arial" w:cs="Arial"/>
                <w:color w:val="000000"/>
                <w:sz w:val="20"/>
                <w:szCs w:val="20"/>
              </w:rPr>
              <w:t>41.4 </w:t>
            </w:r>
          </w:p>
        </w:tc>
        <w:tc>
          <w:tcPr>
            <w:tcW w:w="0" w:type="auto"/>
            <w:tcBorders>
              <w:top w:val="double" w:sz="6" w:space="0" w:color="000000"/>
            </w:tcBorders>
            <w:tcMar>
              <w:top w:w="30" w:type="dxa"/>
              <w:left w:w="0" w:type="dxa"/>
              <w:bottom w:w="30" w:type="dxa"/>
              <w:right w:w="20" w:type="dxa"/>
            </w:tcMar>
            <w:vAlign w:val="bottom"/>
            <w:hideMark/>
          </w:tcPr>
          <w:p w14:paraId="791E390A" w14:textId="77777777" w:rsidR="00000000" w:rsidRDefault="00C01C43">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177F3091" w14:textId="77777777" w:rsidR="00000000" w:rsidRDefault="00C01C43">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0576EEF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3EB932DF" w14:textId="77777777" w:rsidR="00000000" w:rsidRDefault="00C01C43">
            <w:pPr>
              <w:jc w:val="right"/>
              <w:rPr>
                <w:rFonts w:eastAsia="Times New Roman"/>
              </w:rPr>
            </w:pPr>
            <w:r>
              <w:rPr>
                <w:rFonts w:ascii="Arial" w:eastAsia="Times New Roman" w:hAnsi="Arial" w:cs="Arial"/>
                <w:color w:val="000000"/>
                <w:sz w:val="20"/>
                <w:szCs w:val="20"/>
              </w:rPr>
              <w:t>(10.2)</w:t>
            </w:r>
          </w:p>
        </w:tc>
        <w:tc>
          <w:tcPr>
            <w:tcW w:w="0" w:type="auto"/>
            <w:tcBorders>
              <w:top w:val="double" w:sz="6" w:space="0" w:color="000000"/>
            </w:tcBorders>
            <w:tcMar>
              <w:top w:w="30" w:type="dxa"/>
              <w:left w:w="0" w:type="dxa"/>
              <w:bottom w:w="30" w:type="dxa"/>
              <w:right w:w="20" w:type="dxa"/>
            </w:tcMar>
            <w:vAlign w:val="bottom"/>
            <w:hideMark/>
          </w:tcPr>
          <w:p w14:paraId="61E16C00" w14:textId="77777777" w:rsidR="00000000" w:rsidRDefault="00C01C43">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1FF937C9" w14:textId="77777777" w:rsidR="00000000" w:rsidRDefault="00C01C43">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36DDD03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7688CE26" w14:textId="77777777" w:rsidR="00000000" w:rsidRDefault="00C01C43">
            <w:pPr>
              <w:jc w:val="right"/>
              <w:rPr>
                <w:rFonts w:eastAsia="Times New Roman"/>
              </w:rPr>
            </w:pPr>
            <w:r>
              <w:rPr>
                <w:rFonts w:ascii="Arial" w:eastAsia="Times New Roman" w:hAnsi="Arial" w:cs="Arial"/>
                <w:color w:val="000000"/>
                <w:sz w:val="20"/>
                <w:szCs w:val="20"/>
              </w:rPr>
              <w:t>82.0 </w:t>
            </w:r>
          </w:p>
        </w:tc>
        <w:tc>
          <w:tcPr>
            <w:tcW w:w="0" w:type="auto"/>
            <w:tcBorders>
              <w:top w:val="double" w:sz="6" w:space="0" w:color="000000"/>
            </w:tcBorders>
            <w:tcMar>
              <w:top w:w="30" w:type="dxa"/>
              <w:left w:w="0" w:type="dxa"/>
              <w:bottom w:w="30" w:type="dxa"/>
              <w:right w:w="20" w:type="dxa"/>
            </w:tcMar>
            <w:vAlign w:val="bottom"/>
            <w:hideMark/>
          </w:tcPr>
          <w:p w14:paraId="79598CA6" w14:textId="77777777" w:rsidR="00000000" w:rsidRDefault="00C01C43">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7B75BE74" w14:textId="77777777" w:rsidR="00000000" w:rsidRDefault="00C01C43">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6F18559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13992A0D" w14:textId="77777777" w:rsidR="00000000" w:rsidRDefault="00C01C43">
            <w:pPr>
              <w:jc w:val="right"/>
              <w:rPr>
                <w:rFonts w:eastAsia="Times New Roman"/>
              </w:rPr>
            </w:pPr>
            <w:r>
              <w:rPr>
                <w:rFonts w:ascii="Arial" w:eastAsia="Times New Roman" w:hAnsi="Arial" w:cs="Arial"/>
                <w:color w:val="000000"/>
                <w:sz w:val="20"/>
                <w:szCs w:val="20"/>
              </w:rPr>
              <w:t>(3.6)</w:t>
            </w:r>
          </w:p>
        </w:tc>
        <w:tc>
          <w:tcPr>
            <w:tcW w:w="0" w:type="auto"/>
            <w:tcBorders>
              <w:top w:val="double" w:sz="6" w:space="0" w:color="000000"/>
            </w:tcBorders>
            <w:tcMar>
              <w:top w:w="30" w:type="dxa"/>
              <w:left w:w="0" w:type="dxa"/>
              <w:bottom w:w="30" w:type="dxa"/>
              <w:right w:w="20" w:type="dxa"/>
            </w:tcMar>
            <w:vAlign w:val="bottom"/>
            <w:hideMark/>
          </w:tcPr>
          <w:p w14:paraId="75EEE93F" w14:textId="77777777" w:rsidR="00000000" w:rsidRDefault="00C01C43">
            <w:pPr>
              <w:jc w:val="right"/>
              <w:rPr>
                <w:rFonts w:eastAsia="Times New Roman"/>
              </w:rPr>
            </w:pPr>
          </w:p>
        </w:tc>
      </w:tr>
      <w:tr w:rsidR="00000000" w14:paraId="463E530E" w14:textId="77777777">
        <w:trPr>
          <w:divId w:val="2013872049"/>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4BD4E64" w14:textId="77777777" w:rsidR="00000000" w:rsidRDefault="00C01C43">
            <w:pPr>
              <w:divId w:val="648555630"/>
              <w:rPr>
                <w:rFonts w:eastAsia="Times New Roman"/>
              </w:rPr>
            </w:pPr>
            <w:r>
              <w:rPr>
                <w:rFonts w:ascii="Arial" w:eastAsia="Times New Roman" w:hAnsi="Arial" w:cs="Arial"/>
                <w:color w:val="000000"/>
                <w:sz w:val="20"/>
                <w:szCs w:val="20"/>
              </w:rPr>
              <w:t>Basic earnings (loss) per common share</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D74FF6F"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C782C80" w14:textId="77777777" w:rsidR="00000000" w:rsidRDefault="00C01C43">
            <w:pPr>
              <w:jc w:val="right"/>
              <w:rPr>
                <w:rFonts w:eastAsia="Times New Roman"/>
              </w:rPr>
            </w:pPr>
            <w:r>
              <w:rPr>
                <w:rFonts w:ascii="Arial" w:eastAsia="Times New Roman" w:hAnsi="Arial" w:cs="Arial"/>
                <w:color w:val="000000"/>
                <w:sz w:val="20"/>
                <w:szCs w:val="20"/>
              </w:rPr>
              <w:t>0.64 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95008E9"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E72A763" w14:textId="77777777" w:rsidR="00000000" w:rsidRDefault="00C01C4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F8C6B84"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90565AA" w14:textId="77777777" w:rsidR="00000000" w:rsidRDefault="00C01C43">
            <w:pPr>
              <w:jc w:val="right"/>
              <w:rPr>
                <w:rFonts w:eastAsia="Times New Roman"/>
              </w:rPr>
            </w:pPr>
            <w:r>
              <w:rPr>
                <w:rFonts w:ascii="Arial" w:eastAsia="Times New Roman" w:hAnsi="Arial" w:cs="Arial"/>
                <w:color w:val="000000"/>
                <w:sz w:val="20"/>
                <w:szCs w:val="20"/>
              </w:rPr>
              <w:t>(0.16)</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F1A2C3D"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A1FCED6" w14:textId="77777777" w:rsidR="00000000" w:rsidRDefault="00C01C4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14EEE2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C139601" w14:textId="77777777" w:rsidR="00000000" w:rsidRDefault="00C01C43">
            <w:pPr>
              <w:jc w:val="right"/>
              <w:rPr>
                <w:rFonts w:eastAsia="Times New Roman"/>
              </w:rPr>
            </w:pPr>
            <w:r>
              <w:rPr>
                <w:rFonts w:ascii="Arial" w:eastAsia="Times New Roman" w:hAnsi="Arial" w:cs="Arial"/>
                <w:color w:val="000000"/>
                <w:sz w:val="20"/>
                <w:szCs w:val="20"/>
              </w:rPr>
              <w:t>1.29 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66E688C"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ADA7F0" w14:textId="77777777" w:rsidR="00000000" w:rsidRDefault="00C01C4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5107D4C"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4A3C805" w14:textId="77777777" w:rsidR="00000000" w:rsidRDefault="00C01C43">
            <w:pPr>
              <w:jc w:val="right"/>
              <w:rPr>
                <w:rFonts w:eastAsia="Times New Roman"/>
              </w:rPr>
            </w:pPr>
            <w:r>
              <w:rPr>
                <w:rFonts w:ascii="Arial" w:eastAsia="Times New Roman" w:hAnsi="Arial" w:cs="Arial"/>
                <w:color w:val="000000"/>
                <w:sz w:val="20"/>
                <w:szCs w:val="20"/>
              </w:rPr>
              <w:t>(0.06)</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A3D2195" w14:textId="77777777" w:rsidR="00000000" w:rsidRDefault="00C01C43">
            <w:pPr>
              <w:jc w:val="right"/>
              <w:rPr>
                <w:rFonts w:eastAsia="Times New Roman"/>
              </w:rPr>
            </w:pPr>
          </w:p>
        </w:tc>
      </w:tr>
      <w:tr w:rsidR="00000000" w14:paraId="6408CE47" w14:textId="77777777">
        <w:trPr>
          <w:divId w:val="2013872049"/>
        </w:trPr>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14:paraId="60051893" w14:textId="77777777" w:rsidR="00000000" w:rsidRDefault="00C01C43">
            <w:pPr>
              <w:divId w:val="20523235"/>
              <w:rPr>
                <w:rFonts w:eastAsia="Times New Roman"/>
              </w:rPr>
            </w:pPr>
            <w:r>
              <w:rPr>
                <w:rFonts w:ascii="Arial" w:eastAsia="Times New Roman" w:hAnsi="Arial" w:cs="Arial"/>
                <w:color w:val="000000"/>
                <w:sz w:val="20"/>
                <w:szCs w:val="20"/>
              </w:rPr>
              <w:t>Diluted earnings (loss) per common share</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14:paraId="3E8CAD19"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35D96EED" w14:textId="77777777" w:rsidR="00000000" w:rsidRDefault="00C01C43">
            <w:pPr>
              <w:jc w:val="right"/>
              <w:rPr>
                <w:rFonts w:eastAsia="Times New Roman"/>
              </w:rPr>
            </w:pPr>
            <w:r>
              <w:rPr>
                <w:rFonts w:ascii="Arial" w:eastAsia="Times New Roman" w:hAnsi="Arial" w:cs="Arial"/>
                <w:color w:val="000000"/>
                <w:sz w:val="20"/>
                <w:szCs w:val="20"/>
              </w:rPr>
              <w:t>0.63 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14:paraId="71814194" w14:textId="77777777" w:rsidR="00000000" w:rsidRDefault="00C01C43">
            <w:pPr>
              <w:jc w:val="right"/>
              <w:rPr>
                <w:rFonts w:eastAsia="Times New Roman"/>
              </w:rPr>
            </w:pPr>
          </w:p>
        </w:tc>
        <w:tc>
          <w:tcPr>
            <w:tcW w:w="0" w:type="auto"/>
            <w:gridSpan w:val="3"/>
            <w:tcBorders>
              <w:top w:val="double" w:sz="6" w:space="0" w:color="000000"/>
              <w:bottom w:val="double" w:sz="6" w:space="0" w:color="000000"/>
            </w:tcBorders>
            <w:tcMar>
              <w:top w:w="0" w:type="dxa"/>
              <w:left w:w="20" w:type="dxa"/>
              <w:bottom w:w="0" w:type="dxa"/>
              <w:right w:w="20" w:type="dxa"/>
            </w:tcMar>
            <w:vAlign w:val="center"/>
            <w:hideMark/>
          </w:tcPr>
          <w:p w14:paraId="06BDAF8C" w14:textId="77777777" w:rsidR="00000000" w:rsidRDefault="00C01C43">
            <w:pPr>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14:paraId="36044D2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E117D7B" w14:textId="77777777" w:rsidR="00000000" w:rsidRDefault="00C01C43">
            <w:pPr>
              <w:jc w:val="right"/>
              <w:rPr>
                <w:rFonts w:eastAsia="Times New Roman"/>
              </w:rPr>
            </w:pPr>
            <w:r>
              <w:rPr>
                <w:rFonts w:ascii="Arial" w:eastAsia="Times New Roman" w:hAnsi="Arial" w:cs="Arial"/>
                <w:color w:val="000000"/>
                <w:sz w:val="20"/>
                <w:szCs w:val="20"/>
              </w:rPr>
              <w:t>(0.16)</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14:paraId="6007B21F" w14:textId="77777777" w:rsidR="00000000" w:rsidRDefault="00C01C43">
            <w:pPr>
              <w:jc w:val="right"/>
              <w:rPr>
                <w:rFonts w:eastAsia="Times New Roman"/>
              </w:rPr>
            </w:pPr>
          </w:p>
        </w:tc>
        <w:tc>
          <w:tcPr>
            <w:tcW w:w="0" w:type="auto"/>
            <w:gridSpan w:val="3"/>
            <w:tcBorders>
              <w:top w:val="double" w:sz="6" w:space="0" w:color="000000"/>
              <w:bottom w:val="double" w:sz="6" w:space="0" w:color="000000"/>
            </w:tcBorders>
            <w:tcMar>
              <w:top w:w="0" w:type="dxa"/>
              <w:left w:w="20" w:type="dxa"/>
              <w:bottom w:w="0" w:type="dxa"/>
              <w:right w:w="20" w:type="dxa"/>
            </w:tcMar>
            <w:vAlign w:val="center"/>
            <w:hideMark/>
          </w:tcPr>
          <w:p w14:paraId="22493252" w14:textId="77777777" w:rsidR="00000000" w:rsidRDefault="00C01C43">
            <w:pPr>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14:paraId="6D1C2C35"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6CD8E4D6" w14:textId="77777777" w:rsidR="00000000" w:rsidRDefault="00C01C43">
            <w:pPr>
              <w:jc w:val="right"/>
              <w:rPr>
                <w:rFonts w:eastAsia="Times New Roman"/>
              </w:rPr>
            </w:pPr>
            <w:r>
              <w:rPr>
                <w:rFonts w:ascii="Arial" w:eastAsia="Times New Roman" w:hAnsi="Arial" w:cs="Arial"/>
                <w:color w:val="000000"/>
                <w:sz w:val="20"/>
                <w:szCs w:val="20"/>
              </w:rPr>
              <w:t>1.29 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14:paraId="57CFE20C" w14:textId="77777777" w:rsidR="00000000" w:rsidRDefault="00C01C43">
            <w:pPr>
              <w:jc w:val="right"/>
              <w:rPr>
                <w:rFonts w:eastAsia="Times New Roman"/>
              </w:rPr>
            </w:pPr>
          </w:p>
        </w:tc>
        <w:tc>
          <w:tcPr>
            <w:tcW w:w="0" w:type="auto"/>
            <w:gridSpan w:val="3"/>
            <w:tcBorders>
              <w:top w:val="double" w:sz="6" w:space="0" w:color="000000"/>
              <w:bottom w:val="double" w:sz="6" w:space="0" w:color="000000"/>
            </w:tcBorders>
            <w:tcMar>
              <w:top w:w="0" w:type="dxa"/>
              <w:left w:w="20" w:type="dxa"/>
              <w:bottom w:w="0" w:type="dxa"/>
              <w:right w:w="20" w:type="dxa"/>
            </w:tcMar>
            <w:vAlign w:val="center"/>
            <w:hideMark/>
          </w:tcPr>
          <w:p w14:paraId="5D1FCD62" w14:textId="77777777" w:rsidR="00000000" w:rsidRDefault="00C01C43">
            <w:pPr>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14:paraId="28171F7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A1DE8AD" w14:textId="77777777" w:rsidR="00000000" w:rsidRDefault="00C01C43">
            <w:pPr>
              <w:jc w:val="right"/>
              <w:rPr>
                <w:rFonts w:eastAsia="Times New Roman"/>
              </w:rPr>
            </w:pPr>
            <w:r>
              <w:rPr>
                <w:rFonts w:ascii="Arial" w:eastAsia="Times New Roman" w:hAnsi="Arial" w:cs="Arial"/>
                <w:color w:val="000000"/>
                <w:sz w:val="20"/>
                <w:szCs w:val="20"/>
              </w:rPr>
              <w:t>(0.06)</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14:paraId="0873F849" w14:textId="77777777" w:rsidR="00000000" w:rsidRDefault="00C01C43">
            <w:pPr>
              <w:jc w:val="right"/>
              <w:rPr>
                <w:rFonts w:eastAsia="Times New Roman"/>
              </w:rPr>
            </w:pPr>
          </w:p>
        </w:tc>
      </w:tr>
    </w:tbl>
    <w:tbl>
      <w:tblPr>
        <w:tblW w:w="4970" w:type="pct"/>
        <w:tblCellMar>
          <w:top w:w="15" w:type="dxa"/>
          <w:left w:w="15" w:type="dxa"/>
          <w:bottom w:w="15" w:type="dxa"/>
          <w:right w:w="15" w:type="dxa"/>
        </w:tblCellMar>
        <w:tblLook w:val="04A0" w:firstRow="1" w:lastRow="0" w:firstColumn="1" w:lastColumn="0" w:noHBand="0" w:noVBand="1"/>
      </w:tblPr>
      <w:tblGrid>
        <w:gridCol w:w="144"/>
        <w:gridCol w:w="3465"/>
        <w:gridCol w:w="144"/>
        <w:gridCol w:w="144"/>
        <w:gridCol w:w="1036"/>
        <w:gridCol w:w="144"/>
        <w:gridCol w:w="144"/>
        <w:gridCol w:w="144"/>
        <w:gridCol w:w="144"/>
        <w:gridCol w:w="144"/>
        <w:gridCol w:w="1036"/>
        <w:gridCol w:w="144"/>
        <w:gridCol w:w="144"/>
        <w:gridCol w:w="144"/>
        <w:gridCol w:w="144"/>
        <w:gridCol w:w="144"/>
        <w:gridCol w:w="1036"/>
        <w:gridCol w:w="144"/>
        <w:gridCol w:w="144"/>
        <w:gridCol w:w="144"/>
        <w:gridCol w:w="144"/>
        <w:gridCol w:w="144"/>
        <w:gridCol w:w="1036"/>
        <w:gridCol w:w="144"/>
      </w:tblGrid>
      <w:tr w:rsidR="00000000" w14:paraId="0196817F" w14:textId="77777777">
        <w:tc>
          <w:tcPr>
            <w:tcW w:w="50" w:type="pct"/>
            <w:vAlign w:val="center"/>
            <w:hideMark/>
          </w:tcPr>
          <w:p w14:paraId="40DE57C1" w14:textId="77777777" w:rsidR="00000000" w:rsidRDefault="00C01C43">
            <w:pPr>
              <w:rPr>
                <w:rFonts w:eastAsia="Times New Roman"/>
              </w:rPr>
            </w:pPr>
          </w:p>
        </w:tc>
        <w:tc>
          <w:tcPr>
            <w:tcW w:w="2099" w:type="pct"/>
            <w:vAlign w:val="center"/>
            <w:hideMark/>
          </w:tcPr>
          <w:p w14:paraId="2CD95869" w14:textId="77777777" w:rsidR="00000000" w:rsidRDefault="00C01C43">
            <w:pPr>
              <w:rPr>
                <w:rFonts w:eastAsia="Times New Roman"/>
                <w:sz w:val="20"/>
                <w:szCs w:val="20"/>
              </w:rPr>
            </w:pPr>
          </w:p>
        </w:tc>
        <w:tc>
          <w:tcPr>
            <w:tcW w:w="5" w:type="pct"/>
            <w:vAlign w:val="center"/>
            <w:hideMark/>
          </w:tcPr>
          <w:p w14:paraId="2921910F" w14:textId="77777777" w:rsidR="00000000" w:rsidRDefault="00C01C43">
            <w:pPr>
              <w:rPr>
                <w:rFonts w:eastAsia="Times New Roman"/>
                <w:sz w:val="20"/>
                <w:szCs w:val="20"/>
              </w:rPr>
            </w:pPr>
          </w:p>
        </w:tc>
        <w:tc>
          <w:tcPr>
            <w:tcW w:w="50" w:type="pct"/>
            <w:vAlign w:val="center"/>
            <w:hideMark/>
          </w:tcPr>
          <w:p w14:paraId="07C6A8EC" w14:textId="77777777" w:rsidR="00000000" w:rsidRDefault="00C01C43">
            <w:pPr>
              <w:rPr>
                <w:rFonts w:eastAsia="Times New Roman"/>
                <w:sz w:val="20"/>
                <w:szCs w:val="20"/>
              </w:rPr>
            </w:pPr>
          </w:p>
        </w:tc>
        <w:tc>
          <w:tcPr>
            <w:tcW w:w="628" w:type="pct"/>
            <w:vAlign w:val="center"/>
            <w:hideMark/>
          </w:tcPr>
          <w:p w14:paraId="6B4B0940" w14:textId="77777777" w:rsidR="00000000" w:rsidRDefault="00C01C43">
            <w:pPr>
              <w:rPr>
                <w:rFonts w:eastAsia="Times New Roman"/>
                <w:sz w:val="20"/>
                <w:szCs w:val="20"/>
              </w:rPr>
            </w:pPr>
          </w:p>
        </w:tc>
        <w:tc>
          <w:tcPr>
            <w:tcW w:w="5" w:type="pct"/>
            <w:vAlign w:val="center"/>
            <w:hideMark/>
          </w:tcPr>
          <w:p w14:paraId="38AEB9D6" w14:textId="77777777" w:rsidR="00000000" w:rsidRDefault="00C01C43">
            <w:pPr>
              <w:rPr>
                <w:rFonts w:eastAsia="Times New Roman"/>
                <w:sz w:val="20"/>
                <w:szCs w:val="20"/>
              </w:rPr>
            </w:pPr>
          </w:p>
        </w:tc>
        <w:tc>
          <w:tcPr>
            <w:tcW w:w="5" w:type="pct"/>
            <w:vAlign w:val="center"/>
            <w:hideMark/>
          </w:tcPr>
          <w:p w14:paraId="221C1BA3" w14:textId="77777777" w:rsidR="00000000" w:rsidRDefault="00C01C43">
            <w:pPr>
              <w:rPr>
                <w:rFonts w:eastAsia="Times New Roman"/>
                <w:sz w:val="20"/>
                <w:szCs w:val="20"/>
              </w:rPr>
            </w:pPr>
          </w:p>
        </w:tc>
        <w:tc>
          <w:tcPr>
            <w:tcW w:w="26" w:type="pct"/>
            <w:vAlign w:val="center"/>
            <w:hideMark/>
          </w:tcPr>
          <w:p w14:paraId="2B5D0E56" w14:textId="77777777" w:rsidR="00000000" w:rsidRDefault="00C01C43">
            <w:pPr>
              <w:rPr>
                <w:rFonts w:eastAsia="Times New Roman"/>
                <w:sz w:val="20"/>
                <w:szCs w:val="20"/>
              </w:rPr>
            </w:pPr>
          </w:p>
        </w:tc>
        <w:tc>
          <w:tcPr>
            <w:tcW w:w="5" w:type="pct"/>
            <w:vAlign w:val="center"/>
            <w:hideMark/>
          </w:tcPr>
          <w:p w14:paraId="2BFBD614" w14:textId="77777777" w:rsidR="00000000" w:rsidRDefault="00C01C43">
            <w:pPr>
              <w:rPr>
                <w:rFonts w:eastAsia="Times New Roman"/>
                <w:sz w:val="20"/>
                <w:szCs w:val="20"/>
              </w:rPr>
            </w:pPr>
          </w:p>
        </w:tc>
        <w:tc>
          <w:tcPr>
            <w:tcW w:w="50" w:type="pct"/>
            <w:vAlign w:val="center"/>
            <w:hideMark/>
          </w:tcPr>
          <w:p w14:paraId="77509920" w14:textId="77777777" w:rsidR="00000000" w:rsidRDefault="00C01C43">
            <w:pPr>
              <w:rPr>
                <w:rFonts w:eastAsia="Times New Roman"/>
                <w:sz w:val="20"/>
                <w:szCs w:val="20"/>
              </w:rPr>
            </w:pPr>
          </w:p>
        </w:tc>
        <w:tc>
          <w:tcPr>
            <w:tcW w:w="628" w:type="pct"/>
            <w:vAlign w:val="center"/>
            <w:hideMark/>
          </w:tcPr>
          <w:p w14:paraId="6A0F54FD" w14:textId="77777777" w:rsidR="00000000" w:rsidRDefault="00C01C43">
            <w:pPr>
              <w:rPr>
                <w:rFonts w:eastAsia="Times New Roman"/>
                <w:sz w:val="20"/>
                <w:szCs w:val="20"/>
              </w:rPr>
            </w:pPr>
          </w:p>
        </w:tc>
        <w:tc>
          <w:tcPr>
            <w:tcW w:w="5" w:type="pct"/>
            <w:vAlign w:val="center"/>
            <w:hideMark/>
          </w:tcPr>
          <w:p w14:paraId="693C4B32" w14:textId="77777777" w:rsidR="00000000" w:rsidRDefault="00C01C43">
            <w:pPr>
              <w:rPr>
                <w:rFonts w:eastAsia="Times New Roman"/>
                <w:sz w:val="20"/>
                <w:szCs w:val="20"/>
              </w:rPr>
            </w:pPr>
          </w:p>
        </w:tc>
        <w:tc>
          <w:tcPr>
            <w:tcW w:w="5" w:type="pct"/>
            <w:vAlign w:val="center"/>
            <w:hideMark/>
          </w:tcPr>
          <w:p w14:paraId="491D9C79" w14:textId="77777777" w:rsidR="00000000" w:rsidRDefault="00C01C43">
            <w:pPr>
              <w:rPr>
                <w:rFonts w:eastAsia="Times New Roman"/>
                <w:sz w:val="20"/>
                <w:szCs w:val="20"/>
              </w:rPr>
            </w:pPr>
          </w:p>
        </w:tc>
        <w:tc>
          <w:tcPr>
            <w:tcW w:w="26" w:type="pct"/>
            <w:vAlign w:val="center"/>
            <w:hideMark/>
          </w:tcPr>
          <w:p w14:paraId="1008A999" w14:textId="77777777" w:rsidR="00000000" w:rsidRDefault="00C01C43">
            <w:pPr>
              <w:rPr>
                <w:rFonts w:eastAsia="Times New Roman"/>
                <w:sz w:val="20"/>
                <w:szCs w:val="20"/>
              </w:rPr>
            </w:pPr>
          </w:p>
        </w:tc>
        <w:tc>
          <w:tcPr>
            <w:tcW w:w="5" w:type="pct"/>
            <w:vAlign w:val="center"/>
            <w:hideMark/>
          </w:tcPr>
          <w:p w14:paraId="375F0BAE" w14:textId="77777777" w:rsidR="00000000" w:rsidRDefault="00C01C43">
            <w:pPr>
              <w:rPr>
                <w:rFonts w:eastAsia="Times New Roman"/>
                <w:sz w:val="20"/>
                <w:szCs w:val="20"/>
              </w:rPr>
            </w:pPr>
          </w:p>
        </w:tc>
        <w:tc>
          <w:tcPr>
            <w:tcW w:w="50" w:type="pct"/>
            <w:vAlign w:val="center"/>
            <w:hideMark/>
          </w:tcPr>
          <w:p w14:paraId="544FD56C" w14:textId="77777777" w:rsidR="00000000" w:rsidRDefault="00C01C43">
            <w:pPr>
              <w:rPr>
                <w:rFonts w:eastAsia="Times New Roman"/>
                <w:sz w:val="20"/>
                <w:szCs w:val="20"/>
              </w:rPr>
            </w:pPr>
          </w:p>
        </w:tc>
        <w:tc>
          <w:tcPr>
            <w:tcW w:w="628" w:type="pct"/>
            <w:vAlign w:val="center"/>
            <w:hideMark/>
          </w:tcPr>
          <w:p w14:paraId="15BB6774" w14:textId="77777777" w:rsidR="00000000" w:rsidRDefault="00C01C43">
            <w:pPr>
              <w:rPr>
                <w:rFonts w:eastAsia="Times New Roman"/>
                <w:sz w:val="20"/>
                <w:szCs w:val="20"/>
              </w:rPr>
            </w:pPr>
          </w:p>
        </w:tc>
        <w:tc>
          <w:tcPr>
            <w:tcW w:w="5" w:type="pct"/>
            <w:vAlign w:val="center"/>
            <w:hideMark/>
          </w:tcPr>
          <w:p w14:paraId="517C911A" w14:textId="77777777" w:rsidR="00000000" w:rsidRDefault="00C01C43">
            <w:pPr>
              <w:rPr>
                <w:rFonts w:eastAsia="Times New Roman"/>
                <w:sz w:val="20"/>
                <w:szCs w:val="20"/>
              </w:rPr>
            </w:pPr>
          </w:p>
        </w:tc>
        <w:tc>
          <w:tcPr>
            <w:tcW w:w="5" w:type="pct"/>
            <w:vAlign w:val="center"/>
            <w:hideMark/>
          </w:tcPr>
          <w:p w14:paraId="32D7629F" w14:textId="77777777" w:rsidR="00000000" w:rsidRDefault="00C01C43">
            <w:pPr>
              <w:rPr>
                <w:rFonts w:eastAsia="Times New Roman"/>
                <w:sz w:val="20"/>
                <w:szCs w:val="20"/>
              </w:rPr>
            </w:pPr>
          </w:p>
        </w:tc>
        <w:tc>
          <w:tcPr>
            <w:tcW w:w="26" w:type="pct"/>
            <w:vAlign w:val="center"/>
            <w:hideMark/>
          </w:tcPr>
          <w:p w14:paraId="0BEF2EE1" w14:textId="77777777" w:rsidR="00000000" w:rsidRDefault="00C01C43">
            <w:pPr>
              <w:rPr>
                <w:rFonts w:eastAsia="Times New Roman"/>
                <w:sz w:val="20"/>
                <w:szCs w:val="20"/>
              </w:rPr>
            </w:pPr>
          </w:p>
        </w:tc>
        <w:tc>
          <w:tcPr>
            <w:tcW w:w="5" w:type="pct"/>
            <w:vAlign w:val="center"/>
            <w:hideMark/>
          </w:tcPr>
          <w:p w14:paraId="71E61B4B" w14:textId="77777777" w:rsidR="00000000" w:rsidRDefault="00C01C43">
            <w:pPr>
              <w:rPr>
                <w:rFonts w:eastAsia="Times New Roman"/>
                <w:sz w:val="20"/>
                <w:szCs w:val="20"/>
              </w:rPr>
            </w:pPr>
          </w:p>
        </w:tc>
        <w:tc>
          <w:tcPr>
            <w:tcW w:w="50" w:type="pct"/>
            <w:vAlign w:val="center"/>
            <w:hideMark/>
          </w:tcPr>
          <w:p w14:paraId="23B1F6DF" w14:textId="77777777" w:rsidR="00000000" w:rsidRDefault="00C01C43">
            <w:pPr>
              <w:rPr>
                <w:rFonts w:eastAsia="Times New Roman"/>
                <w:sz w:val="20"/>
                <w:szCs w:val="20"/>
              </w:rPr>
            </w:pPr>
          </w:p>
        </w:tc>
        <w:tc>
          <w:tcPr>
            <w:tcW w:w="628" w:type="pct"/>
            <w:vAlign w:val="center"/>
            <w:hideMark/>
          </w:tcPr>
          <w:p w14:paraId="7D588EC4" w14:textId="77777777" w:rsidR="00000000" w:rsidRDefault="00C01C43">
            <w:pPr>
              <w:rPr>
                <w:rFonts w:eastAsia="Times New Roman"/>
                <w:sz w:val="20"/>
                <w:szCs w:val="20"/>
              </w:rPr>
            </w:pPr>
          </w:p>
        </w:tc>
        <w:tc>
          <w:tcPr>
            <w:tcW w:w="5" w:type="pct"/>
            <w:vAlign w:val="center"/>
            <w:hideMark/>
          </w:tcPr>
          <w:p w14:paraId="4969F987" w14:textId="77777777" w:rsidR="00000000" w:rsidRDefault="00C01C43">
            <w:pPr>
              <w:rPr>
                <w:rFonts w:eastAsia="Times New Roman"/>
                <w:sz w:val="20"/>
                <w:szCs w:val="20"/>
              </w:rPr>
            </w:pPr>
          </w:p>
        </w:tc>
      </w:tr>
      <w:tr w:rsidR="00000000" w14:paraId="1A700322" w14:textId="77777777">
        <w:tc>
          <w:tcPr>
            <w:tcW w:w="0" w:type="auto"/>
            <w:gridSpan w:val="3"/>
            <w:tcMar>
              <w:top w:w="0" w:type="dxa"/>
              <w:left w:w="20" w:type="dxa"/>
              <w:bottom w:w="0" w:type="dxa"/>
              <w:right w:w="20" w:type="dxa"/>
            </w:tcMar>
            <w:vAlign w:val="center"/>
            <w:hideMark/>
          </w:tcPr>
          <w:p w14:paraId="05F28343" w14:textId="77777777" w:rsidR="00000000" w:rsidRDefault="00C01C43">
            <w:pPr>
              <w:rPr>
                <w:rFonts w:eastAsia="Times New Roman"/>
                <w:sz w:val="20"/>
                <w:szCs w:val="20"/>
              </w:rPr>
            </w:pPr>
          </w:p>
        </w:tc>
        <w:tc>
          <w:tcPr>
            <w:tcW w:w="0" w:type="auto"/>
            <w:gridSpan w:val="3"/>
            <w:tcMar>
              <w:top w:w="30" w:type="dxa"/>
              <w:left w:w="20" w:type="dxa"/>
              <w:bottom w:w="30" w:type="dxa"/>
              <w:right w:w="20" w:type="dxa"/>
            </w:tcMar>
            <w:vAlign w:val="bottom"/>
            <w:hideMark/>
          </w:tcPr>
          <w:p w14:paraId="43A25591" w14:textId="77777777" w:rsidR="00000000" w:rsidRDefault="00C01C43">
            <w:pPr>
              <w:jc w:val="center"/>
              <w:rPr>
                <w:rFonts w:eastAsia="Times New Roman"/>
              </w:rPr>
            </w:pPr>
            <w:r>
              <w:rPr>
                <w:rFonts w:ascii="Arial" w:eastAsia="Times New Roman" w:hAnsi="Arial" w:cs="Arial"/>
                <w:b/>
                <w:bCs/>
                <w:color w:val="000000"/>
                <w:sz w:val="16"/>
                <w:szCs w:val="16"/>
              </w:rPr>
              <w:t>March 31,</w:t>
            </w:r>
          </w:p>
        </w:tc>
        <w:tc>
          <w:tcPr>
            <w:tcW w:w="0" w:type="auto"/>
            <w:gridSpan w:val="3"/>
            <w:tcMar>
              <w:top w:w="0" w:type="dxa"/>
              <w:left w:w="20" w:type="dxa"/>
              <w:bottom w:w="0" w:type="dxa"/>
              <w:right w:w="20" w:type="dxa"/>
            </w:tcMar>
            <w:vAlign w:val="center"/>
            <w:hideMark/>
          </w:tcPr>
          <w:p w14:paraId="45B971CD"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764FA30E" w14:textId="77777777" w:rsidR="00000000" w:rsidRDefault="00C01C43">
            <w:pPr>
              <w:jc w:val="center"/>
              <w:rPr>
                <w:rFonts w:eastAsia="Times New Roman"/>
              </w:rPr>
            </w:pPr>
            <w:r>
              <w:rPr>
                <w:rFonts w:ascii="Arial" w:eastAsia="Times New Roman" w:hAnsi="Arial" w:cs="Arial"/>
                <w:b/>
                <w:bCs/>
                <w:color w:val="000000"/>
                <w:sz w:val="16"/>
                <w:szCs w:val="16"/>
              </w:rPr>
              <w:t>June 30,</w:t>
            </w:r>
          </w:p>
        </w:tc>
        <w:tc>
          <w:tcPr>
            <w:tcW w:w="0" w:type="auto"/>
            <w:gridSpan w:val="3"/>
            <w:tcMar>
              <w:top w:w="0" w:type="dxa"/>
              <w:left w:w="20" w:type="dxa"/>
              <w:bottom w:w="0" w:type="dxa"/>
              <w:right w:w="20" w:type="dxa"/>
            </w:tcMar>
            <w:vAlign w:val="center"/>
            <w:hideMark/>
          </w:tcPr>
          <w:p w14:paraId="682F4B44"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79676137" w14:textId="77777777" w:rsidR="00000000" w:rsidRDefault="00C01C43">
            <w:pPr>
              <w:jc w:val="center"/>
              <w:rPr>
                <w:rFonts w:eastAsia="Times New Roman"/>
              </w:rPr>
            </w:pPr>
            <w:r>
              <w:rPr>
                <w:rFonts w:ascii="Arial" w:eastAsia="Times New Roman" w:hAnsi="Arial" w:cs="Arial"/>
                <w:b/>
                <w:bCs/>
                <w:color w:val="000000"/>
                <w:sz w:val="16"/>
                <w:szCs w:val="16"/>
              </w:rPr>
              <w:t>September 30,</w:t>
            </w:r>
          </w:p>
        </w:tc>
        <w:tc>
          <w:tcPr>
            <w:tcW w:w="0" w:type="auto"/>
            <w:gridSpan w:val="3"/>
            <w:tcMar>
              <w:top w:w="0" w:type="dxa"/>
              <w:left w:w="20" w:type="dxa"/>
              <w:bottom w:w="0" w:type="dxa"/>
              <w:right w:w="20" w:type="dxa"/>
            </w:tcMar>
            <w:vAlign w:val="center"/>
            <w:hideMark/>
          </w:tcPr>
          <w:p w14:paraId="0E09824E"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1DD89F9D" w14:textId="77777777" w:rsidR="00000000" w:rsidRDefault="00C01C43">
            <w:pPr>
              <w:jc w:val="center"/>
              <w:rPr>
                <w:rFonts w:eastAsia="Times New Roman"/>
              </w:rPr>
            </w:pPr>
            <w:r>
              <w:rPr>
                <w:rFonts w:ascii="Arial" w:eastAsia="Times New Roman" w:hAnsi="Arial" w:cs="Arial"/>
                <w:b/>
                <w:bCs/>
                <w:color w:val="000000"/>
                <w:sz w:val="16"/>
                <w:szCs w:val="16"/>
              </w:rPr>
              <w:t>December 31,</w:t>
            </w:r>
          </w:p>
        </w:tc>
      </w:tr>
      <w:tr w:rsidR="00000000" w14:paraId="4BE51D80" w14:textId="77777777">
        <w:tc>
          <w:tcPr>
            <w:tcW w:w="0" w:type="auto"/>
            <w:gridSpan w:val="3"/>
            <w:tcMar>
              <w:top w:w="0" w:type="dxa"/>
              <w:left w:w="20" w:type="dxa"/>
              <w:bottom w:w="0" w:type="dxa"/>
              <w:right w:w="20" w:type="dxa"/>
            </w:tcMar>
            <w:vAlign w:val="center"/>
            <w:hideMark/>
          </w:tcPr>
          <w:p w14:paraId="5634F290"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484A5587"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66C0065D"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6FC11452"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5D357543"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66E085B2" w14:textId="77777777" w:rsidR="00000000" w:rsidRDefault="00C01C43">
            <w:pPr>
              <w:jc w:val="center"/>
              <w:rPr>
                <w:rFonts w:eastAsia="Times New Roman"/>
              </w:rPr>
            </w:pPr>
            <w:r>
              <w:rPr>
                <w:rFonts w:ascii="Arial" w:eastAsia="Times New Roman" w:hAnsi="Arial" w:cs="Arial"/>
                <w:b/>
                <w:bCs/>
                <w:color w:val="000000"/>
                <w:sz w:val="16"/>
                <w:szCs w:val="16"/>
              </w:rPr>
              <w:t>2019</w:t>
            </w:r>
          </w:p>
        </w:tc>
        <w:tc>
          <w:tcPr>
            <w:tcW w:w="0" w:type="auto"/>
            <w:gridSpan w:val="3"/>
            <w:tcMar>
              <w:top w:w="0" w:type="dxa"/>
              <w:left w:w="20" w:type="dxa"/>
              <w:bottom w:w="0" w:type="dxa"/>
              <w:right w:w="20" w:type="dxa"/>
            </w:tcMar>
            <w:vAlign w:val="center"/>
            <w:hideMark/>
          </w:tcPr>
          <w:p w14:paraId="4E75EF41" w14:textId="77777777" w:rsidR="00000000" w:rsidRDefault="00C01C43">
            <w:pPr>
              <w:jc w:val="center"/>
              <w:rPr>
                <w:rFonts w:eastAsia="Times New Roman"/>
              </w:rPr>
            </w:pPr>
          </w:p>
        </w:tc>
        <w:tc>
          <w:tcPr>
            <w:tcW w:w="0" w:type="auto"/>
            <w:gridSpan w:val="3"/>
            <w:tcMar>
              <w:top w:w="30" w:type="dxa"/>
              <w:left w:w="20" w:type="dxa"/>
              <w:bottom w:w="30" w:type="dxa"/>
              <w:right w:w="20" w:type="dxa"/>
            </w:tcMar>
            <w:vAlign w:val="bottom"/>
            <w:hideMark/>
          </w:tcPr>
          <w:p w14:paraId="1D68788B" w14:textId="77777777" w:rsidR="00000000" w:rsidRDefault="00C01C43">
            <w:pPr>
              <w:jc w:val="center"/>
              <w:rPr>
                <w:rFonts w:eastAsia="Times New Roman"/>
              </w:rPr>
            </w:pPr>
            <w:r>
              <w:rPr>
                <w:rFonts w:ascii="Arial" w:eastAsia="Times New Roman" w:hAnsi="Arial" w:cs="Arial"/>
                <w:b/>
                <w:bCs/>
                <w:color w:val="000000"/>
                <w:sz w:val="16"/>
                <w:szCs w:val="16"/>
              </w:rPr>
              <w:t>2019</w:t>
            </w:r>
          </w:p>
        </w:tc>
      </w:tr>
      <w:tr w:rsidR="00000000" w14:paraId="74BB34FA" w14:textId="7777777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A98966" w14:textId="77777777" w:rsidR="00000000" w:rsidRDefault="00C01C43">
            <w:pPr>
              <w:rPr>
                <w:rFonts w:eastAsia="Times New Roman"/>
              </w:rPr>
            </w:pPr>
            <w:r>
              <w:rPr>
                <w:rFonts w:ascii="Arial" w:eastAsia="Times New Roman" w:hAnsi="Arial" w:cs="Arial"/>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08D5F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060CC5" w14:textId="77777777" w:rsidR="00000000" w:rsidRDefault="00C01C43">
            <w:pPr>
              <w:jc w:val="right"/>
              <w:rPr>
                <w:rFonts w:eastAsia="Times New Roman"/>
              </w:rPr>
            </w:pPr>
            <w:r>
              <w:rPr>
                <w:rFonts w:ascii="Arial" w:eastAsia="Times New Roman" w:hAnsi="Arial" w:cs="Arial"/>
                <w:color w:val="000000"/>
                <w:sz w:val="20"/>
                <w:szCs w:val="20"/>
              </w:rPr>
              <w:t>8,678.8 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24D4CE"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04CAC4"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E37234"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A12D27" w14:textId="77777777" w:rsidR="00000000" w:rsidRDefault="00C01C43">
            <w:pPr>
              <w:jc w:val="right"/>
              <w:rPr>
                <w:rFonts w:eastAsia="Times New Roman"/>
              </w:rPr>
            </w:pPr>
            <w:r>
              <w:rPr>
                <w:rFonts w:ascii="Arial" w:eastAsia="Times New Roman" w:hAnsi="Arial" w:cs="Arial"/>
                <w:color w:val="000000"/>
                <w:sz w:val="20"/>
                <w:szCs w:val="20"/>
              </w:rPr>
              <w:t>9,459.4 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4E101B"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CC949C"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6DCC0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38506E" w14:textId="77777777" w:rsidR="00000000" w:rsidRDefault="00C01C43">
            <w:pPr>
              <w:jc w:val="right"/>
              <w:rPr>
                <w:rFonts w:eastAsia="Times New Roman"/>
              </w:rPr>
            </w:pPr>
            <w:r>
              <w:rPr>
                <w:rFonts w:ascii="Arial" w:eastAsia="Times New Roman" w:hAnsi="Arial" w:cs="Arial"/>
                <w:color w:val="000000"/>
                <w:sz w:val="20"/>
                <w:szCs w:val="20"/>
              </w:rPr>
              <w:t>9,322.7 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724E6C" w14:textId="77777777" w:rsidR="00000000" w:rsidRDefault="00C01C4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37637F" w14:textId="77777777" w:rsidR="00000000" w:rsidRDefault="00C01C4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F0C5F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E6A158" w14:textId="77777777" w:rsidR="00000000" w:rsidRDefault="00C01C43">
            <w:pPr>
              <w:jc w:val="right"/>
              <w:rPr>
                <w:rFonts w:eastAsia="Times New Roman"/>
              </w:rPr>
            </w:pPr>
            <w:r>
              <w:rPr>
                <w:rFonts w:ascii="Arial" w:eastAsia="Times New Roman" w:hAnsi="Arial" w:cs="Arial"/>
                <w:color w:val="000000"/>
                <w:sz w:val="20"/>
                <w:szCs w:val="20"/>
              </w:rPr>
              <w:t>9,358.1 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C86AF0" w14:textId="77777777" w:rsidR="00000000" w:rsidRDefault="00C01C43">
            <w:pPr>
              <w:jc w:val="right"/>
              <w:rPr>
                <w:rFonts w:eastAsia="Times New Roman"/>
              </w:rPr>
            </w:pPr>
          </w:p>
        </w:tc>
      </w:tr>
      <w:tr w:rsidR="00000000" w14:paraId="04C90FA8" w14:textId="77777777">
        <w:tc>
          <w:tcPr>
            <w:tcW w:w="0" w:type="auto"/>
            <w:gridSpan w:val="3"/>
            <w:tcBorders>
              <w:top w:val="double" w:sz="6" w:space="0" w:color="000000"/>
            </w:tcBorders>
            <w:tcMar>
              <w:top w:w="30" w:type="dxa"/>
              <w:left w:w="20" w:type="dxa"/>
              <w:bottom w:w="30" w:type="dxa"/>
              <w:right w:w="20" w:type="dxa"/>
            </w:tcMar>
            <w:vAlign w:val="bottom"/>
            <w:hideMark/>
          </w:tcPr>
          <w:p w14:paraId="4CEC5913" w14:textId="77777777" w:rsidR="00000000" w:rsidRDefault="00C01C43">
            <w:pPr>
              <w:rPr>
                <w:rFonts w:eastAsia="Times New Roman"/>
              </w:rPr>
            </w:pPr>
            <w:r>
              <w:rPr>
                <w:rFonts w:ascii="Arial" w:eastAsia="Times New Roman" w:hAnsi="Arial" w:cs="Arial"/>
                <w:color w:val="000000"/>
                <w:sz w:val="20"/>
                <w:szCs w:val="20"/>
              </w:rPr>
              <w:t>Gross profit</w:t>
            </w:r>
          </w:p>
        </w:tc>
        <w:tc>
          <w:tcPr>
            <w:tcW w:w="0" w:type="auto"/>
            <w:tcBorders>
              <w:top w:val="double" w:sz="6" w:space="0" w:color="000000"/>
            </w:tcBorders>
            <w:tcMar>
              <w:top w:w="30" w:type="dxa"/>
              <w:left w:w="20" w:type="dxa"/>
              <w:bottom w:w="30" w:type="dxa"/>
              <w:right w:w="0" w:type="dxa"/>
            </w:tcMar>
            <w:vAlign w:val="bottom"/>
            <w:hideMark/>
          </w:tcPr>
          <w:p w14:paraId="22220A4B"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0EF1914D" w14:textId="77777777" w:rsidR="00000000" w:rsidRDefault="00C01C43">
            <w:pPr>
              <w:jc w:val="right"/>
              <w:rPr>
                <w:rFonts w:eastAsia="Times New Roman"/>
              </w:rPr>
            </w:pPr>
            <w:r>
              <w:rPr>
                <w:rFonts w:ascii="Arial" w:eastAsia="Times New Roman" w:hAnsi="Arial" w:cs="Arial"/>
                <w:color w:val="000000"/>
                <w:sz w:val="20"/>
                <w:szCs w:val="20"/>
              </w:rPr>
              <w:t>251.1 </w:t>
            </w:r>
          </w:p>
        </w:tc>
        <w:tc>
          <w:tcPr>
            <w:tcW w:w="0" w:type="auto"/>
            <w:tcBorders>
              <w:top w:val="double" w:sz="6" w:space="0" w:color="000000"/>
            </w:tcBorders>
            <w:tcMar>
              <w:top w:w="30" w:type="dxa"/>
              <w:left w:w="0" w:type="dxa"/>
              <w:bottom w:w="30" w:type="dxa"/>
              <w:right w:w="20" w:type="dxa"/>
            </w:tcMar>
            <w:vAlign w:val="bottom"/>
            <w:hideMark/>
          </w:tcPr>
          <w:p w14:paraId="645FF756" w14:textId="77777777" w:rsidR="00000000" w:rsidRDefault="00C01C43">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50A07934" w14:textId="77777777" w:rsidR="00000000" w:rsidRDefault="00C01C43">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3756AD5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13458ABA" w14:textId="77777777" w:rsidR="00000000" w:rsidRDefault="00C01C43">
            <w:pPr>
              <w:jc w:val="right"/>
              <w:rPr>
                <w:rFonts w:eastAsia="Times New Roman"/>
              </w:rPr>
            </w:pPr>
            <w:r>
              <w:rPr>
                <w:rFonts w:ascii="Arial" w:eastAsia="Times New Roman" w:hAnsi="Arial" w:cs="Arial"/>
                <w:color w:val="000000"/>
                <w:sz w:val="20"/>
                <w:szCs w:val="20"/>
              </w:rPr>
              <w:t>268.6 </w:t>
            </w:r>
          </w:p>
        </w:tc>
        <w:tc>
          <w:tcPr>
            <w:tcW w:w="0" w:type="auto"/>
            <w:tcBorders>
              <w:top w:val="double" w:sz="6" w:space="0" w:color="000000"/>
            </w:tcBorders>
            <w:tcMar>
              <w:top w:w="30" w:type="dxa"/>
              <w:left w:w="0" w:type="dxa"/>
              <w:bottom w:w="30" w:type="dxa"/>
              <w:right w:w="20" w:type="dxa"/>
            </w:tcMar>
            <w:vAlign w:val="bottom"/>
            <w:hideMark/>
          </w:tcPr>
          <w:p w14:paraId="6DE7AF0D" w14:textId="77777777" w:rsidR="00000000" w:rsidRDefault="00C01C43">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6C336960" w14:textId="77777777" w:rsidR="00000000" w:rsidRDefault="00C01C43">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0B5E783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4235D46E" w14:textId="77777777" w:rsidR="00000000" w:rsidRDefault="00C01C43">
            <w:pPr>
              <w:jc w:val="right"/>
              <w:rPr>
                <w:rFonts w:eastAsia="Times New Roman"/>
              </w:rPr>
            </w:pPr>
            <w:r>
              <w:rPr>
                <w:rFonts w:ascii="Arial" w:eastAsia="Times New Roman" w:hAnsi="Arial" w:cs="Arial"/>
                <w:color w:val="000000"/>
                <w:sz w:val="20"/>
                <w:szCs w:val="20"/>
              </w:rPr>
              <w:t>305.7 </w:t>
            </w:r>
          </w:p>
        </w:tc>
        <w:tc>
          <w:tcPr>
            <w:tcW w:w="0" w:type="auto"/>
            <w:tcBorders>
              <w:top w:val="double" w:sz="6" w:space="0" w:color="000000"/>
            </w:tcBorders>
            <w:tcMar>
              <w:top w:w="30" w:type="dxa"/>
              <w:left w:w="0" w:type="dxa"/>
              <w:bottom w:w="30" w:type="dxa"/>
              <w:right w:w="20" w:type="dxa"/>
            </w:tcMar>
            <w:vAlign w:val="bottom"/>
            <w:hideMark/>
          </w:tcPr>
          <w:p w14:paraId="262357A1" w14:textId="77777777" w:rsidR="00000000" w:rsidRDefault="00C01C43">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34E582E5" w14:textId="77777777" w:rsidR="00000000" w:rsidRDefault="00C01C43">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63DB6900"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73580EB9" w14:textId="77777777" w:rsidR="00000000" w:rsidRDefault="00C01C43">
            <w:pPr>
              <w:jc w:val="right"/>
              <w:rPr>
                <w:rFonts w:eastAsia="Times New Roman"/>
              </w:rPr>
            </w:pPr>
            <w:r>
              <w:rPr>
                <w:rFonts w:ascii="Arial" w:eastAsia="Times New Roman" w:hAnsi="Arial" w:cs="Arial"/>
                <w:color w:val="000000"/>
                <w:sz w:val="20"/>
                <w:szCs w:val="20"/>
              </w:rPr>
              <w:t>286.6 </w:t>
            </w:r>
          </w:p>
        </w:tc>
        <w:tc>
          <w:tcPr>
            <w:tcW w:w="0" w:type="auto"/>
            <w:tcBorders>
              <w:top w:val="double" w:sz="6" w:space="0" w:color="000000"/>
            </w:tcBorders>
            <w:tcMar>
              <w:top w:w="30" w:type="dxa"/>
              <w:left w:w="0" w:type="dxa"/>
              <w:bottom w:w="30" w:type="dxa"/>
              <w:right w:w="20" w:type="dxa"/>
            </w:tcMar>
            <w:vAlign w:val="bottom"/>
            <w:hideMark/>
          </w:tcPr>
          <w:p w14:paraId="1439B45D" w14:textId="77777777" w:rsidR="00000000" w:rsidRDefault="00C01C43">
            <w:pPr>
              <w:jc w:val="right"/>
              <w:rPr>
                <w:rFonts w:eastAsia="Times New Roman"/>
              </w:rPr>
            </w:pPr>
          </w:p>
        </w:tc>
      </w:tr>
      <w:tr w:rsidR="00000000" w14:paraId="4366D88E" w14:textId="77777777">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06A5887" w14:textId="77777777" w:rsidR="00000000" w:rsidRDefault="00C01C43">
            <w:pPr>
              <w:rPr>
                <w:rFonts w:eastAsia="Times New Roman"/>
              </w:rPr>
            </w:pPr>
            <w:r>
              <w:rPr>
                <w:rFonts w:ascii="Arial" w:eastAsia="Times New Roman" w:hAnsi="Arial" w:cs="Arial"/>
                <w:color w:val="000000"/>
                <w:sz w:val="20"/>
                <w:szCs w:val="20"/>
              </w:rPr>
              <w:t>Net income including noncontrolling interest</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AD30B3B"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D62CE9F" w14:textId="77777777" w:rsidR="00000000" w:rsidRDefault="00C01C43">
            <w:pPr>
              <w:jc w:val="right"/>
              <w:rPr>
                <w:rFonts w:eastAsia="Times New Roman"/>
              </w:rPr>
            </w:pPr>
            <w:r>
              <w:rPr>
                <w:rFonts w:ascii="Arial" w:eastAsia="Times New Roman" w:hAnsi="Arial" w:cs="Arial"/>
                <w:color w:val="000000"/>
                <w:sz w:val="20"/>
                <w:szCs w:val="20"/>
              </w:rPr>
              <w:t>37.3 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29D6ABA"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C14278F" w14:textId="77777777" w:rsidR="00000000" w:rsidRDefault="00C01C4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C3E3F16"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B071A49" w14:textId="77777777" w:rsidR="00000000" w:rsidRDefault="00C01C43">
            <w:pPr>
              <w:jc w:val="right"/>
              <w:rPr>
                <w:rFonts w:eastAsia="Times New Roman"/>
              </w:rPr>
            </w:pPr>
            <w:r>
              <w:rPr>
                <w:rFonts w:ascii="Arial" w:eastAsia="Times New Roman" w:hAnsi="Arial" w:cs="Arial"/>
                <w:color w:val="000000"/>
                <w:sz w:val="20"/>
                <w:szCs w:val="20"/>
              </w:rPr>
              <w:t>37.6 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A8866EB"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E11DB6" w14:textId="77777777" w:rsidR="00000000" w:rsidRDefault="00C01C4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03DAEE1"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96AA675" w14:textId="77777777" w:rsidR="00000000" w:rsidRDefault="00C01C43">
            <w:pPr>
              <w:jc w:val="right"/>
              <w:rPr>
                <w:rFonts w:eastAsia="Times New Roman"/>
              </w:rPr>
            </w:pPr>
            <w:r>
              <w:rPr>
                <w:rFonts w:ascii="Arial" w:eastAsia="Times New Roman" w:hAnsi="Arial" w:cs="Arial"/>
                <w:color w:val="000000"/>
                <w:sz w:val="20"/>
                <w:szCs w:val="20"/>
              </w:rPr>
              <w:t>49.4 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B80C399"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5DCBECA" w14:textId="77777777" w:rsidR="00000000" w:rsidRDefault="00C01C4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0902F1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66C3C4E" w14:textId="77777777" w:rsidR="00000000" w:rsidRDefault="00C01C43">
            <w:pPr>
              <w:jc w:val="right"/>
              <w:rPr>
                <w:rFonts w:eastAsia="Times New Roman"/>
              </w:rPr>
            </w:pPr>
            <w:r>
              <w:rPr>
                <w:rFonts w:ascii="Arial" w:eastAsia="Times New Roman" w:hAnsi="Arial" w:cs="Arial"/>
                <w:color w:val="000000"/>
                <w:sz w:val="20"/>
                <w:szCs w:val="20"/>
              </w:rPr>
              <w:t>56.8 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1527532" w14:textId="77777777" w:rsidR="00000000" w:rsidRDefault="00C01C43">
            <w:pPr>
              <w:jc w:val="right"/>
              <w:rPr>
                <w:rFonts w:eastAsia="Times New Roman"/>
              </w:rPr>
            </w:pPr>
          </w:p>
        </w:tc>
      </w:tr>
      <w:tr w:rsidR="00000000" w14:paraId="3EDB15FD" w14:textId="77777777">
        <w:tc>
          <w:tcPr>
            <w:tcW w:w="0" w:type="auto"/>
            <w:gridSpan w:val="3"/>
            <w:tcBorders>
              <w:top w:val="double" w:sz="6" w:space="0" w:color="000000"/>
            </w:tcBorders>
            <w:tcMar>
              <w:top w:w="30" w:type="dxa"/>
              <w:left w:w="20" w:type="dxa"/>
              <w:bottom w:w="30" w:type="dxa"/>
              <w:right w:w="20" w:type="dxa"/>
            </w:tcMar>
            <w:vAlign w:val="bottom"/>
            <w:hideMark/>
          </w:tcPr>
          <w:p w14:paraId="5B8E8DCF" w14:textId="77777777" w:rsidR="00000000" w:rsidRDefault="00C01C43">
            <w:pPr>
              <w:rPr>
                <w:rFonts w:eastAsia="Times New Roman"/>
              </w:rPr>
            </w:pPr>
            <w:r>
              <w:rPr>
                <w:rFonts w:ascii="Arial" w:eastAsia="Times New Roman" w:hAnsi="Arial" w:cs="Arial"/>
                <w:color w:val="000000"/>
                <w:sz w:val="20"/>
                <w:szCs w:val="20"/>
              </w:rPr>
              <w:t>Net income attributable to World Fuel</w:t>
            </w:r>
          </w:p>
        </w:tc>
        <w:tc>
          <w:tcPr>
            <w:tcW w:w="0" w:type="auto"/>
            <w:tcBorders>
              <w:top w:val="double" w:sz="6" w:space="0" w:color="000000"/>
            </w:tcBorders>
            <w:tcMar>
              <w:top w:w="30" w:type="dxa"/>
              <w:left w:w="20" w:type="dxa"/>
              <w:bottom w:w="30" w:type="dxa"/>
              <w:right w:w="0" w:type="dxa"/>
            </w:tcMar>
            <w:vAlign w:val="bottom"/>
            <w:hideMark/>
          </w:tcPr>
          <w:p w14:paraId="06E33052"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54C15F67" w14:textId="77777777" w:rsidR="00000000" w:rsidRDefault="00C01C43">
            <w:pPr>
              <w:jc w:val="right"/>
              <w:rPr>
                <w:rFonts w:eastAsia="Times New Roman"/>
              </w:rPr>
            </w:pPr>
            <w:r>
              <w:rPr>
                <w:rFonts w:ascii="Arial" w:eastAsia="Times New Roman" w:hAnsi="Arial" w:cs="Arial"/>
                <w:color w:val="000000"/>
                <w:sz w:val="20"/>
                <w:szCs w:val="20"/>
              </w:rPr>
              <w:t>37.2 </w:t>
            </w:r>
          </w:p>
        </w:tc>
        <w:tc>
          <w:tcPr>
            <w:tcW w:w="0" w:type="auto"/>
            <w:tcBorders>
              <w:top w:val="double" w:sz="6" w:space="0" w:color="000000"/>
            </w:tcBorders>
            <w:tcMar>
              <w:top w:w="30" w:type="dxa"/>
              <w:left w:w="0" w:type="dxa"/>
              <w:bottom w:w="30" w:type="dxa"/>
              <w:right w:w="20" w:type="dxa"/>
            </w:tcMar>
            <w:vAlign w:val="bottom"/>
            <w:hideMark/>
          </w:tcPr>
          <w:p w14:paraId="1975D34E" w14:textId="77777777" w:rsidR="00000000" w:rsidRDefault="00C01C43">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5838057E" w14:textId="77777777" w:rsidR="00000000" w:rsidRDefault="00C01C43">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7837886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05793BF4" w14:textId="77777777" w:rsidR="00000000" w:rsidRDefault="00C01C43">
            <w:pPr>
              <w:jc w:val="right"/>
              <w:rPr>
                <w:rFonts w:eastAsia="Times New Roman"/>
              </w:rPr>
            </w:pPr>
            <w:r>
              <w:rPr>
                <w:rFonts w:ascii="Arial" w:eastAsia="Times New Roman" w:hAnsi="Arial" w:cs="Arial"/>
                <w:color w:val="000000"/>
                <w:sz w:val="20"/>
                <w:szCs w:val="20"/>
              </w:rPr>
              <w:t>37.0 </w:t>
            </w:r>
          </w:p>
        </w:tc>
        <w:tc>
          <w:tcPr>
            <w:tcW w:w="0" w:type="auto"/>
            <w:tcBorders>
              <w:top w:val="double" w:sz="6" w:space="0" w:color="000000"/>
            </w:tcBorders>
            <w:tcMar>
              <w:top w:w="30" w:type="dxa"/>
              <w:left w:w="0" w:type="dxa"/>
              <w:bottom w:w="30" w:type="dxa"/>
              <w:right w:w="20" w:type="dxa"/>
            </w:tcMar>
            <w:vAlign w:val="bottom"/>
            <w:hideMark/>
          </w:tcPr>
          <w:p w14:paraId="16FDB36B" w14:textId="77777777" w:rsidR="00000000" w:rsidRDefault="00C01C43">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1DD8D70E" w14:textId="77777777" w:rsidR="00000000" w:rsidRDefault="00C01C43">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22BEFCFE"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13FC6C00" w14:textId="77777777" w:rsidR="00000000" w:rsidRDefault="00C01C43">
            <w:pPr>
              <w:jc w:val="right"/>
              <w:rPr>
                <w:rFonts w:eastAsia="Times New Roman"/>
              </w:rPr>
            </w:pPr>
            <w:r>
              <w:rPr>
                <w:rFonts w:ascii="Arial" w:eastAsia="Times New Roman" w:hAnsi="Arial" w:cs="Arial"/>
                <w:color w:val="000000"/>
                <w:sz w:val="20"/>
                <w:szCs w:val="20"/>
              </w:rPr>
              <w:t>48.2 </w:t>
            </w:r>
          </w:p>
        </w:tc>
        <w:tc>
          <w:tcPr>
            <w:tcW w:w="0" w:type="auto"/>
            <w:tcBorders>
              <w:top w:val="double" w:sz="6" w:space="0" w:color="000000"/>
            </w:tcBorders>
            <w:tcMar>
              <w:top w:w="30" w:type="dxa"/>
              <w:left w:w="0" w:type="dxa"/>
              <w:bottom w:w="30" w:type="dxa"/>
              <w:right w:w="20" w:type="dxa"/>
            </w:tcMar>
            <w:vAlign w:val="bottom"/>
            <w:hideMark/>
          </w:tcPr>
          <w:p w14:paraId="55C7F9AA" w14:textId="77777777" w:rsidR="00000000" w:rsidRDefault="00C01C43">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73C1DB67" w14:textId="77777777" w:rsidR="00000000" w:rsidRDefault="00C01C43">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6F0AE6C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1044D4A3" w14:textId="77777777" w:rsidR="00000000" w:rsidRDefault="00C01C43">
            <w:pPr>
              <w:jc w:val="right"/>
              <w:rPr>
                <w:rFonts w:eastAsia="Times New Roman"/>
              </w:rPr>
            </w:pPr>
            <w:r>
              <w:rPr>
                <w:rFonts w:ascii="Arial" w:eastAsia="Times New Roman" w:hAnsi="Arial" w:cs="Arial"/>
                <w:color w:val="000000"/>
                <w:sz w:val="20"/>
                <w:szCs w:val="20"/>
              </w:rPr>
              <w:t>56.5 </w:t>
            </w:r>
          </w:p>
        </w:tc>
        <w:tc>
          <w:tcPr>
            <w:tcW w:w="0" w:type="auto"/>
            <w:tcBorders>
              <w:top w:val="double" w:sz="6" w:space="0" w:color="000000"/>
            </w:tcBorders>
            <w:tcMar>
              <w:top w:w="30" w:type="dxa"/>
              <w:left w:w="0" w:type="dxa"/>
              <w:bottom w:w="30" w:type="dxa"/>
              <w:right w:w="20" w:type="dxa"/>
            </w:tcMar>
            <w:vAlign w:val="bottom"/>
            <w:hideMark/>
          </w:tcPr>
          <w:p w14:paraId="3B9E316E" w14:textId="77777777" w:rsidR="00000000" w:rsidRDefault="00C01C43">
            <w:pPr>
              <w:jc w:val="right"/>
              <w:rPr>
                <w:rFonts w:eastAsia="Times New Roman"/>
              </w:rPr>
            </w:pPr>
          </w:p>
        </w:tc>
      </w:tr>
      <w:tr w:rsidR="00000000" w14:paraId="093C9114" w14:textId="77777777">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5E75A42" w14:textId="77777777" w:rsidR="00000000" w:rsidRDefault="00C01C43">
            <w:pPr>
              <w:divId w:val="2048681855"/>
              <w:rPr>
                <w:rFonts w:eastAsia="Times New Roman"/>
              </w:rPr>
            </w:pPr>
            <w:r>
              <w:rPr>
                <w:rFonts w:ascii="Arial" w:eastAsia="Times New Roman" w:hAnsi="Arial" w:cs="Arial"/>
                <w:color w:val="000000"/>
                <w:sz w:val="20"/>
                <w:szCs w:val="20"/>
              </w:rPr>
              <w:t>Basic earnings per common share</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77E7D8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AA27F14" w14:textId="77777777" w:rsidR="00000000" w:rsidRDefault="00C01C43">
            <w:pPr>
              <w:jc w:val="right"/>
              <w:rPr>
                <w:rFonts w:eastAsia="Times New Roman"/>
              </w:rPr>
            </w:pPr>
            <w:r>
              <w:rPr>
                <w:rFonts w:ascii="Arial" w:eastAsia="Times New Roman" w:hAnsi="Arial" w:cs="Arial"/>
                <w:color w:val="000000"/>
                <w:sz w:val="20"/>
                <w:szCs w:val="20"/>
              </w:rPr>
              <w:t>0.55 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6F216B5"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05DDB92" w14:textId="77777777" w:rsidR="00000000" w:rsidRDefault="00C01C4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BBD4443"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6F0781C" w14:textId="77777777" w:rsidR="00000000" w:rsidRDefault="00C01C43">
            <w:pPr>
              <w:jc w:val="right"/>
              <w:rPr>
                <w:rFonts w:eastAsia="Times New Roman"/>
              </w:rPr>
            </w:pPr>
            <w:r>
              <w:rPr>
                <w:rFonts w:ascii="Arial" w:eastAsia="Times New Roman" w:hAnsi="Arial" w:cs="Arial"/>
                <w:color w:val="000000"/>
                <w:sz w:val="20"/>
                <w:szCs w:val="20"/>
              </w:rPr>
              <w:t>0.56 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23CA5BD"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BAEF5CA" w14:textId="77777777" w:rsidR="00000000" w:rsidRDefault="00C01C4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2180DB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FD2FC53" w14:textId="77777777" w:rsidR="00000000" w:rsidRDefault="00C01C43">
            <w:pPr>
              <w:jc w:val="right"/>
              <w:rPr>
                <w:rFonts w:eastAsia="Times New Roman"/>
              </w:rPr>
            </w:pPr>
            <w:r>
              <w:rPr>
                <w:rFonts w:ascii="Arial" w:eastAsia="Times New Roman" w:hAnsi="Arial" w:cs="Arial"/>
                <w:color w:val="000000"/>
                <w:sz w:val="20"/>
                <w:szCs w:val="20"/>
              </w:rPr>
              <w:t>0.74 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C26C3A2" w14:textId="77777777" w:rsidR="00000000" w:rsidRDefault="00C01C4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62C02A2" w14:textId="77777777" w:rsidR="00000000" w:rsidRDefault="00C01C4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16DC017"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A6F17E2" w14:textId="77777777" w:rsidR="00000000" w:rsidRDefault="00C01C43">
            <w:pPr>
              <w:jc w:val="right"/>
              <w:rPr>
                <w:rFonts w:eastAsia="Times New Roman"/>
              </w:rPr>
            </w:pPr>
            <w:r>
              <w:rPr>
                <w:rFonts w:ascii="Arial" w:eastAsia="Times New Roman" w:hAnsi="Arial" w:cs="Arial"/>
                <w:color w:val="000000"/>
                <w:sz w:val="20"/>
                <w:szCs w:val="20"/>
              </w:rPr>
              <w:t>0.86 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2F417AA" w14:textId="77777777" w:rsidR="00000000" w:rsidRDefault="00C01C43">
            <w:pPr>
              <w:jc w:val="right"/>
              <w:rPr>
                <w:rFonts w:eastAsia="Times New Roman"/>
              </w:rPr>
            </w:pPr>
          </w:p>
        </w:tc>
      </w:tr>
      <w:tr w:rsidR="00000000" w14:paraId="65CD5E42" w14:textId="77777777">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14:paraId="73966835" w14:textId="77777777" w:rsidR="00000000" w:rsidRDefault="00C01C43">
            <w:pPr>
              <w:divId w:val="508909245"/>
              <w:rPr>
                <w:rFonts w:eastAsia="Times New Roman"/>
              </w:rPr>
            </w:pPr>
            <w:r>
              <w:rPr>
                <w:rFonts w:ascii="Arial" w:eastAsia="Times New Roman" w:hAnsi="Arial" w:cs="Arial"/>
                <w:color w:val="000000"/>
                <w:sz w:val="20"/>
                <w:szCs w:val="20"/>
              </w:rPr>
              <w:t>Diluted earnings per common share</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14:paraId="6C289F14"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6D6BBCC5" w14:textId="77777777" w:rsidR="00000000" w:rsidRDefault="00C01C43">
            <w:pPr>
              <w:jc w:val="right"/>
              <w:rPr>
                <w:rFonts w:eastAsia="Times New Roman"/>
              </w:rPr>
            </w:pPr>
            <w:r>
              <w:rPr>
                <w:rFonts w:ascii="Arial" w:eastAsia="Times New Roman" w:hAnsi="Arial" w:cs="Arial"/>
                <w:color w:val="000000"/>
                <w:sz w:val="20"/>
                <w:szCs w:val="20"/>
              </w:rPr>
              <w:t>0.55 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14:paraId="5935D12B" w14:textId="77777777" w:rsidR="00000000" w:rsidRDefault="00C01C43">
            <w:pPr>
              <w:jc w:val="right"/>
              <w:rPr>
                <w:rFonts w:eastAsia="Times New Roman"/>
              </w:rPr>
            </w:pPr>
          </w:p>
        </w:tc>
        <w:tc>
          <w:tcPr>
            <w:tcW w:w="0" w:type="auto"/>
            <w:gridSpan w:val="3"/>
            <w:tcBorders>
              <w:top w:val="double" w:sz="6" w:space="0" w:color="000000"/>
              <w:bottom w:val="double" w:sz="6" w:space="0" w:color="000000"/>
            </w:tcBorders>
            <w:tcMar>
              <w:top w:w="0" w:type="dxa"/>
              <w:left w:w="20" w:type="dxa"/>
              <w:bottom w:w="0" w:type="dxa"/>
              <w:right w:w="20" w:type="dxa"/>
            </w:tcMar>
            <w:vAlign w:val="center"/>
            <w:hideMark/>
          </w:tcPr>
          <w:p w14:paraId="00A6455A" w14:textId="77777777" w:rsidR="00000000" w:rsidRDefault="00C01C43">
            <w:pPr>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14:paraId="05BF424D"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55F24B8" w14:textId="77777777" w:rsidR="00000000" w:rsidRDefault="00C01C43">
            <w:pPr>
              <w:jc w:val="right"/>
              <w:rPr>
                <w:rFonts w:eastAsia="Times New Roman"/>
              </w:rPr>
            </w:pPr>
            <w:r>
              <w:rPr>
                <w:rFonts w:ascii="Arial" w:eastAsia="Times New Roman" w:hAnsi="Arial" w:cs="Arial"/>
                <w:color w:val="000000"/>
                <w:sz w:val="20"/>
                <w:szCs w:val="20"/>
              </w:rPr>
              <w:t>0.55 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14:paraId="7E107446" w14:textId="77777777" w:rsidR="00000000" w:rsidRDefault="00C01C43">
            <w:pPr>
              <w:jc w:val="right"/>
              <w:rPr>
                <w:rFonts w:eastAsia="Times New Roman"/>
              </w:rPr>
            </w:pPr>
          </w:p>
        </w:tc>
        <w:tc>
          <w:tcPr>
            <w:tcW w:w="0" w:type="auto"/>
            <w:gridSpan w:val="3"/>
            <w:tcBorders>
              <w:top w:val="double" w:sz="6" w:space="0" w:color="000000"/>
              <w:bottom w:val="double" w:sz="6" w:space="0" w:color="000000"/>
            </w:tcBorders>
            <w:tcMar>
              <w:top w:w="0" w:type="dxa"/>
              <w:left w:w="20" w:type="dxa"/>
              <w:bottom w:w="0" w:type="dxa"/>
              <w:right w:w="20" w:type="dxa"/>
            </w:tcMar>
            <w:vAlign w:val="center"/>
            <w:hideMark/>
          </w:tcPr>
          <w:p w14:paraId="5849A2A9" w14:textId="77777777" w:rsidR="00000000" w:rsidRDefault="00C01C43">
            <w:pPr>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14:paraId="1BF21BC4"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321FF709" w14:textId="77777777" w:rsidR="00000000" w:rsidRDefault="00C01C43">
            <w:pPr>
              <w:jc w:val="right"/>
              <w:rPr>
                <w:rFonts w:eastAsia="Times New Roman"/>
              </w:rPr>
            </w:pPr>
            <w:r>
              <w:rPr>
                <w:rFonts w:ascii="Arial" w:eastAsia="Times New Roman" w:hAnsi="Arial" w:cs="Arial"/>
                <w:color w:val="000000"/>
                <w:sz w:val="20"/>
                <w:szCs w:val="20"/>
              </w:rPr>
              <w:t>0.73 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14:paraId="0F54DD07" w14:textId="77777777" w:rsidR="00000000" w:rsidRDefault="00C01C43">
            <w:pPr>
              <w:jc w:val="right"/>
              <w:rPr>
                <w:rFonts w:eastAsia="Times New Roman"/>
              </w:rPr>
            </w:pPr>
          </w:p>
        </w:tc>
        <w:tc>
          <w:tcPr>
            <w:tcW w:w="0" w:type="auto"/>
            <w:gridSpan w:val="3"/>
            <w:tcBorders>
              <w:top w:val="double" w:sz="6" w:space="0" w:color="000000"/>
              <w:bottom w:val="double" w:sz="6" w:space="0" w:color="000000"/>
            </w:tcBorders>
            <w:tcMar>
              <w:top w:w="0" w:type="dxa"/>
              <w:left w:w="20" w:type="dxa"/>
              <w:bottom w:w="0" w:type="dxa"/>
              <w:right w:w="20" w:type="dxa"/>
            </w:tcMar>
            <w:vAlign w:val="center"/>
            <w:hideMark/>
          </w:tcPr>
          <w:p w14:paraId="45B01754" w14:textId="77777777" w:rsidR="00000000" w:rsidRDefault="00C01C43">
            <w:pPr>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14:paraId="0F7BDDCA" w14:textId="77777777" w:rsidR="00000000" w:rsidRDefault="00C01C43">
            <w:pPr>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DF853EB" w14:textId="77777777" w:rsidR="00000000" w:rsidRDefault="00C01C43">
            <w:pPr>
              <w:jc w:val="right"/>
              <w:rPr>
                <w:rFonts w:eastAsia="Times New Roman"/>
              </w:rPr>
            </w:pPr>
            <w:r>
              <w:rPr>
                <w:rFonts w:ascii="Arial" w:eastAsia="Times New Roman" w:hAnsi="Arial" w:cs="Arial"/>
                <w:color w:val="000000"/>
                <w:sz w:val="20"/>
                <w:szCs w:val="20"/>
              </w:rPr>
              <w:t>0.86 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14:paraId="5AB8276D" w14:textId="77777777" w:rsidR="00000000" w:rsidRDefault="00C01C43">
            <w:pPr>
              <w:jc w:val="right"/>
              <w:rPr>
                <w:rFonts w:eastAsia="Times New Roman"/>
              </w:rPr>
            </w:pPr>
          </w:p>
        </w:tc>
      </w:tr>
    </w:tbl>
    <w:p w14:paraId="12A5E5C4" w14:textId="77777777" w:rsidR="00000000" w:rsidRDefault="00C01C43">
      <w:pPr>
        <w:jc w:val="both"/>
        <w:divId w:val="651524870"/>
        <w:rPr>
          <w:rFonts w:eastAsia="Times New Roman"/>
        </w:rPr>
      </w:pPr>
      <w:r>
        <w:rPr>
          <w:rFonts w:ascii="Arial" w:eastAsia="Times New Roman" w:hAnsi="Arial" w:cs="Arial"/>
          <w:color w:val="000000"/>
          <w:sz w:val="20"/>
          <w:szCs w:val="20"/>
        </w:rPr>
        <w:t> </w:t>
      </w:r>
      <w:r>
        <w:rPr>
          <w:rFonts w:ascii="Arial" w:eastAsia="Times New Roman" w:hAnsi="Arial" w:cs="Arial"/>
          <w:color w:val="000000"/>
          <w:sz w:val="10"/>
          <w:szCs w:val="10"/>
        </w:rPr>
        <w:t>(1</w:t>
      </w:r>
      <w:r>
        <w:rPr>
          <w:rFonts w:ascii="Arial" w:eastAsia="Times New Roman" w:hAnsi="Arial" w:cs="Arial"/>
          <w:color w:val="000000"/>
          <w:sz w:val="10"/>
          <w:szCs w:val="10"/>
        </w:rPr>
        <w:t>)</w:t>
      </w:r>
      <w:r>
        <w:rPr>
          <w:rFonts w:ascii="Arial" w:eastAsia="Times New Roman" w:hAnsi="Arial" w:cs="Arial"/>
          <w:color w:val="000000"/>
          <w:sz w:val="16"/>
          <w:szCs w:val="16"/>
        </w:rPr>
        <w:t xml:space="preserve"> Basic and diluted earnings (loss) per share are computed independently for each quarter and the full year based upon respective weighted average shares outstanding. Therefore, the sum of the q</w:t>
      </w:r>
      <w:r>
        <w:rPr>
          <w:rFonts w:ascii="Arial" w:eastAsia="Times New Roman" w:hAnsi="Arial" w:cs="Arial"/>
          <w:color w:val="000000"/>
          <w:sz w:val="16"/>
          <w:szCs w:val="16"/>
        </w:rPr>
        <w:t>uarterly basic and diluted earnings per share amounts may not equal the annual basic and diluted earnings per share amounts reported.</w:t>
      </w:r>
    </w:p>
    <w:p w14:paraId="016C573D" w14:textId="77777777" w:rsidR="00000000" w:rsidRDefault="00C01C43">
      <w:pPr>
        <w:divId w:val="1284843542"/>
        <w:rPr>
          <w:rFonts w:eastAsia="Times New Roman"/>
        </w:rPr>
      </w:pPr>
    </w:p>
    <w:p w14:paraId="345B7A21" w14:textId="77777777" w:rsidR="00000000" w:rsidRDefault="00C01C43">
      <w:pPr>
        <w:divId w:val="1807162401"/>
        <w:rPr>
          <w:rFonts w:eastAsia="Times New Roman"/>
        </w:rPr>
      </w:pPr>
    </w:p>
    <w:p w14:paraId="34691BF5" w14:textId="77777777" w:rsidR="00000000" w:rsidRDefault="00C01C43">
      <w:pPr>
        <w:jc w:val="both"/>
        <w:divId w:val="554395327"/>
        <w:rPr>
          <w:rFonts w:eastAsia="Times New Roman"/>
        </w:rPr>
      </w:pPr>
      <w:r>
        <w:rPr>
          <w:rFonts w:ascii="Arial" w:eastAsia="Times New Roman" w:hAnsi="Arial" w:cs="Arial"/>
          <w:b/>
          <w:bCs/>
          <w:color w:val="000000"/>
        </w:rPr>
        <w:t>Item 16. Form 10-K Summary</w:t>
      </w:r>
    </w:p>
    <w:p w14:paraId="3F624E6C" w14:textId="77777777" w:rsidR="00000000" w:rsidRDefault="00C01C43">
      <w:pPr>
        <w:divId w:val="1100100118"/>
        <w:rPr>
          <w:rFonts w:eastAsia="Times New Roman"/>
        </w:rPr>
      </w:pPr>
      <w:r>
        <w:rPr>
          <w:rFonts w:ascii="Arial" w:eastAsia="Times New Roman" w:hAnsi="Arial" w:cs="Arial"/>
          <w:color w:val="000000"/>
          <w:sz w:val="20"/>
          <w:szCs w:val="20"/>
        </w:rPr>
        <w:t>We have elected not to include the voluntary, summary information required by Form 10-K und</w:t>
      </w:r>
      <w:r>
        <w:rPr>
          <w:rFonts w:ascii="Arial" w:eastAsia="Times New Roman" w:hAnsi="Arial" w:cs="Arial"/>
          <w:color w:val="000000"/>
          <w:sz w:val="20"/>
          <w:szCs w:val="20"/>
        </w:rPr>
        <w:t>er this Item 16.</w:t>
      </w:r>
    </w:p>
    <w:p w14:paraId="39676136" w14:textId="77777777" w:rsidR="00000000" w:rsidRDefault="00C01C43">
      <w:pPr>
        <w:divId w:val="149492355"/>
        <w:rPr>
          <w:rFonts w:eastAsia="Times New Roman"/>
        </w:rPr>
      </w:pPr>
    </w:p>
    <w:p w14:paraId="4E0919DA" w14:textId="77777777" w:rsidR="00000000" w:rsidRDefault="00C01C43">
      <w:pPr>
        <w:rPr>
          <w:rFonts w:eastAsia="Times New Roman"/>
        </w:rPr>
      </w:pPr>
      <w:r>
        <w:rPr>
          <w:rFonts w:eastAsia="Times New Roman"/>
        </w:rPr>
        <w:pict w14:anchorId="52A66D78">
          <v:rect id="_x0000_i1121" style="width:0;height:1.5pt" o:hralign="center" o:hrstd="t" o:hr="t" fillcolor="#a0a0a0" stroked="f"/>
        </w:pict>
      </w:r>
    </w:p>
    <w:p w14:paraId="4E3193BD" w14:textId="77777777" w:rsidR="00000000" w:rsidRDefault="00C01C43">
      <w:pPr>
        <w:divId w:val="1820682662"/>
        <w:rPr>
          <w:rFonts w:eastAsia="Times New Roman"/>
        </w:rPr>
      </w:pPr>
      <w:hyperlink w:anchor="i39de2a441966435e8a888354900c7540_7" w:history="1">
        <w:r>
          <w:rPr>
            <w:rStyle w:val="a3"/>
            <w:rFonts w:ascii="Arial" w:eastAsia="Times New Roman" w:hAnsi="Arial" w:cs="Arial"/>
            <w:sz w:val="20"/>
            <w:szCs w:val="20"/>
          </w:rPr>
          <w:t>Table of Contents</w:t>
        </w:r>
      </w:hyperlink>
    </w:p>
    <w:p w14:paraId="5EFDA7CE" w14:textId="77777777" w:rsidR="00000000" w:rsidRDefault="00C01C43">
      <w:pPr>
        <w:jc w:val="both"/>
        <w:divId w:val="32385084"/>
        <w:rPr>
          <w:rFonts w:eastAsia="Times New Roman"/>
        </w:rPr>
      </w:pPr>
      <w:r>
        <w:rPr>
          <w:rFonts w:ascii="Arial" w:eastAsia="Times New Roman" w:hAnsi="Arial" w:cs="Arial"/>
          <w:b/>
          <w:bCs/>
          <w:color w:val="000000"/>
          <w:sz w:val="18"/>
          <w:szCs w:val="18"/>
        </w:rPr>
        <w:t>SIGNATURES</w:t>
      </w:r>
    </w:p>
    <w:p w14:paraId="441B6420" w14:textId="77777777" w:rsidR="00000000" w:rsidRDefault="00C01C43">
      <w:pPr>
        <w:jc w:val="both"/>
        <w:divId w:val="681661445"/>
        <w:rPr>
          <w:rFonts w:eastAsia="Times New Roman"/>
        </w:rPr>
      </w:pPr>
      <w:r>
        <w:rPr>
          <w:rFonts w:ascii="Arial" w:eastAsia="Times New Roman" w:hAnsi="Arial" w:cs="Arial"/>
          <w:color w:val="000000"/>
          <w:sz w:val="18"/>
          <w:szCs w:val="18"/>
        </w:rPr>
        <w:t>Pursuant to the requirements of Section 13 or 15(d) of the Securities Exchange Act of 1934, the registrant has du</w:t>
      </w:r>
      <w:r>
        <w:rPr>
          <w:rFonts w:ascii="Arial" w:eastAsia="Times New Roman" w:hAnsi="Arial" w:cs="Arial"/>
          <w:color w:val="000000"/>
          <w:sz w:val="18"/>
          <w:szCs w:val="18"/>
        </w:rPr>
        <w:t>ly caused this Form 10</w:t>
      </w:r>
      <w:r>
        <w:rPr>
          <w:rFonts w:ascii="Arial" w:eastAsia="Times New Roman" w:hAnsi="Arial" w:cs="Arial"/>
          <w:color w:val="000000"/>
          <w:sz w:val="18"/>
          <w:szCs w:val="18"/>
        </w:rPr>
        <w:noBreakHyphen/>
        <w:t>K to be signed on its behalf by the undersigned, thereunto duly authorized, on February 26, 2021.</w:t>
      </w:r>
    </w:p>
    <w:p w14:paraId="69DCF4BE" w14:textId="77777777" w:rsidR="00000000" w:rsidRDefault="00C01C43">
      <w:pPr>
        <w:jc w:val="both"/>
        <w:divId w:val="1690375336"/>
        <w:rPr>
          <w:rFonts w:eastAsia="Times New Roman"/>
        </w:rPr>
      </w:pPr>
      <w:r>
        <w:rPr>
          <w:rFonts w:ascii="Arial" w:eastAsia="Times New Roman" w:hAnsi="Arial" w:cs="Arial"/>
          <w:color w:val="000000"/>
          <w:sz w:val="18"/>
          <w:szCs w:val="18"/>
        </w:rPr>
        <w:t>WORLD FUEL SERVICES CORPORATION</w:t>
      </w:r>
    </w:p>
    <w:tbl>
      <w:tblPr>
        <w:tblW w:w="2339" w:type="pct"/>
        <w:tblCellMar>
          <w:top w:w="15" w:type="dxa"/>
          <w:left w:w="15" w:type="dxa"/>
          <w:bottom w:w="15" w:type="dxa"/>
          <w:right w:w="15" w:type="dxa"/>
        </w:tblCellMar>
        <w:tblLook w:val="04A0" w:firstRow="1" w:lastRow="0" w:firstColumn="1" w:lastColumn="0" w:noHBand="0" w:noVBand="1"/>
      </w:tblPr>
      <w:tblGrid>
        <w:gridCol w:w="38"/>
        <w:gridCol w:w="1709"/>
        <w:gridCol w:w="37"/>
        <w:gridCol w:w="36"/>
        <w:gridCol w:w="2030"/>
        <w:gridCol w:w="36"/>
      </w:tblGrid>
      <w:tr w:rsidR="00000000" w14:paraId="0BB0CF04" w14:textId="77777777">
        <w:trPr>
          <w:divId w:val="232474391"/>
        </w:trPr>
        <w:tc>
          <w:tcPr>
            <w:tcW w:w="50" w:type="pct"/>
            <w:vAlign w:val="center"/>
            <w:hideMark/>
          </w:tcPr>
          <w:p w14:paraId="5CA6040C" w14:textId="77777777" w:rsidR="00000000" w:rsidRDefault="00C01C43">
            <w:pPr>
              <w:jc w:val="both"/>
              <w:rPr>
                <w:rFonts w:eastAsia="Times New Roman"/>
              </w:rPr>
            </w:pPr>
          </w:p>
        </w:tc>
        <w:tc>
          <w:tcPr>
            <w:tcW w:w="2241" w:type="pct"/>
            <w:vAlign w:val="center"/>
            <w:hideMark/>
          </w:tcPr>
          <w:p w14:paraId="67F63732" w14:textId="77777777" w:rsidR="00000000" w:rsidRDefault="00C01C43">
            <w:pPr>
              <w:rPr>
                <w:rFonts w:eastAsia="Times New Roman"/>
                <w:sz w:val="20"/>
                <w:szCs w:val="20"/>
              </w:rPr>
            </w:pPr>
          </w:p>
        </w:tc>
        <w:tc>
          <w:tcPr>
            <w:tcW w:w="5" w:type="pct"/>
            <w:vAlign w:val="center"/>
            <w:hideMark/>
          </w:tcPr>
          <w:p w14:paraId="6BB05626" w14:textId="77777777" w:rsidR="00000000" w:rsidRDefault="00C01C43">
            <w:pPr>
              <w:rPr>
                <w:rFonts w:eastAsia="Times New Roman"/>
                <w:sz w:val="20"/>
                <w:szCs w:val="20"/>
              </w:rPr>
            </w:pPr>
          </w:p>
        </w:tc>
        <w:tc>
          <w:tcPr>
            <w:tcW w:w="50" w:type="pct"/>
            <w:vAlign w:val="center"/>
            <w:hideMark/>
          </w:tcPr>
          <w:p w14:paraId="66E5D99A" w14:textId="77777777" w:rsidR="00000000" w:rsidRDefault="00C01C43">
            <w:pPr>
              <w:rPr>
                <w:rFonts w:eastAsia="Times New Roman"/>
                <w:sz w:val="20"/>
                <w:szCs w:val="20"/>
              </w:rPr>
            </w:pPr>
          </w:p>
        </w:tc>
        <w:tc>
          <w:tcPr>
            <w:tcW w:w="2648" w:type="pct"/>
            <w:vAlign w:val="center"/>
            <w:hideMark/>
          </w:tcPr>
          <w:p w14:paraId="1AD9D512" w14:textId="77777777" w:rsidR="00000000" w:rsidRDefault="00C01C43">
            <w:pPr>
              <w:rPr>
                <w:rFonts w:eastAsia="Times New Roman"/>
                <w:sz w:val="20"/>
                <w:szCs w:val="20"/>
              </w:rPr>
            </w:pPr>
          </w:p>
        </w:tc>
        <w:tc>
          <w:tcPr>
            <w:tcW w:w="5" w:type="pct"/>
            <w:vAlign w:val="center"/>
            <w:hideMark/>
          </w:tcPr>
          <w:p w14:paraId="31CFCB23" w14:textId="77777777" w:rsidR="00000000" w:rsidRDefault="00C01C43">
            <w:pPr>
              <w:rPr>
                <w:rFonts w:eastAsia="Times New Roman"/>
                <w:sz w:val="20"/>
                <w:szCs w:val="20"/>
              </w:rPr>
            </w:pPr>
          </w:p>
        </w:tc>
      </w:tr>
      <w:tr w:rsidR="00000000" w14:paraId="1316AA43" w14:textId="77777777">
        <w:trPr>
          <w:divId w:val="232474391"/>
        </w:trPr>
        <w:tc>
          <w:tcPr>
            <w:tcW w:w="0" w:type="auto"/>
            <w:gridSpan w:val="3"/>
            <w:tcMar>
              <w:top w:w="30" w:type="dxa"/>
              <w:left w:w="20" w:type="dxa"/>
              <w:bottom w:w="30" w:type="dxa"/>
              <w:right w:w="20" w:type="dxa"/>
            </w:tcMar>
            <w:vAlign w:val="bottom"/>
            <w:hideMark/>
          </w:tcPr>
          <w:p w14:paraId="19028301" w14:textId="77777777" w:rsidR="00000000" w:rsidRDefault="00C01C43">
            <w:pPr>
              <w:rPr>
                <w:rFonts w:eastAsia="Times New Roman"/>
              </w:rPr>
            </w:pPr>
            <w:r>
              <w:rPr>
                <w:rFonts w:ascii="Arial" w:eastAsia="Times New Roman" w:hAnsi="Arial" w:cs="Arial"/>
                <w:color w:val="000000"/>
                <w:sz w:val="18"/>
                <w:szCs w:val="18"/>
              </w:rPr>
              <w:t>/s/ MICHAEL J. KASBAR</w:t>
            </w:r>
          </w:p>
        </w:tc>
        <w:tc>
          <w:tcPr>
            <w:tcW w:w="0" w:type="auto"/>
            <w:gridSpan w:val="3"/>
            <w:tcMar>
              <w:top w:w="0" w:type="dxa"/>
              <w:left w:w="20" w:type="dxa"/>
              <w:bottom w:w="0" w:type="dxa"/>
              <w:right w:w="20" w:type="dxa"/>
            </w:tcMar>
            <w:vAlign w:val="center"/>
            <w:hideMark/>
          </w:tcPr>
          <w:p w14:paraId="106879D5" w14:textId="77777777" w:rsidR="00000000" w:rsidRDefault="00C01C43">
            <w:pPr>
              <w:rPr>
                <w:rFonts w:eastAsia="Times New Roman"/>
              </w:rPr>
            </w:pPr>
          </w:p>
        </w:tc>
      </w:tr>
      <w:tr w:rsidR="00000000" w14:paraId="54C3E381" w14:textId="77777777">
        <w:trPr>
          <w:divId w:val="232474391"/>
        </w:trPr>
        <w:tc>
          <w:tcPr>
            <w:tcW w:w="0" w:type="auto"/>
            <w:gridSpan w:val="6"/>
            <w:tcBorders>
              <w:top w:val="single" w:sz="8" w:space="0" w:color="000000"/>
            </w:tcBorders>
            <w:tcMar>
              <w:top w:w="30" w:type="dxa"/>
              <w:left w:w="20" w:type="dxa"/>
              <w:bottom w:w="30" w:type="dxa"/>
              <w:right w:w="20" w:type="dxa"/>
            </w:tcMar>
            <w:vAlign w:val="bottom"/>
            <w:hideMark/>
          </w:tcPr>
          <w:p w14:paraId="678E838F" w14:textId="77777777" w:rsidR="00000000" w:rsidRDefault="00C01C43">
            <w:pPr>
              <w:ind w:firstLine="135"/>
              <w:divId w:val="1836147470"/>
              <w:rPr>
                <w:rFonts w:eastAsia="Times New Roman"/>
              </w:rPr>
            </w:pPr>
            <w:r>
              <w:rPr>
                <w:rFonts w:ascii="Arial" w:eastAsia="Times New Roman" w:hAnsi="Arial" w:cs="Arial"/>
                <w:color w:val="000000"/>
                <w:sz w:val="18"/>
                <w:szCs w:val="18"/>
              </w:rPr>
              <w:t> Michael J. Kasbar</w:t>
            </w:r>
          </w:p>
          <w:p w14:paraId="615A0021" w14:textId="77777777" w:rsidR="00000000" w:rsidRDefault="00C01C43">
            <w:pPr>
              <w:ind w:firstLine="135"/>
              <w:divId w:val="1008672432"/>
              <w:rPr>
                <w:rFonts w:eastAsia="Times New Roman"/>
              </w:rPr>
            </w:pPr>
            <w:r>
              <w:rPr>
                <w:rFonts w:ascii="Arial" w:eastAsia="Times New Roman" w:hAnsi="Arial" w:cs="Arial"/>
                <w:color w:val="000000"/>
                <w:sz w:val="18"/>
                <w:szCs w:val="18"/>
              </w:rPr>
              <w:t> </w:t>
            </w:r>
            <w:r>
              <w:rPr>
                <w:rFonts w:ascii="Arial" w:eastAsia="Times New Roman" w:hAnsi="Arial" w:cs="Arial"/>
                <w:color w:val="000000"/>
                <w:sz w:val="18"/>
                <w:szCs w:val="18"/>
              </w:rPr>
              <w:t>Chairman, President and Chief Executive Officer</w:t>
            </w:r>
          </w:p>
        </w:tc>
      </w:tr>
      <w:tr w:rsidR="00000000" w14:paraId="772CD6E3" w14:textId="77777777">
        <w:trPr>
          <w:divId w:val="232474391"/>
          <w:trHeight w:val="60"/>
        </w:trPr>
        <w:tc>
          <w:tcPr>
            <w:tcW w:w="0" w:type="auto"/>
            <w:gridSpan w:val="3"/>
            <w:tcMar>
              <w:top w:w="0" w:type="dxa"/>
              <w:left w:w="20" w:type="dxa"/>
              <w:bottom w:w="0" w:type="dxa"/>
              <w:right w:w="20" w:type="dxa"/>
            </w:tcMar>
            <w:vAlign w:val="center"/>
            <w:hideMark/>
          </w:tcPr>
          <w:p w14:paraId="79FBACD1" w14:textId="77777777" w:rsidR="00000000" w:rsidRDefault="00C01C43">
            <w:pPr>
              <w:ind w:firstLine="135"/>
              <w:rPr>
                <w:rFonts w:eastAsia="Times New Roman"/>
              </w:rPr>
            </w:pPr>
          </w:p>
        </w:tc>
        <w:tc>
          <w:tcPr>
            <w:tcW w:w="0" w:type="auto"/>
            <w:gridSpan w:val="3"/>
            <w:tcMar>
              <w:top w:w="0" w:type="dxa"/>
              <w:left w:w="20" w:type="dxa"/>
              <w:bottom w:w="0" w:type="dxa"/>
              <w:right w:w="20" w:type="dxa"/>
            </w:tcMar>
            <w:vAlign w:val="center"/>
            <w:hideMark/>
          </w:tcPr>
          <w:p w14:paraId="4721CFC7" w14:textId="77777777" w:rsidR="00000000" w:rsidRDefault="00C01C43">
            <w:pPr>
              <w:rPr>
                <w:rFonts w:eastAsia="Times New Roman"/>
                <w:sz w:val="20"/>
                <w:szCs w:val="20"/>
              </w:rPr>
            </w:pPr>
          </w:p>
        </w:tc>
      </w:tr>
      <w:tr w:rsidR="00000000" w14:paraId="4E9BB0F6" w14:textId="77777777">
        <w:trPr>
          <w:divId w:val="232474391"/>
        </w:trPr>
        <w:tc>
          <w:tcPr>
            <w:tcW w:w="0" w:type="auto"/>
            <w:gridSpan w:val="3"/>
            <w:tcMar>
              <w:top w:w="30" w:type="dxa"/>
              <w:left w:w="20" w:type="dxa"/>
              <w:bottom w:w="30" w:type="dxa"/>
              <w:right w:w="20" w:type="dxa"/>
            </w:tcMar>
            <w:vAlign w:val="bottom"/>
            <w:hideMark/>
          </w:tcPr>
          <w:p w14:paraId="0E3CBB41" w14:textId="77777777" w:rsidR="00000000" w:rsidRDefault="00C01C43">
            <w:pPr>
              <w:rPr>
                <w:rFonts w:eastAsia="Times New Roman"/>
              </w:rPr>
            </w:pPr>
            <w:r>
              <w:rPr>
                <w:rFonts w:ascii="Arial" w:eastAsia="Times New Roman" w:hAnsi="Arial" w:cs="Arial"/>
                <w:color w:val="000000"/>
                <w:sz w:val="18"/>
                <w:szCs w:val="18"/>
              </w:rPr>
              <w:t>/s/ IRA M. BIRNS</w:t>
            </w:r>
          </w:p>
        </w:tc>
        <w:tc>
          <w:tcPr>
            <w:tcW w:w="0" w:type="auto"/>
            <w:gridSpan w:val="3"/>
            <w:tcMar>
              <w:top w:w="0" w:type="dxa"/>
              <w:left w:w="20" w:type="dxa"/>
              <w:bottom w:w="0" w:type="dxa"/>
              <w:right w:w="20" w:type="dxa"/>
            </w:tcMar>
            <w:vAlign w:val="center"/>
            <w:hideMark/>
          </w:tcPr>
          <w:p w14:paraId="4AE85899" w14:textId="77777777" w:rsidR="00000000" w:rsidRDefault="00C01C43">
            <w:pPr>
              <w:rPr>
                <w:rFonts w:eastAsia="Times New Roman"/>
              </w:rPr>
            </w:pPr>
          </w:p>
        </w:tc>
      </w:tr>
      <w:tr w:rsidR="00000000" w14:paraId="663FE193" w14:textId="77777777">
        <w:trPr>
          <w:divId w:val="232474391"/>
        </w:trPr>
        <w:tc>
          <w:tcPr>
            <w:tcW w:w="0" w:type="auto"/>
            <w:gridSpan w:val="6"/>
            <w:tcBorders>
              <w:top w:val="single" w:sz="8" w:space="0" w:color="000000"/>
            </w:tcBorders>
            <w:tcMar>
              <w:top w:w="30" w:type="dxa"/>
              <w:left w:w="20" w:type="dxa"/>
              <w:bottom w:w="30" w:type="dxa"/>
              <w:right w:w="20" w:type="dxa"/>
            </w:tcMar>
            <w:vAlign w:val="bottom"/>
            <w:hideMark/>
          </w:tcPr>
          <w:p w14:paraId="45E09CDE" w14:textId="77777777" w:rsidR="00000000" w:rsidRDefault="00C01C43">
            <w:pPr>
              <w:ind w:firstLine="135"/>
              <w:divId w:val="1407415880"/>
              <w:rPr>
                <w:rFonts w:eastAsia="Times New Roman"/>
              </w:rPr>
            </w:pPr>
            <w:r>
              <w:rPr>
                <w:rFonts w:ascii="Arial" w:eastAsia="Times New Roman" w:hAnsi="Arial" w:cs="Arial"/>
                <w:color w:val="000000"/>
                <w:sz w:val="18"/>
                <w:szCs w:val="18"/>
              </w:rPr>
              <w:t> Ira M. Birns</w:t>
            </w:r>
          </w:p>
          <w:p w14:paraId="54EEBFC6" w14:textId="77777777" w:rsidR="00000000" w:rsidRDefault="00C01C43">
            <w:pPr>
              <w:ind w:firstLine="135"/>
              <w:divId w:val="1579359914"/>
              <w:rPr>
                <w:rFonts w:eastAsia="Times New Roman"/>
              </w:rPr>
            </w:pPr>
            <w:r>
              <w:rPr>
                <w:rFonts w:ascii="Arial" w:eastAsia="Times New Roman" w:hAnsi="Arial" w:cs="Arial"/>
                <w:color w:val="000000"/>
                <w:sz w:val="18"/>
                <w:szCs w:val="18"/>
              </w:rPr>
              <w:t> Executive Vice President and Chief Financial Officer</w:t>
            </w:r>
          </w:p>
        </w:tc>
      </w:tr>
    </w:tbl>
    <w:p w14:paraId="3BBDABA7" w14:textId="77777777" w:rsidR="00000000" w:rsidRDefault="00C01C43">
      <w:pPr>
        <w:jc w:val="both"/>
        <w:divId w:val="1576622632"/>
        <w:rPr>
          <w:rFonts w:eastAsia="Times New Roman"/>
        </w:rPr>
      </w:pPr>
      <w:r>
        <w:rPr>
          <w:rFonts w:ascii="Arial" w:eastAsia="Times New Roman" w:hAnsi="Arial" w:cs="Arial"/>
          <w:color w:val="000000"/>
          <w:sz w:val="18"/>
          <w:szCs w:val="18"/>
        </w:rPr>
        <w:t>Pursuant to the requirements of the Securities Exchange Act of 1934, this Form 10</w:t>
      </w:r>
      <w:r>
        <w:rPr>
          <w:rFonts w:ascii="Arial" w:eastAsia="Times New Roman" w:hAnsi="Arial" w:cs="Arial"/>
          <w:color w:val="000000"/>
          <w:sz w:val="18"/>
          <w:szCs w:val="18"/>
        </w:rPr>
        <w:noBreakHyphen/>
        <w:t>K has been signed below by the following persons on behalf of the registrant and in the capacities indicated on February 26, 2021.</w:t>
      </w:r>
    </w:p>
    <w:tbl>
      <w:tblPr>
        <w:tblW w:w="4985" w:type="pct"/>
        <w:tblCellMar>
          <w:top w:w="15" w:type="dxa"/>
          <w:left w:w="15" w:type="dxa"/>
          <w:bottom w:w="15" w:type="dxa"/>
          <w:right w:w="15" w:type="dxa"/>
        </w:tblCellMar>
        <w:tblLook w:val="04A0" w:firstRow="1" w:lastRow="0" w:firstColumn="1" w:lastColumn="0" w:noHBand="0" w:noVBand="1"/>
      </w:tblPr>
      <w:tblGrid>
        <w:gridCol w:w="60"/>
        <w:gridCol w:w="2801"/>
        <w:gridCol w:w="38"/>
        <w:gridCol w:w="36"/>
        <w:gridCol w:w="36"/>
        <w:gridCol w:w="36"/>
        <w:gridCol w:w="44"/>
        <w:gridCol w:w="5193"/>
        <w:gridCol w:w="37"/>
      </w:tblGrid>
      <w:tr w:rsidR="00000000" w14:paraId="0A55485F" w14:textId="77777777">
        <w:trPr>
          <w:divId w:val="1058019357"/>
        </w:trPr>
        <w:tc>
          <w:tcPr>
            <w:tcW w:w="50" w:type="pct"/>
            <w:vAlign w:val="center"/>
            <w:hideMark/>
          </w:tcPr>
          <w:p w14:paraId="766F0B0B" w14:textId="77777777" w:rsidR="00000000" w:rsidRDefault="00C01C43">
            <w:pPr>
              <w:jc w:val="both"/>
              <w:rPr>
                <w:rFonts w:eastAsia="Times New Roman"/>
              </w:rPr>
            </w:pPr>
          </w:p>
        </w:tc>
        <w:tc>
          <w:tcPr>
            <w:tcW w:w="1704" w:type="pct"/>
            <w:vAlign w:val="center"/>
            <w:hideMark/>
          </w:tcPr>
          <w:p w14:paraId="1D079BFC" w14:textId="77777777" w:rsidR="00000000" w:rsidRDefault="00C01C43">
            <w:pPr>
              <w:rPr>
                <w:rFonts w:eastAsia="Times New Roman"/>
                <w:sz w:val="20"/>
                <w:szCs w:val="20"/>
              </w:rPr>
            </w:pPr>
          </w:p>
        </w:tc>
        <w:tc>
          <w:tcPr>
            <w:tcW w:w="5" w:type="pct"/>
            <w:vAlign w:val="center"/>
            <w:hideMark/>
          </w:tcPr>
          <w:p w14:paraId="47F7D71B" w14:textId="77777777" w:rsidR="00000000" w:rsidRDefault="00C01C43">
            <w:pPr>
              <w:rPr>
                <w:rFonts w:eastAsia="Times New Roman"/>
                <w:sz w:val="20"/>
                <w:szCs w:val="20"/>
              </w:rPr>
            </w:pPr>
          </w:p>
        </w:tc>
        <w:tc>
          <w:tcPr>
            <w:tcW w:w="5" w:type="pct"/>
            <w:vAlign w:val="center"/>
            <w:hideMark/>
          </w:tcPr>
          <w:p w14:paraId="0A04085E" w14:textId="77777777" w:rsidR="00000000" w:rsidRDefault="00C01C43">
            <w:pPr>
              <w:rPr>
                <w:rFonts w:eastAsia="Times New Roman"/>
                <w:sz w:val="20"/>
                <w:szCs w:val="20"/>
              </w:rPr>
            </w:pPr>
          </w:p>
        </w:tc>
        <w:tc>
          <w:tcPr>
            <w:tcW w:w="26" w:type="pct"/>
            <w:vAlign w:val="center"/>
            <w:hideMark/>
          </w:tcPr>
          <w:p w14:paraId="57C1C4A8" w14:textId="77777777" w:rsidR="00000000" w:rsidRDefault="00C01C43">
            <w:pPr>
              <w:rPr>
                <w:rFonts w:eastAsia="Times New Roman"/>
                <w:sz w:val="20"/>
                <w:szCs w:val="20"/>
              </w:rPr>
            </w:pPr>
          </w:p>
        </w:tc>
        <w:tc>
          <w:tcPr>
            <w:tcW w:w="5" w:type="pct"/>
            <w:vAlign w:val="center"/>
            <w:hideMark/>
          </w:tcPr>
          <w:p w14:paraId="3FA237F3" w14:textId="77777777" w:rsidR="00000000" w:rsidRDefault="00C01C43">
            <w:pPr>
              <w:rPr>
                <w:rFonts w:eastAsia="Times New Roman"/>
                <w:sz w:val="20"/>
                <w:szCs w:val="20"/>
              </w:rPr>
            </w:pPr>
          </w:p>
        </w:tc>
        <w:tc>
          <w:tcPr>
            <w:tcW w:w="50" w:type="pct"/>
            <w:vAlign w:val="center"/>
            <w:hideMark/>
          </w:tcPr>
          <w:p w14:paraId="4D4933BA" w14:textId="77777777" w:rsidR="00000000" w:rsidRDefault="00C01C43">
            <w:pPr>
              <w:rPr>
                <w:rFonts w:eastAsia="Times New Roman"/>
                <w:sz w:val="20"/>
                <w:szCs w:val="20"/>
              </w:rPr>
            </w:pPr>
          </w:p>
        </w:tc>
        <w:tc>
          <w:tcPr>
            <w:tcW w:w="3148" w:type="pct"/>
            <w:vAlign w:val="center"/>
            <w:hideMark/>
          </w:tcPr>
          <w:p w14:paraId="0C52473B" w14:textId="77777777" w:rsidR="00000000" w:rsidRDefault="00C01C43">
            <w:pPr>
              <w:rPr>
                <w:rFonts w:eastAsia="Times New Roman"/>
                <w:sz w:val="20"/>
                <w:szCs w:val="20"/>
              </w:rPr>
            </w:pPr>
          </w:p>
        </w:tc>
        <w:tc>
          <w:tcPr>
            <w:tcW w:w="5" w:type="pct"/>
            <w:vAlign w:val="center"/>
            <w:hideMark/>
          </w:tcPr>
          <w:p w14:paraId="4B83620C" w14:textId="77777777" w:rsidR="00000000" w:rsidRDefault="00C01C43">
            <w:pPr>
              <w:rPr>
                <w:rFonts w:eastAsia="Times New Roman"/>
                <w:sz w:val="20"/>
                <w:szCs w:val="20"/>
              </w:rPr>
            </w:pPr>
          </w:p>
        </w:tc>
      </w:tr>
      <w:tr w:rsidR="00000000" w14:paraId="171DF08F" w14:textId="77777777">
        <w:trPr>
          <w:divId w:val="1058019357"/>
        </w:trPr>
        <w:tc>
          <w:tcPr>
            <w:tcW w:w="0" w:type="auto"/>
            <w:gridSpan w:val="3"/>
            <w:tcMar>
              <w:top w:w="30" w:type="dxa"/>
              <w:left w:w="20" w:type="dxa"/>
              <w:bottom w:w="30" w:type="dxa"/>
              <w:right w:w="20" w:type="dxa"/>
            </w:tcMar>
            <w:vAlign w:val="bottom"/>
            <w:hideMark/>
          </w:tcPr>
          <w:p w14:paraId="04C6081B" w14:textId="77777777" w:rsidR="00000000" w:rsidRDefault="00C01C43">
            <w:pPr>
              <w:rPr>
                <w:rFonts w:eastAsia="Times New Roman"/>
              </w:rPr>
            </w:pPr>
            <w:r>
              <w:rPr>
                <w:rFonts w:ascii="Arial" w:eastAsia="Times New Roman" w:hAnsi="Arial" w:cs="Arial"/>
                <w:b/>
                <w:bCs/>
                <w:color w:val="000000"/>
                <w:sz w:val="18"/>
                <w:szCs w:val="18"/>
              </w:rPr>
              <w:t>Signature</w:t>
            </w:r>
          </w:p>
        </w:tc>
        <w:tc>
          <w:tcPr>
            <w:tcW w:w="0" w:type="auto"/>
            <w:gridSpan w:val="3"/>
            <w:tcMar>
              <w:top w:w="0" w:type="dxa"/>
              <w:left w:w="20" w:type="dxa"/>
              <w:bottom w:w="0" w:type="dxa"/>
              <w:right w:w="20" w:type="dxa"/>
            </w:tcMar>
            <w:vAlign w:val="center"/>
            <w:hideMark/>
          </w:tcPr>
          <w:p w14:paraId="3C31B200"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59867AB2" w14:textId="77777777" w:rsidR="00000000" w:rsidRDefault="00C01C43">
            <w:pPr>
              <w:rPr>
                <w:rFonts w:eastAsia="Times New Roman"/>
              </w:rPr>
            </w:pPr>
            <w:r>
              <w:rPr>
                <w:rFonts w:ascii="Arial" w:eastAsia="Times New Roman" w:hAnsi="Arial" w:cs="Arial"/>
                <w:b/>
                <w:bCs/>
                <w:color w:val="000000"/>
                <w:sz w:val="18"/>
                <w:szCs w:val="18"/>
              </w:rPr>
              <w:t>Title</w:t>
            </w:r>
          </w:p>
        </w:tc>
      </w:tr>
      <w:tr w:rsidR="00000000" w14:paraId="3A21C434" w14:textId="77777777">
        <w:trPr>
          <w:divId w:val="1058019357"/>
        </w:trPr>
        <w:tc>
          <w:tcPr>
            <w:tcW w:w="0" w:type="auto"/>
            <w:gridSpan w:val="3"/>
            <w:tcMar>
              <w:top w:w="30" w:type="dxa"/>
              <w:left w:w="20" w:type="dxa"/>
              <w:bottom w:w="30" w:type="dxa"/>
              <w:right w:w="20" w:type="dxa"/>
            </w:tcMar>
            <w:vAlign w:val="bottom"/>
            <w:hideMark/>
          </w:tcPr>
          <w:p w14:paraId="72A25505" w14:textId="77777777" w:rsidR="00000000" w:rsidRDefault="00C01C43">
            <w:pPr>
              <w:rPr>
                <w:rFonts w:eastAsia="Times New Roman"/>
              </w:rPr>
            </w:pPr>
            <w:r>
              <w:rPr>
                <w:rFonts w:ascii="Arial" w:eastAsia="Times New Roman" w:hAnsi="Arial" w:cs="Arial"/>
                <w:color w:val="000000"/>
                <w:sz w:val="18"/>
                <w:szCs w:val="18"/>
              </w:rPr>
              <w:t>/s/ MICHAEL J. KASBAR</w:t>
            </w:r>
          </w:p>
        </w:tc>
        <w:tc>
          <w:tcPr>
            <w:tcW w:w="0" w:type="auto"/>
            <w:gridSpan w:val="3"/>
            <w:tcMar>
              <w:top w:w="0" w:type="dxa"/>
              <w:left w:w="20" w:type="dxa"/>
              <w:bottom w:w="0" w:type="dxa"/>
              <w:right w:w="20" w:type="dxa"/>
            </w:tcMar>
            <w:vAlign w:val="center"/>
            <w:hideMark/>
          </w:tcPr>
          <w:p w14:paraId="58A48E10"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3BEACF5C" w14:textId="77777777" w:rsidR="00000000" w:rsidRDefault="00C01C43">
            <w:pPr>
              <w:rPr>
                <w:rFonts w:eastAsia="Times New Roman"/>
              </w:rPr>
            </w:pPr>
            <w:r>
              <w:rPr>
                <w:rFonts w:ascii="Arial" w:eastAsia="Times New Roman" w:hAnsi="Arial" w:cs="Arial"/>
                <w:color w:val="000000"/>
                <w:sz w:val="18"/>
                <w:szCs w:val="18"/>
              </w:rPr>
              <w:t>Chairman, President and Chief Executive Officer</w:t>
            </w:r>
          </w:p>
        </w:tc>
      </w:tr>
      <w:tr w:rsidR="00000000" w14:paraId="279E7079" w14:textId="77777777">
        <w:trPr>
          <w:divId w:val="1058019357"/>
        </w:trPr>
        <w:tc>
          <w:tcPr>
            <w:tcW w:w="0" w:type="auto"/>
            <w:gridSpan w:val="3"/>
            <w:tcBorders>
              <w:top w:val="single" w:sz="8" w:space="0" w:color="000000"/>
            </w:tcBorders>
            <w:tcMar>
              <w:top w:w="30" w:type="dxa"/>
              <w:left w:w="20" w:type="dxa"/>
              <w:bottom w:w="30" w:type="dxa"/>
              <w:right w:w="20" w:type="dxa"/>
            </w:tcMar>
            <w:vAlign w:val="bottom"/>
            <w:hideMark/>
          </w:tcPr>
          <w:p w14:paraId="3C70D92E" w14:textId="77777777" w:rsidR="00000000" w:rsidRDefault="00C01C43">
            <w:pPr>
              <w:rPr>
                <w:rFonts w:eastAsia="Times New Roman"/>
              </w:rPr>
            </w:pPr>
            <w:r>
              <w:rPr>
                <w:rFonts w:ascii="Arial" w:eastAsia="Times New Roman" w:hAnsi="Arial" w:cs="Arial"/>
                <w:color w:val="000000"/>
                <w:sz w:val="18"/>
                <w:szCs w:val="18"/>
              </w:rPr>
              <w:t>Michael J. Kasbar</w:t>
            </w:r>
          </w:p>
        </w:tc>
        <w:tc>
          <w:tcPr>
            <w:tcW w:w="0" w:type="auto"/>
            <w:gridSpan w:val="3"/>
            <w:tcMar>
              <w:top w:w="0" w:type="dxa"/>
              <w:left w:w="20" w:type="dxa"/>
              <w:bottom w:w="0" w:type="dxa"/>
              <w:right w:w="20" w:type="dxa"/>
            </w:tcMar>
            <w:vAlign w:val="center"/>
            <w:hideMark/>
          </w:tcPr>
          <w:p w14:paraId="50488ED4"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0A9C420C" w14:textId="77777777" w:rsidR="00000000" w:rsidRDefault="00C01C43">
            <w:pPr>
              <w:rPr>
                <w:rFonts w:eastAsia="Times New Roman"/>
              </w:rPr>
            </w:pPr>
            <w:r>
              <w:rPr>
                <w:rFonts w:ascii="Arial" w:eastAsia="Times New Roman" w:hAnsi="Arial" w:cs="Arial"/>
                <w:color w:val="000000"/>
                <w:sz w:val="18"/>
                <w:szCs w:val="18"/>
              </w:rPr>
              <w:t>(Principal Executive Officer)</w:t>
            </w:r>
          </w:p>
        </w:tc>
      </w:tr>
      <w:tr w:rsidR="00000000" w14:paraId="34F1B749" w14:textId="77777777">
        <w:trPr>
          <w:divId w:val="1058019357"/>
          <w:trHeight w:val="60"/>
        </w:trPr>
        <w:tc>
          <w:tcPr>
            <w:tcW w:w="0" w:type="auto"/>
            <w:gridSpan w:val="3"/>
            <w:tcMar>
              <w:top w:w="0" w:type="dxa"/>
              <w:left w:w="20" w:type="dxa"/>
              <w:bottom w:w="0" w:type="dxa"/>
              <w:right w:w="20" w:type="dxa"/>
            </w:tcMar>
            <w:vAlign w:val="center"/>
            <w:hideMark/>
          </w:tcPr>
          <w:p w14:paraId="044D8895"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2D7D7F91"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4293A36F" w14:textId="77777777" w:rsidR="00000000" w:rsidRDefault="00C01C43">
            <w:pPr>
              <w:rPr>
                <w:rFonts w:eastAsia="Times New Roman"/>
                <w:sz w:val="20"/>
                <w:szCs w:val="20"/>
              </w:rPr>
            </w:pPr>
          </w:p>
        </w:tc>
      </w:tr>
      <w:tr w:rsidR="00000000" w14:paraId="6F8BBF47" w14:textId="77777777">
        <w:trPr>
          <w:divId w:val="1058019357"/>
        </w:trPr>
        <w:tc>
          <w:tcPr>
            <w:tcW w:w="0" w:type="auto"/>
            <w:gridSpan w:val="3"/>
            <w:tcMar>
              <w:top w:w="30" w:type="dxa"/>
              <w:left w:w="20" w:type="dxa"/>
              <w:bottom w:w="30" w:type="dxa"/>
              <w:right w:w="20" w:type="dxa"/>
            </w:tcMar>
            <w:vAlign w:val="bottom"/>
            <w:hideMark/>
          </w:tcPr>
          <w:p w14:paraId="38113CD1" w14:textId="77777777" w:rsidR="00000000" w:rsidRDefault="00C01C43">
            <w:pPr>
              <w:rPr>
                <w:rFonts w:eastAsia="Times New Roman"/>
              </w:rPr>
            </w:pPr>
            <w:r>
              <w:rPr>
                <w:rFonts w:ascii="Arial" w:eastAsia="Times New Roman" w:hAnsi="Arial" w:cs="Arial"/>
                <w:color w:val="000000"/>
                <w:sz w:val="18"/>
                <w:szCs w:val="18"/>
              </w:rPr>
              <w:t>/s/ IRA M. BIRNS</w:t>
            </w:r>
          </w:p>
        </w:tc>
        <w:tc>
          <w:tcPr>
            <w:tcW w:w="0" w:type="auto"/>
            <w:gridSpan w:val="3"/>
            <w:tcMar>
              <w:top w:w="0" w:type="dxa"/>
              <w:left w:w="20" w:type="dxa"/>
              <w:bottom w:w="0" w:type="dxa"/>
              <w:right w:w="20" w:type="dxa"/>
            </w:tcMar>
            <w:vAlign w:val="center"/>
            <w:hideMark/>
          </w:tcPr>
          <w:p w14:paraId="0856FAD7"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0BE1C693" w14:textId="77777777" w:rsidR="00000000" w:rsidRDefault="00C01C43">
            <w:pPr>
              <w:rPr>
                <w:rFonts w:eastAsia="Times New Roman"/>
              </w:rPr>
            </w:pPr>
            <w:r>
              <w:rPr>
                <w:rFonts w:ascii="Arial" w:eastAsia="Times New Roman" w:hAnsi="Arial" w:cs="Arial"/>
                <w:color w:val="000000"/>
                <w:sz w:val="18"/>
                <w:szCs w:val="18"/>
              </w:rPr>
              <w:t>Executive Vice President and Chief Financial Officer</w:t>
            </w:r>
          </w:p>
        </w:tc>
      </w:tr>
      <w:tr w:rsidR="00000000" w14:paraId="330DAA9C" w14:textId="77777777">
        <w:trPr>
          <w:divId w:val="1058019357"/>
        </w:trPr>
        <w:tc>
          <w:tcPr>
            <w:tcW w:w="0" w:type="auto"/>
            <w:gridSpan w:val="3"/>
            <w:tcBorders>
              <w:top w:val="single" w:sz="8" w:space="0" w:color="000000"/>
            </w:tcBorders>
            <w:tcMar>
              <w:top w:w="30" w:type="dxa"/>
              <w:left w:w="20" w:type="dxa"/>
              <w:bottom w:w="30" w:type="dxa"/>
              <w:right w:w="20" w:type="dxa"/>
            </w:tcMar>
            <w:vAlign w:val="bottom"/>
            <w:hideMark/>
          </w:tcPr>
          <w:p w14:paraId="5F360ABD" w14:textId="77777777" w:rsidR="00000000" w:rsidRDefault="00C01C43">
            <w:pPr>
              <w:rPr>
                <w:rFonts w:eastAsia="Times New Roman"/>
              </w:rPr>
            </w:pPr>
            <w:r>
              <w:rPr>
                <w:rFonts w:ascii="Arial" w:eastAsia="Times New Roman" w:hAnsi="Arial" w:cs="Arial"/>
                <w:color w:val="000000"/>
                <w:sz w:val="18"/>
                <w:szCs w:val="18"/>
              </w:rPr>
              <w:t>Ira M. Birns</w:t>
            </w:r>
          </w:p>
        </w:tc>
        <w:tc>
          <w:tcPr>
            <w:tcW w:w="0" w:type="auto"/>
            <w:gridSpan w:val="3"/>
            <w:tcMar>
              <w:top w:w="0" w:type="dxa"/>
              <w:left w:w="20" w:type="dxa"/>
              <w:bottom w:w="0" w:type="dxa"/>
              <w:right w:w="20" w:type="dxa"/>
            </w:tcMar>
            <w:vAlign w:val="center"/>
            <w:hideMark/>
          </w:tcPr>
          <w:p w14:paraId="3746EFEB" w14:textId="77777777" w:rsidR="00000000" w:rsidRDefault="00C01C43">
            <w:pPr>
              <w:rPr>
                <w:rFonts w:eastAsia="Times New Roman"/>
              </w:rPr>
            </w:pPr>
          </w:p>
        </w:tc>
        <w:tc>
          <w:tcPr>
            <w:tcW w:w="0" w:type="auto"/>
            <w:gridSpan w:val="3"/>
            <w:tcMar>
              <w:top w:w="30" w:type="dxa"/>
              <w:left w:w="20" w:type="dxa"/>
              <w:bottom w:w="30" w:type="dxa"/>
              <w:right w:w="20" w:type="dxa"/>
            </w:tcMar>
            <w:vAlign w:val="bottom"/>
            <w:hideMark/>
          </w:tcPr>
          <w:p w14:paraId="376EDC7E" w14:textId="77777777" w:rsidR="00000000" w:rsidRDefault="00C01C43">
            <w:pPr>
              <w:rPr>
                <w:rFonts w:eastAsia="Times New Roman"/>
              </w:rPr>
            </w:pPr>
            <w:r>
              <w:rPr>
                <w:rFonts w:ascii="Arial" w:eastAsia="Times New Roman" w:hAnsi="Arial" w:cs="Arial"/>
                <w:color w:val="000000"/>
                <w:sz w:val="18"/>
                <w:szCs w:val="18"/>
              </w:rPr>
              <w:t>(Principal Financial and Accounting Officer)</w:t>
            </w:r>
          </w:p>
        </w:tc>
      </w:tr>
      <w:tr w:rsidR="00000000" w14:paraId="502BF7A2" w14:textId="77777777">
        <w:trPr>
          <w:divId w:val="1058019357"/>
          <w:trHeight w:val="60"/>
        </w:trPr>
        <w:tc>
          <w:tcPr>
            <w:tcW w:w="0" w:type="auto"/>
            <w:gridSpan w:val="3"/>
            <w:tcMar>
              <w:top w:w="0" w:type="dxa"/>
              <w:left w:w="20" w:type="dxa"/>
              <w:bottom w:w="0" w:type="dxa"/>
              <w:right w:w="20" w:type="dxa"/>
            </w:tcMar>
            <w:vAlign w:val="center"/>
            <w:hideMark/>
          </w:tcPr>
          <w:p w14:paraId="2E56FE89"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5A6F9BC5"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06B7B1C8" w14:textId="77777777" w:rsidR="00000000" w:rsidRDefault="00C01C43">
            <w:pPr>
              <w:rPr>
                <w:rFonts w:eastAsia="Times New Roman"/>
                <w:sz w:val="20"/>
                <w:szCs w:val="20"/>
              </w:rPr>
            </w:pPr>
          </w:p>
        </w:tc>
      </w:tr>
      <w:tr w:rsidR="00000000" w14:paraId="26268E14" w14:textId="77777777">
        <w:trPr>
          <w:divId w:val="1058019357"/>
        </w:trPr>
        <w:tc>
          <w:tcPr>
            <w:tcW w:w="0" w:type="auto"/>
            <w:gridSpan w:val="3"/>
            <w:tcMar>
              <w:top w:w="30" w:type="dxa"/>
              <w:left w:w="20" w:type="dxa"/>
              <w:bottom w:w="30" w:type="dxa"/>
              <w:right w:w="20" w:type="dxa"/>
            </w:tcMar>
            <w:vAlign w:val="bottom"/>
            <w:hideMark/>
          </w:tcPr>
          <w:p w14:paraId="41C7E19C" w14:textId="77777777" w:rsidR="00000000" w:rsidRDefault="00C01C43">
            <w:pPr>
              <w:rPr>
                <w:rFonts w:eastAsia="Times New Roman"/>
              </w:rPr>
            </w:pPr>
            <w:r>
              <w:rPr>
                <w:rFonts w:ascii="Arial" w:eastAsia="Times New Roman" w:hAnsi="Arial" w:cs="Arial"/>
                <w:color w:val="000000"/>
                <w:sz w:val="18"/>
                <w:szCs w:val="18"/>
              </w:rPr>
              <w:t>/s/ KEN BAKSHI</w:t>
            </w:r>
          </w:p>
        </w:tc>
        <w:tc>
          <w:tcPr>
            <w:tcW w:w="0" w:type="auto"/>
            <w:gridSpan w:val="3"/>
            <w:tcMar>
              <w:top w:w="0" w:type="dxa"/>
              <w:left w:w="20" w:type="dxa"/>
              <w:bottom w:w="0" w:type="dxa"/>
              <w:right w:w="20" w:type="dxa"/>
            </w:tcMar>
            <w:vAlign w:val="center"/>
            <w:hideMark/>
          </w:tcPr>
          <w:p w14:paraId="2C26FCC2"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6EBB6535" w14:textId="77777777" w:rsidR="00000000" w:rsidRDefault="00C01C43">
            <w:pPr>
              <w:rPr>
                <w:rFonts w:eastAsia="Times New Roman"/>
              </w:rPr>
            </w:pPr>
            <w:r>
              <w:rPr>
                <w:rFonts w:ascii="Arial" w:eastAsia="Times New Roman" w:hAnsi="Arial" w:cs="Arial"/>
                <w:color w:val="000000"/>
                <w:sz w:val="18"/>
                <w:szCs w:val="18"/>
              </w:rPr>
              <w:t>Director</w:t>
            </w:r>
          </w:p>
        </w:tc>
      </w:tr>
      <w:tr w:rsidR="00000000" w14:paraId="4AC37F0E" w14:textId="77777777">
        <w:trPr>
          <w:divId w:val="1058019357"/>
        </w:trPr>
        <w:tc>
          <w:tcPr>
            <w:tcW w:w="0" w:type="auto"/>
            <w:gridSpan w:val="3"/>
            <w:tcBorders>
              <w:top w:val="single" w:sz="8" w:space="0" w:color="000000"/>
            </w:tcBorders>
            <w:tcMar>
              <w:top w:w="30" w:type="dxa"/>
              <w:left w:w="20" w:type="dxa"/>
              <w:bottom w:w="30" w:type="dxa"/>
              <w:right w:w="20" w:type="dxa"/>
            </w:tcMar>
            <w:vAlign w:val="bottom"/>
            <w:hideMark/>
          </w:tcPr>
          <w:p w14:paraId="3025576E" w14:textId="77777777" w:rsidR="00000000" w:rsidRDefault="00C01C43">
            <w:pPr>
              <w:rPr>
                <w:rFonts w:eastAsia="Times New Roman"/>
              </w:rPr>
            </w:pPr>
            <w:r>
              <w:rPr>
                <w:rFonts w:ascii="Arial" w:eastAsia="Times New Roman" w:hAnsi="Arial" w:cs="Arial"/>
                <w:color w:val="000000"/>
                <w:sz w:val="18"/>
                <w:szCs w:val="18"/>
              </w:rPr>
              <w:t>Ken Bakshi</w:t>
            </w:r>
          </w:p>
        </w:tc>
        <w:tc>
          <w:tcPr>
            <w:tcW w:w="0" w:type="auto"/>
            <w:gridSpan w:val="3"/>
            <w:tcMar>
              <w:top w:w="0" w:type="dxa"/>
              <w:left w:w="20" w:type="dxa"/>
              <w:bottom w:w="0" w:type="dxa"/>
              <w:right w:w="20" w:type="dxa"/>
            </w:tcMar>
            <w:vAlign w:val="center"/>
            <w:hideMark/>
          </w:tcPr>
          <w:p w14:paraId="2397D959"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137A02A0" w14:textId="77777777" w:rsidR="00000000" w:rsidRDefault="00C01C43">
            <w:pPr>
              <w:rPr>
                <w:rFonts w:eastAsia="Times New Roman"/>
                <w:sz w:val="20"/>
                <w:szCs w:val="20"/>
              </w:rPr>
            </w:pPr>
          </w:p>
        </w:tc>
      </w:tr>
      <w:tr w:rsidR="00000000" w14:paraId="13722BFF" w14:textId="77777777">
        <w:trPr>
          <w:divId w:val="1058019357"/>
          <w:trHeight w:val="60"/>
        </w:trPr>
        <w:tc>
          <w:tcPr>
            <w:tcW w:w="0" w:type="auto"/>
            <w:gridSpan w:val="3"/>
            <w:tcMar>
              <w:top w:w="0" w:type="dxa"/>
              <w:left w:w="20" w:type="dxa"/>
              <w:bottom w:w="0" w:type="dxa"/>
              <w:right w:w="20" w:type="dxa"/>
            </w:tcMar>
            <w:vAlign w:val="center"/>
            <w:hideMark/>
          </w:tcPr>
          <w:p w14:paraId="48EE0823"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6EBB0E90"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192AA114" w14:textId="77777777" w:rsidR="00000000" w:rsidRDefault="00C01C43">
            <w:pPr>
              <w:rPr>
                <w:rFonts w:eastAsia="Times New Roman"/>
                <w:sz w:val="20"/>
                <w:szCs w:val="20"/>
              </w:rPr>
            </w:pPr>
          </w:p>
        </w:tc>
      </w:tr>
      <w:tr w:rsidR="00000000" w14:paraId="4D18AA5D" w14:textId="77777777">
        <w:trPr>
          <w:divId w:val="1058019357"/>
        </w:trPr>
        <w:tc>
          <w:tcPr>
            <w:tcW w:w="0" w:type="auto"/>
            <w:gridSpan w:val="3"/>
            <w:tcMar>
              <w:top w:w="30" w:type="dxa"/>
              <w:left w:w="20" w:type="dxa"/>
              <w:bottom w:w="30" w:type="dxa"/>
              <w:right w:w="20" w:type="dxa"/>
            </w:tcMar>
            <w:vAlign w:val="bottom"/>
            <w:hideMark/>
          </w:tcPr>
          <w:p w14:paraId="1E0EA42A" w14:textId="77777777" w:rsidR="00000000" w:rsidRDefault="00C01C43">
            <w:pPr>
              <w:rPr>
                <w:rFonts w:eastAsia="Times New Roman"/>
              </w:rPr>
            </w:pPr>
            <w:r>
              <w:rPr>
                <w:rFonts w:ascii="Arial" w:eastAsia="Times New Roman" w:hAnsi="Arial" w:cs="Arial"/>
                <w:color w:val="000000"/>
                <w:sz w:val="18"/>
                <w:szCs w:val="18"/>
              </w:rPr>
              <w:t>/s/ JORGE L. BENITEZ</w:t>
            </w:r>
          </w:p>
        </w:tc>
        <w:tc>
          <w:tcPr>
            <w:tcW w:w="0" w:type="auto"/>
            <w:gridSpan w:val="3"/>
            <w:tcMar>
              <w:top w:w="0" w:type="dxa"/>
              <w:left w:w="20" w:type="dxa"/>
              <w:bottom w:w="0" w:type="dxa"/>
              <w:right w:w="20" w:type="dxa"/>
            </w:tcMar>
            <w:vAlign w:val="center"/>
            <w:hideMark/>
          </w:tcPr>
          <w:p w14:paraId="32BCA086"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0966F02D" w14:textId="77777777" w:rsidR="00000000" w:rsidRDefault="00C01C43">
            <w:pPr>
              <w:rPr>
                <w:rFonts w:eastAsia="Times New Roman"/>
              </w:rPr>
            </w:pPr>
            <w:r>
              <w:rPr>
                <w:rFonts w:ascii="Arial" w:eastAsia="Times New Roman" w:hAnsi="Arial" w:cs="Arial"/>
                <w:color w:val="000000"/>
                <w:sz w:val="18"/>
                <w:szCs w:val="18"/>
              </w:rPr>
              <w:t>Director</w:t>
            </w:r>
          </w:p>
        </w:tc>
      </w:tr>
      <w:tr w:rsidR="00000000" w14:paraId="5A0C3906" w14:textId="77777777">
        <w:trPr>
          <w:divId w:val="1058019357"/>
        </w:trPr>
        <w:tc>
          <w:tcPr>
            <w:tcW w:w="0" w:type="auto"/>
            <w:gridSpan w:val="3"/>
            <w:tcBorders>
              <w:top w:val="single" w:sz="8" w:space="0" w:color="000000"/>
            </w:tcBorders>
            <w:tcMar>
              <w:top w:w="30" w:type="dxa"/>
              <w:left w:w="20" w:type="dxa"/>
              <w:bottom w:w="30" w:type="dxa"/>
              <w:right w:w="20" w:type="dxa"/>
            </w:tcMar>
            <w:vAlign w:val="bottom"/>
            <w:hideMark/>
          </w:tcPr>
          <w:p w14:paraId="464C9E95" w14:textId="77777777" w:rsidR="00000000" w:rsidRDefault="00C01C43">
            <w:pPr>
              <w:rPr>
                <w:rFonts w:eastAsia="Times New Roman"/>
              </w:rPr>
            </w:pPr>
            <w:r>
              <w:rPr>
                <w:rFonts w:ascii="Arial" w:eastAsia="Times New Roman" w:hAnsi="Arial" w:cs="Arial"/>
                <w:color w:val="000000"/>
                <w:sz w:val="18"/>
                <w:szCs w:val="18"/>
              </w:rPr>
              <w:t>Jorge L. Benitez</w:t>
            </w:r>
          </w:p>
        </w:tc>
        <w:tc>
          <w:tcPr>
            <w:tcW w:w="0" w:type="auto"/>
            <w:gridSpan w:val="3"/>
            <w:tcMar>
              <w:top w:w="0" w:type="dxa"/>
              <w:left w:w="20" w:type="dxa"/>
              <w:bottom w:w="0" w:type="dxa"/>
              <w:right w:w="20" w:type="dxa"/>
            </w:tcMar>
            <w:vAlign w:val="center"/>
            <w:hideMark/>
          </w:tcPr>
          <w:p w14:paraId="046C8A15"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52F9F3D6" w14:textId="77777777" w:rsidR="00000000" w:rsidRDefault="00C01C43">
            <w:pPr>
              <w:rPr>
                <w:rFonts w:eastAsia="Times New Roman"/>
                <w:sz w:val="20"/>
                <w:szCs w:val="20"/>
              </w:rPr>
            </w:pPr>
          </w:p>
        </w:tc>
      </w:tr>
      <w:tr w:rsidR="00000000" w14:paraId="5BCBE713" w14:textId="77777777">
        <w:trPr>
          <w:divId w:val="1058019357"/>
          <w:trHeight w:val="60"/>
        </w:trPr>
        <w:tc>
          <w:tcPr>
            <w:tcW w:w="0" w:type="auto"/>
            <w:gridSpan w:val="3"/>
            <w:tcMar>
              <w:top w:w="0" w:type="dxa"/>
              <w:left w:w="20" w:type="dxa"/>
              <w:bottom w:w="0" w:type="dxa"/>
              <w:right w:w="20" w:type="dxa"/>
            </w:tcMar>
            <w:vAlign w:val="center"/>
            <w:hideMark/>
          </w:tcPr>
          <w:p w14:paraId="21F484AE"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3C92D776"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686091F2" w14:textId="77777777" w:rsidR="00000000" w:rsidRDefault="00C01C43">
            <w:pPr>
              <w:rPr>
                <w:rFonts w:eastAsia="Times New Roman"/>
                <w:sz w:val="20"/>
                <w:szCs w:val="20"/>
              </w:rPr>
            </w:pPr>
          </w:p>
        </w:tc>
      </w:tr>
      <w:tr w:rsidR="00000000" w14:paraId="2A667EBF" w14:textId="77777777">
        <w:trPr>
          <w:divId w:val="1058019357"/>
        </w:trPr>
        <w:tc>
          <w:tcPr>
            <w:tcW w:w="0" w:type="auto"/>
            <w:gridSpan w:val="3"/>
            <w:tcMar>
              <w:top w:w="30" w:type="dxa"/>
              <w:left w:w="20" w:type="dxa"/>
              <w:bottom w:w="30" w:type="dxa"/>
              <w:right w:w="20" w:type="dxa"/>
            </w:tcMar>
            <w:vAlign w:val="bottom"/>
            <w:hideMark/>
          </w:tcPr>
          <w:p w14:paraId="386CAEE7" w14:textId="77777777" w:rsidR="00000000" w:rsidRDefault="00C01C43">
            <w:pPr>
              <w:rPr>
                <w:rFonts w:eastAsia="Times New Roman"/>
              </w:rPr>
            </w:pPr>
            <w:r>
              <w:rPr>
                <w:rFonts w:ascii="Arial" w:eastAsia="Times New Roman" w:hAnsi="Arial" w:cs="Arial"/>
                <w:color w:val="000000"/>
                <w:sz w:val="18"/>
                <w:szCs w:val="18"/>
              </w:rPr>
              <w:t>/s/ SHARDA CHERWOO</w:t>
            </w:r>
          </w:p>
        </w:tc>
        <w:tc>
          <w:tcPr>
            <w:tcW w:w="0" w:type="auto"/>
            <w:gridSpan w:val="3"/>
            <w:tcMar>
              <w:top w:w="0" w:type="dxa"/>
              <w:left w:w="20" w:type="dxa"/>
              <w:bottom w:w="0" w:type="dxa"/>
              <w:right w:w="20" w:type="dxa"/>
            </w:tcMar>
            <w:vAlign w:val="center"/>
            <w:hideMark/>
          </w:tcPr>
          <w:p w14:paraId="3C7E9615"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5F506604" w14:textId="77777777" w:rsidR="00000000" w:rsidRDefault="00C01C43">
            <w:pPr>
              <w:rPr>
                <w:rFonts w:eastAsia="Times New Roman"/>
              </w:rPr>
            </w:pPr>
            <w:r>
              <w:rPr>
                <w:rFonts w:ascii="Arial" w:eastAsia="Times New Roman" w:hAnsi="Arial" w:cs="Arial"/>
                <w:color w:val="000000"/>
                <w:sz w:val="18"/>
                <w:szCs w:val="18"/>
              </w:rPr>
              <w:t>Director</w:t>
            </w:r>
          </w:p>
        </w:tc>
      </w:tr>
      <w:tr w:rsidR="00000000" w14:paraId="718C6F61" w14:textId="77777777">
        <w:trPr>
          <w:divId w:val="1058019357"/>
        </w:trPr>
        <w:tc>
          <w:tcPr>
            <w:tcW w:w="0" w:type="auto"/>
            <w:gridSpan w:val="3"/>
            <w:tcBorders>
              <w:top w:val="single" w:sz="8" w:space="0" w:color="000000"/>
            </w:tcBorders>
            <w:tcMar>
              <w:top w:w="30" w:type="dxa"/>
              <w:left w:w="20" w:type="dxa"/>
              <w:bottom w:w="30" w:type="dxa"/>
              <w:right w:w="20" w:type="dxa"/>
            </w:tcMar>
            <w:vAlign w:val="bottom"/>
            <w:hideMark/>
          </w:tcPr>
          <w:p w14:paraId="39193051" w14:textId="77777777" w:rsidR="00000000" w:rsidRDefault="00C01C43">
            <w:pPr>
              <w:rPr>
                <w:rFonts w:eastAsia="Times New Roman"/>
              </w:rPr>
            </w:pPr>
            <w:r>
              <w:rPr>
                <w:rFonts w:ascii="Arial" w:eastAsia="Times New Roman" w:hAnsi="Arial" w:cs="Arial"/>
                <w:color w:val="000000"/>
                <w:sz w:val="18"/>
                <w:szCs w:val="18"/>
              </w:rPr>
              <w:t>Sharda Cherwoo</w:t>
            </w:r>
          </w:p>
        </w:tc>
        <w:tc>
          <w:tcPr>
            <w:tcW w:w="0" w:type="auto"/>
            <w:gridSpan w:val="3"/>
            <w:tcMar>
              <w:top w:w="0" w:type="dxa"/>
              <w:left w:w="20" w:type="dxa"/>
              <w:bottom w:w="0" w:type="dxa"/>
              <w:right w:w="20" w:type="dxa"/>
            </w:tcMar>
            <w:vAlign w:val="center"/>
            <w:hideMark/>
          </w:tcPr>
          <w:p w14:paraId="165F5F7B"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63DEB32B" w14:textId="77777777" w:rsidR="00000000" w:rsidRDefault="00C01C43">
            <w:pPr>
              <w:rPr>
                <w:rFonts w:eastAsia="Times New Roman"/>
                <w:sz w:val="20"/>
                <w:szCs w:val="20"/>
              </w:rPr>
            </w:pPr>
          </w:p>
        </w:tc>
      </w:tr>
      <w:tr w:rsidR="00000000" w14:paraId="6155D777" w14:textId="77777777">
        <w:trPr>
          <w:divId w:val="1058019357"/>
          <w:trHeight w:val="60"/>
        </w:trPr>
        <w:tc>
          <w:tcPr>
            <w:tcW w:w="0" w:type="auto"/>
            <w:gridSpan w:val="3"/>
            <w:tcMar>
              <w:top w:w="0" w:type="dxa"/>
              <w:left w:w="20" w:type="dxa"/>
              <w:bottom w:w="0" w:type="dxa"/>
              <w:right w:w="20" w:type="dxa"/>
            </w:tcMar>
            <w:vAlign w:val="center"/>
            <w:hideMark/>
          </w:tcPr>
          <w:p w14:paraId="3399D89F"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30181352"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26A9F62D" w14:textId="77777777" w:rsidR="00000000" w:rsidRDefault="00C01C43">
            <w:pPr>
              <w:rPr>
                <w:rFonts w:eastAsia="Times New Roman"/>
                <w:sz w:val="20"/>
                <w:szCs w:val="20"/>
              </w:rPr>
            </w:pPr>
          </w:p>
        </w:tc>
      </w:tr>
      <w:tr w:rsidR="00000000" w14:paraId="6DF6AE98" w14:textId="77777777">
        <w:trPr>
          <w:divId w:val="1058019357"/>
        </w:trPr>
        <w:tc>
          <w:tcPr>
            <w:tcW w:w="0" w:type="auto"/>
            <w:gridSpan w:val="3"/>
            <w:tcMar>
              <w:top w:w="30" w:type="dxa"/>
              <w:left w:w="20" w:type="dxa"/>
              <w:bottom w:w="30" w:type="dxa"/>
              <w:right w:w="20" w:type="dxa"/>
            </w:tcMar>
            <w:vAlign w:val="bottom"/>
            <w:hideMark/>
          </w:tcPr>
          <w:p w14:paraId="3537D622" w14:textId="77777777" w:rsidR="00000000" w:rsidRDefault="00C01C43">
            <w:pPr>
              <w:rPr>
                <w:rFonts w:eastAsia="Times New Roman"/>
              </w:rPr>
            </w:pPr>
            <w:r>
              <w:rPr>
                <w:rFonts w:ascii="Arial" w:eastAsia="Times New Roman" w:hAnsi="Arial" w:cs="Arial"/>
                <w:color w:val="000000"/>
                <w:sz w:val="18"/>
                <w:szCs w:val="18"/>
              </w:rPr>
              <w:t>/s/ RICHARD A. KASSAR</w:t>
            </w:r>
          </w:p>
        </w:tc>
        <w:tc>
          <w:tcPr>
            <w:tcW w:w="0" w:type="auto"/>
            <w:gridSpan w:val="3"/>
            <w:tcMar>
              <w:top w:w="0" w:type="dxa"/>
              <w:left w:w="20" w:type="dxa"/>
              <w:bottom w:w="0" w:type="dxa"/>
              <w:right w:w="20" w:type="dxa"/>
            </w:tcMar>
            <w:vAlign w:val="center"/>
            <w:hideMark/>
          </w:tcPr>
          <w:p w14:paraId="3A1EB164"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46881767" w14:textId="77777777" w:rsidR="00000000" w:rsidRDefault="00C01C43">
            <w:pPr>
              <w:rPr>
                <w:rFonts w:eastAsia="Times New Roman"/>
              </w:rPr>
            </w:pPr>
            <w:r>
              <w:rPr>
                <w:rFonts w:ascii="Arial" w:eastAsia="Times New Roman" w:hAnsi="Arial" w:cs="Arial"/>
                <w:color w:val="000000"/>
                <w:sz w:val="18"/>
                <w:szCs w:val="18"/>
              </w:rPr>
              <w:t>Director</w:t>
            </w:r>
          </w:p>
        </w:tc>
      </w:tr>
      <w:tr w:rsidR="00000000" w14:paraId="0EBB0F81" w14:textId="77777777">
        <w:trPr>
          <w:divId w:val="1058019357"/>
        </w:trPr>
        <w:tc>
          <w:tcPr>
            <w:tcW w:w="0" w:type="auto"/>
            <w:gridSpan w:val="3"/>
            <w:tcBorders>
              <w:top w:val="single" w:sz="8" w:space="0" w:color="000000"/>
            </w:tcBorders>
            <w:tcMar>
              <w:top w:w="30" w:type="dxa"/>
              <w:left w:w="20" w:type="dxa"/>
              <w:bottom w:w="30" w:type="dxa"/>
              <w:right w:w="20" w:type="dxa"/>
            </w:tcMar>
            <w:vAlign w:val="bottom"/>
            <w:hideMark/>
          </w:tcPr>
          <w:p w14:paraId="2B94F7CE" w14:textId="77777777" w:rsidR="00000000" w:rsidRDefault="00C01C43">
            <w:pPr>
              <w:rPr>
                <w:rFonts w:eastAsia="Times New Roman"/>
              </w:rPr>
            </w:pPr>
            <w:r>
              <w:rPr>
                <w:rFonts w:ascii="Arial" w:eastAsia="Times New Roman" w:hAnsi="Arial" w:cs="Arial"/>
                <w:color w:val="000000"/>
                <w:sz w:val="18"/>
                <w:szCs w:val="18"/>
              </w:rPr>
              <w:t>Richard A. Kassar</w:t>
            </w:r>
          </w:p>
        </w:tc>
        <w:tc>
          <w:tcPr>
            <w:tcW w:w="0" w:type="auto"/>
            <w:gridSpan w:val="3"/>
            <w:tcMar>
              <w:top w:w="0" w:type="dxa"/>
              <w:left w:w="20" w:type="dxa"/>
              <w:bottom w:w="0" w:type="dxa"/>
              <w:right w:w="20" w:type="dxa"/>
            </w:tcMar>
            <w:vAlign w:val="center"/>
            <w:hideMark/>
          </w:tcPr>
          <w:p w14:paraId="0CF3539C"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6DDB3CDE" w14:textId="77777777" w:rsidR="00000000" w:rsidRDefault="00C01C43">
            <w:pPr>
              <w:rPr>
                <w:rFonts w:eastAsia="Times New Roman"/>
                <w:sz w:val="20"/>
                <w:szCs w:val="20"/>
              </w:rPr>
            </w:pPr>
          </w:p>
        </w:tc>
      </w:tr>
      <w:tr w:rsidR="00000000" w14:paraId="6F11F23C" w14:textId="77777777">
        <w:trPr>
          <w:divId w:val="1058019357"/>
          <w:trHeight w:val="100"/>
        </w:trPr>
        <w:tc>
          <w:tcPr>
            <w:tcW w:w="0" w:type="auto"/>
            <w:gridSpan w:val="3"/>
            <w:tcMar>
              <w:top w:w="0" w:type="dxa"/>
              <w:left w:w="20" w:type="dxa"/>
              <w:bottom w:w="0" w:type="dxa"/>
              <w:right w:w="20" w:type="dxa"/>
            </w:tcMar>
            <w:vAlign w:val="center"/>
            <w:hideMark/>
          </w:tcPr>
          <w:p w14:paraId="394E8F45"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15DB27E1"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1395A61A" w14:textId="77777777" w:rsidR="00000000" w:rsidRDefault="00C01C43">
            <w:pPr>
              <w:rPr>
                <w:rFonts w:eastAsia="Times New Roman"/>
                <w:sz w:val="20"/>
                <w:szCs w:val="20"/>
              </w:rPr>
            </w:pPr>
          </w:p>
        </w:tc>
      </w:tr>
      <w:tr w:rsidR="00000000" w14:paraId="4C803BFA" w14:textId="77777777">
        <w:trPr>
          <w:divId w:val="1058019357"/>
        </w:trPr>
        <w:tc>
          <w:tcPr>
            <w:tcW w:w="0" w:type="auto"/>
            <w:gridSpan w:val="3"/>
            <w:tcMar>
              <w:top w:w="30" w:type="dxa"/>
              <w:left w:w="20" w:type="dxa"/>
              <w:bottom w:w="30" w:type="dxa"/>
              <w:right w:w="20" w:type="dxa"/>
            </w:tcMar>
            <w:vAlign w:val="bottom"/>
            <w:hideMark/>
          </w:tcPr>
          <w:p w14:paraId="1E86C9E1" w14:textId="77777777" w:rsidR="00000000" w:rsidRDefault="00C01C43">
            <w:pPr>
              <w:rPr>
                <w:rFonts w:eastAsia="Times New Roman"/>
              </w:rPr>
            </w:pPr>
            <w:r>
              <w:rPr>
                <w:rFonts w:ascii="Arial" w:eastAsia="Times New Roman" w:hAnsi="Arial" w:cs="Arial"/>
                <w:color w:val="000000"/>
                <w:sz w:val="18"/>
                <w:szCs w:val="18"/>
              </w:rPr>
              <w:t>/s/ JOHN L. MANLEY</w:t>
            </w:r>
          </w:p>
        </w:tc>
        <w:tc>
          <w:tcPr>
            <w:tcW w:w="0" w:type="auto"/>
            <w:gridSpan w:val="3"/>
            <w:tcMar>
              <w:top w:w="0" w:type="dxa"/>
              <w:left w:w="20" w:type="dxa"/>
              <w:bottom w:w="0" w:type="dxa"/>
              <w:right w:w="20" w:type="dxa"/>
            </w:tcMar>
            <w:vAlign w:val="center"/>
            <w:hideMark/>
          </w:tcPr>
          <w:p w14:paraId="33FB8DBD"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54794CB2" w14:textId="77777777" w:rsidR="00000000" w:rsidRDefault="00C01C43">
            <w:pPr>
              <w:rPr>
                <w:rFonts w:eastAsia="Times New Roman"/>
              </w:rPr>
            </w:pPr>
            <w:r>
              <w:rPr>
                <w:rFonts w:ascii="Arial" w:eastAsia="Times New Roman" w:hAnsi="Arial" w:cs="Arial"/>
                <w:color w:val="000000"/>
                <w:sz w:val="18"/>
                <w:szCs w:val="18"/>
              </w:rPr>
              <w:t>Director</w:t>
            </w:r>
          </w:p>
        </w:tc>
      </w:tr>
      <w:tr w:rsidR="00000000" w14:paraId="19134A59" w14:textId="77777777">
        <w:trPr>
          <w:divId w:val="1058019357"/>
        </w:trPr>
        <w:tc>
          <w:tcPr>
            <w:tcW w:w="0" w:type="auto"/>
            <w:gridSpan w:val="3"/>
            <w:tcBorders>
              <w:top w:val="single" w:sz="8" w:space="0" w:color="000000"/>
            </w:tcBorders>
            <w:tcMar>
              <w:top w:w="30" w:type="dxa"/>
              <w:left w:w="20" w:type="dxa"/>
              <w:bottom w:w="30" w:type="dxa"/>
              <w:right w:w="20" w:type="dxa"/>
            </w:tcMar>
            <w:vAlign w:val="bottom"/>
            <w:hideMark/>
          </w:tcPr>
          <w:p w14:paraId="6E89D490" w14:textId="77777777" w:rsidR="00000000" w:rsidRDefault="00C01C43">
            <w:pPr>
              <w:rPr>
                <w:rFonts w:eastAsia="Times New Roman"/>
              </w:rPr>
            </w:pPr>
            <w:r>
              <w:rPr>
                <w:rFonts w:ascii="Arial" w:eastAsia="Times New Roman" w:hAnsi="Arial" w:cs="Arial"/>
                <w:color w:val="000000"/>
                <w:sz w:val="18"/>
                <w:szCs w:val="18"/>
              </w:rPr>
              <w:t>John L. Manley</w:t>
            </w:r>
          </w:p>
        </w:tc>
        <w:tc>
          <w:tcPr>
            <w:tcW w:w="0" w:type="auto"/>
            <w:gridSpan w:val="3"/>
            <w:tcMar>
              <w:top w:w="0" w:type="dxa"/>
              <w:left w:w="20" w:type="dxa"/>
              <w:bottom w:w="0" w:type="dxa"/>
              <w:right w:w="20" w:type="dxa"/>
            </w:tcMar>
            <w:vAlign w:val="center"/>
            <w:hideMark/>
          </w:tcPr>
          <w:p w14:paraId="38AC83FC"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4D503522" w14:textId="77777777" w:rsidR="00000000" w:rsidRDefault="00C01C43">
            <w:pPr>
              <w:rPr>
                <w:rFonts w:eastAsia="Times New Roman"/>
                <w:sz w:val="20"/>
                <w:szCs w:val="20"/>
              </w:rPr>
            </w:pPr>
          </w:p>
        </w:tc>
      </w:tr>
      <w:tr w:rsidR="00000000" w14:paraId="695DC5CB" w14:textId="77777777">
        <w:trPr>
          <w:divId w:val="1058019357"/>
          <w:trHeight w:val="60"/>
        </w:trPr>
        <w:tc>
          <w:tcPr>
            <w:tcW w:w="0" w:type="auto"/>
            <w:gridSpan w:val="3"/>
            <w:tcMar>
              <w:top w:w="0" w:type="dxa"/>
              <w:left w:w="20" w:type="dxa"/>
              <w:bottom w:w="0" w:type="dxa"/>
              <w:right w:w="20" w:type="dxa"/>
            </w:tcMar>
            <w:vAlign w:val="center"/>
            <w:hideMark/>
          </w:tcPr>
          <w:p w14:paraId="1417E884"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743FBB8F"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4C0B5236" w14:textId="77777777" w:rsidR="00000000" w:rsidRDefault="00C01C43">
            <w:pPr>
              <w:rPr>
                <w:rFonts w:eastAsia="Times New Roman"/>
                <w:sz w:val="20"/>
                <w:szCs w:val="20"/>
              </w:rPr>
            </w:pPr>
          </w:p>
        </w:tc>
      </w:tr>
      <w:tr w:rsidR="00000000" w14:paraId="101A8524" w14:textId="77777777">
        <w:trPr>
          <w:divId w:val="1058019357"/>
        </w:trPr>
        <w:tc>
          <w:tcPr>
            <w:tcW w:w="0" w:type="auto"/>
            <w:gridSpan w:val="3"/>
            <w:tcMar>
              <w:top w:w="30" w:type="dxa"/>
              <w:left w:w="20" w:type="dxa"/>
              <w:bottom w:w="30" w:type="dxa"/>
              <w:right w:w="20" w:type="dxa"/>
            </w:tcMar>
            <w:vAlign w:val="bottom"/>
            <w:hideMark/>
          </w:tcPr>
          <w:p w14:paraId="4D79F754" w14:textId="77777777" w:rsidR="00000000" w:rsidRDefault="00C01C43">
            <w:pPr>
              <w:rPr>
                <w:rFonts w:eastAsia="Times New Roman"/>
              </w:rPr>
            </w:pPr>
            <w:r>
              <w:rPr>
                <w:rFonts w:ascii="Arial" w:eastAsia="Times New Roman" w:hAnsi="Arial" w:cs="Arial"/>
                <w:color w:val="000000"/>
                <w:sz w:val="18"/>
                <w:szCs w:val="18"/>
              </w:rPr>
              <w:t>/s/ STEPHEN K. RODDENBERRY</w:t>
            </w:r>
          </w:p>
        </w:tc>
        <w:tc>
          <w:tcPr>
            <w:tcW w:w="0" w:type="auto"/>
            <w:gridSpan w:val="3"/>
            <w:tcMar>
              <w:top w:w="0" w:type="dxa"/>
              <w:left w:w="20" w:type="dxa"/>
              <w:bottom w:w="0" w:type="dxa"/>
              <w:right w:w="20" w:type="dxa"/>
            </w:tcMar>
            <w:vAlign w:val="center"/>
            <w:hideMark/>
          </w:tcPr>
          <w:p w14:paraId="5B1231A6"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640788DD" w14:textId="77777777" w:rsidR="00000000" w:rsidRDefault="00C01C43">
            <w:pPr>
              <w:rPr>
                <w:rFonts w:eastAsia="Times New Roman"/>
              </w:rPr>
            </w:pPr>
            <w:r>
              <w:rPr>
                <w:rFonts w:ascii="Arial" w:eastAsia="Times New Roman" w:hAnsi="Arial" w:cs="Arial"/>
                <w:color w:val="000000"/>
                <w:sz w:val="18"/>
                <w:szCs w:val="18"/>
              </w:rPr>
              <w:t>Director</w:t>
            </w:r>
          </w:p>
        </w:tc>
      </w:tr>
      <w:tr w:rsidR="00000000" w14:paraId="40E9411B" w14:textId="77777777">
        <w:trPr>
          <w:divId w:val="1058019357"/>
        </w:trPr>
        <w:tc>
          <w:tcPr>
            <w:tcW w:w="0" w:type="auto"/>
            <w:gridSpan w:val="3"/>
            <w:tcBorders>
              <w:top w:val="single" w:sz="8" w:space="0" w:color="000000"/>
            </w:tcBorders>
            <w:tcMar>
              <w:top w:w="30" w:type="dxa"/>
              <w:left w:w="20" w:type="dxa"/>
              <w:bottom w:w="30" w:type="dxa"/>
              <w:right w:w="20" w:type="dxa"/>
            </w:tcMar>
            <w:vAlign w:val="bottom"/>
            <w:hideMark/>
          </w:tcPr>
          <w:p w14:paraId="64727D68" w14:textId="77777777" w:rsidR="00000000" w:rsidRDefault="00C01C43">
            <w:pPr>
              <w:rPr>
                <w:rFonts w:eastAsia="Times New Roman"/>
              </w:rPr>
            </w:pPr>
            <w:r>
              <w:rPr>
                <w:rFonts w:ascii="Arial" w:eastAsia="Times New Roman" w:hAnsi="Arial" w:cs="Arial"/>
                <w:color w:val="000000"/>
                <w:sz w:val="18"/>
                <w:szCs w:val="18"/>
              </w:rPr>
              <w:t>Stephen K. Roddenberry</w:t>
            </w:r>
          </w:p>
        </w:tc>
        <w:tc>
          <w:tcPr>
            <w:tcW w:w="0" w:type="auto"/>
            <w:gridSpan w:val="3"/>
            <w:tcMar>
              <w:top w:w="0" w:type="dxa"/>
              <w:left w:w="20" w:type="dxa"/>
              <w:bottom w:w="0" w:type="dxa"/>
              <w:right w:w="20" w:type="dxa"/>
            </w:tcMar>
            <w:vAlign w:val="center"/>
            <w:hideMark/>
          </w:tcPr>
          <w:p w14:paraId="1741FBFD"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596CE064" w14:textId="77777777" w:rsidR="00000000" w:rsidRDefault="00C01C43">
            <w:pPr>
              <w:rPr>
                <w:rFonts w:eastAsia="Times New Roman"/>
                <w:sz w:val="20"/>
                <w:szCs w:val="20"/>
              </w:rPr>
            </w:pPr>
          </w:p>
        </w:tc>
      </w:tr>
      <w:tr w:rsidR="00000000" w14:paraId="1E1FA8AE" w14:textId="77777777">
        <w:trPr>
          <w:divId w:val="1058019357"/>
          <w:trHeight w:val="60"/>
        </w:trPr>
        <w:tc>
          <w:tcPr>
            <w:tcW w:w="0" w:type="auto"/>
            <w:gridSpan w:val="3"/>
            <w:tcMar>
              <w:top w:w="0" w:type="dxa"/>
              <w:left w:w="20" w:type="dxa"/>
              <w:bottom w:w="0" w:type="dxa"/>
              <w:right w:w="20" w:type="dxa"/>
            </w:tcMar>
            <w:vAlign w:val="center"/>
            <w:hideMark/>
          </w:tcPr>
          <w:p w14:paraId="4F738E69"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1F2B37AD"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5803A00B" w14:textId="77777777" w:rsidR="00000000" w:rsidRDefault="00C01C43">
            <w:pPr>
              <w:rPr>
                <w:rFonts w:eastAsia="Times New Roman"/>
                <w:sz w:val="20"/>
                <w:szCs w:val="20"/>
              </w:rPr>
            </w:pPr>
          </w:p>
        </w:tc>
      </w:tr>
      <w:tr w:rsidR="00000000" w14:paraId="75582BF3" w14:textId="77777777">
        <w:trPr>
          <w:divId w:val="1058019357"/>
        </w:trPr>
        <w:tc>
          <w:tcPr>
            <w:tcW w:w="0" w:type="auto"/>
            <w:gridSpan w:val="3"/>
            <w:tcMar>
              <w:top w:w="30" w:type="dxa"/>
              <w:left w:w="20" w:type="dxa"/>
              <w:bottom w:w="30" w:type="dxa"/>
              <w:right w:w="20" w:type="dxa"/>
            </w:tcMar>
            <w:vAlign w:val="bottom"/>
            <w:hideMark/>
          </w:tcPr>
          <w:p w14:paraId="3F96D727" w14:textId="77777777" w:rsidR="00000000" w:rsidRDefault="00C01C43">
            <w:pPr>
              <w:rPr>
                <w:rFonts w:eastAsia="Times New Roman"/>
              </w:rPr>
            </w:pPr>
            <w:r>
              <w:rPr>
                <w:rFonts w:ascii="Arial" w:eastAsia="Times New Roman" w:hAnsi="Arial" w:cs="Arial"/>
                <w:color w:val="000000"/>
                <w:sz w:val="18"/>
                <w:szCs w:val="18"/>
              </w:rPr>
              <w:t>/s/ PAUL H. STEBBINS</w:t>
            </w:r>
          </w:p>
        </w:tc>
        <w:tc>
          <w:tcPr>
            <w:tcW w:w="0" w:type="auto"/>
            <w:gridSpan w:val="3"/>
            <w:tcMar>
              <w:top w:w="0" w:type="dxa"/>
              <w:left w:w="20" w:type="dxa"/>
              <w:bottom w:w="0" w:type="dxa"/>
              <w:right w:w="20" w:type="dxa"/>
            </w:tcMar>
            <w:vAlign w:val="center"/>
            <w:hideMark/>
          </w:tcPr>
          <w:p w14:paraId="18C8D900" w14:textId="77777777" w:rsidR="00000000" w:rsidRDefault="00C01C43">
            <w:pPr>
              <w:rPr>
                <w:rFonts w:eastAsia="Times New Roman"/>
              </w:rPr>
            </w:pPr>
          </w:p>
        </w:tc>
        <w:tc>
          <w:tcPr>
            <w:tcW w:w="0" w:type="auto"/>
            <w:gridSpan w:val="3"/>
            <w:tcMar>
              <w:top w:w="30" w:type="dxa"/>
              <w:left w:w="20" w:type="dxa"/>
              <w:bottom w:w="30" w:type="dxa"/>
              <w:right w:w="20" w:type="dxa"/>
            </w:tcMar>
            <w:hideMark/>
          </w:tcPr>
          <w:p w14:paraId="6C3982B4" w14:textId="77777777" w:rsidR="00000000" w:rsidRDefault="00C01C43">
            <w:pPr>
              <w:rPr>
                <w:rFonts w:eastAsia="Times New Roman"/>
              </w:rPr>
            </w:pPr>
            <w:r>
              <w:rPr>
                <w:rFonts w:ascii="Arial" w:eastAsia="Times New Roman" w:hAnsi="Arial" w:cs="Arial"/>
                <w:color w:val="000000"/>
                <w:sz w:val="18"/>
                <w:szCs w:val="18"/>
              </w:rPr>
              <w:t>Director</w:t>
            </w:r>
          </w:p>
        </w:tc>
      </w:tr>
      <w:tr w:rsidR="00000000" w14:paraId="36958040" w14:textId="77777777">
        <w:trPr>
          <w:divId w:val="1058019357"/>
        </w:trPr>
        <w:tc>
          <w:tcPr>
            <w:tcW w:w="0" w:type="auto"/>
            <w:gridSpan w:val="3"/>
            <w:tcBorders>
              <w:top w:val="single" w:sz="8" w:space="0" w:color="000000"/>
            </w:tcBorders>
            <w:tcMar>
              <w:top w:w="30" w:type="dxa"/>
              <w:left w:w="20" w:type="dxa"/>
              <w:bottom w:w="30" w:type="dxa"/>
              <w:right w:w="20" w:type="dxa"/>
            </w:tcMar>
            <w:vAlign w:val="bottom"/>
            <w:hideMark/>
          </w:tcPr>
          <w:p w14:paraId="529AED28" w14:textId="77777777" w:rsidR="00000000" w:rsidRDefault="00C01C43">
            <w:pPr>
              <w:rPr>
                <w:rFonts w:eastAsia="Times New Roman"/>
              </w:rPr>
            </w:pPr>
            <w:r>
              <w:rPr>
                <w:rFonts w:ascii="Arial" w:eastAsia="Times New Roman" w:hAnsi="Arial" w:cs="Arial"/>
                <w:color w:val="000000"/>
                <w:sz w:val="18"/>
                <w:szCs w:val="18"/>
              </w:rPr>
              <w:t>Paul H. Stebbins</w:t>
            </w:r>
          </w:p>
        </w:tc>
        <w:tc>
          <w:tcPr>
            <w:tcW w:w="0" w:type="auto"/>
            <w:gridSpan w:val="3"/>
            <w:tcMar>
              <w:top w:w="0" w:type="dxa"/>
              <w:left w:w="20" w:type="dxa"/>
              <w:bottom w:w="0" w:type="dxa"/>
              <w:right w:w="20" w:type="dxa"/>
            </w:tcMar>
            <w:vAlign w:val="center"/>
            <w:hideMark/>
          </w:tcPr>
          <w:p w14:paraId="1C88F651" w14:textId="77777777" w:rsidR="00000000" w:rsidRDefault="00C01C43">
            <w:pPr>
              <w:rPr>
                <w:rFonts w:eastAsia="Times New Roman"/>
              </w:rPr>
            </w:pPr>
          </w:p>
        </w:tc>
        <w:tc>
          <w:tcPr>
            <w:tcW w:w="0" w:type="auto"/>
            <w:gridSpan w:val="3"/>
            <w:tcMar>
              <w:top w:w="0" w:type="dxa"/>
              <w:left w:w="20" w:type="dxa"/>
              <w:bottom w:w="0" w:type="dxa"/>
              <w:right w:w="20" w:type="dxa"/>
            </w:tcMar>
            <w:vAlign w:val="center"/>
            <w:hideMark/>
          </w:tcPr>
          <w:p w14:paraId="4D5E52A6" w14:textId="77777777" w:rsidR="00000000" w:rsidRDefault="00C01C43">
            <w:pPr>
              <w:rPr>
                <w:rFonts w:eastAsia="Times New Roman"/>
                <w:sz w:val="20"/>
                <w:szCs w:val="20"/>
              </w:rPr>
            </w:pPr>
          </w:p>
        </w:tc>
      </w:tr>
      <w:tr w:rsidR="00000000" w14:paraId="0F0454B8" w14:textId="77777777">
        <w:trPr>
          <w:divId w:val="1058019357"/>
          <w:trHeight w:val="60"/>
        </w:trPr>
        <w:tc>
          <w:tcPr>
            <w:tcW w:w="0" w:type="auto"/>
            <w:gridSpan w:val="3"/>
            <w:tcMar>
              <w:top w:w="0" w:type="dxa"/>
              <w:left w:w="20" w:type="dxa"/>
              <w:bottom w:w="0" w:type="dxa"/>
              <w:right w:w="20" w:type="dxa"/>
            </w:tcMar>
            <w:vAlign w:val="center"/>
            <w:hideMark/>
          </w:tcPr>
          <w:p w14:paraId="2065D7D7"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7E161C9B" w14:textId="77777777" w:rsidR="00000000" w:rsidRDefault="00C01C43">
            <w:pPr>
              <w:rPr>
                <w:rFonts w:eastAsia="Times New Roman"/>
                <w:sz w:val="20"/>
                <w:szCs w:val="20"/>
              </w:rPr>
            </w:pPr>
          </w:p>
        </w:tc>
        <w:tc>
          <w:tcPr>
            <w:tcW w:w="0" w:type="auto"/>
            <w:gridSpan w:val="3"/>
            <w:tcMar>
              <w:top w:w="0" w:type="dxa"/>
              <w:left w:w="20" w:type="dxa"/>
              <w:bottom w:w="0" w:type="dxa"/>
              <w:right w:w="20" w:type="dxa"/>
            </w:tcMar>
            <w:vAlign w:val="center"/>
            <w:hideMark/>
          </w:tcPr>
          <w:p w14:paraId="31546DC8" w14:textId="77777777" w:rsidR="00000000" w:rsidRDefault="00C01C43">
            <w:pPr>
              <w:rPr>
                <w:rFonts w:eastAsia="Times New Roman"/>
                <w:sz w:val="20"/>
                <w:szCs w:val="20"/>
              </w:rPr>
            </w:pPr>
          </w:p>
        </w:tc>
      </w:tr>
    </w:tbl>
    <w:p w14:paraId="3432E020" w14:textId="77777777" w:rsidR="00C01C43" w:rsidRDefault="00C01C43">
      <w:pPr>
        <w:jc w:val="center"/>
        <w:divId w:val="410087318"/>
        <w:rPr>
          <w:rFonts w:eastAsia="Times New Roman"/>
        </w:rPr>
      </w:pPr>
      <w:r>
        <w:rPr>
          <w:rFonts w:ascii="Arial" w:eastAsia="Times New Roman" w:hAnsi="Arial" w:cs="Arial"/>
          <w:color w:val="000000"/>
          <w:sz w:val="16"/>
          <w:szCs w:val="16"/>
        </w:rPr>
        <w:t>93</w:t>
      </w:r>
    </w:p>
    <w:sectPr w:rsidR="00C01C4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01C43"/>
    <w:rsid w:val="00C01C43"/>
  </w:rsids>
  <m:mathPr>
    <m:mathFont m:val="Cambria Math"/>
    <m:brkBin m:val="before"/>
    <m:brkBinSub m:val="--"/>
    <m:smallFrac m:val="0"/>
    <m:dispDef/>
    <m:lMargin m:val="0"/>
    <m:rMargin m:val="0"/>
    <m:defJc m:val="centerGroup"/>
    <m:wrapIndent m:val="1440"/>
    <m:intLim m:val="subSup"/>
    <m:naryLim m:val="undOvr"/>
  </m:mathPr>
  <w:attachedSchema w:val="http://www.wfscorp.com/20201231"/>
  <w:attachedSchema w:val="http://www.xbrl.org/2003/linkbase"/>
  <w:attachedSchema w:val="http://xbrl.sec.gov/dei/2020-01-31"/>
  <w:attachedSchema w:val="http://xbrl.org/2006/xbrldi"/>
  <w:attachedSchema w:val="http://www.sec.gov/inlineXBRL/transformation/2015-08-31"/>
  <w:attachedSchema w:val="http://fasb.org/srt/2020-01-31"/>
  <w:attachedSchema w:val="http://www.xbrl.org/2003/instance"/>
  <w:attachedSchema w:val="http://fasb.org/us-gaap/2020-01-31"/>
  <w:attachedSchema w:val="http://www.xbrl.org/inlineXBRL/transformation/2015-02-26"/>
  <w:attachedSchema w:val="http://www.w3.org/1999/xlink"/>
  <w:attachedSchema w:val="http://www.xbrl.org/2003/iso4217"/>
  <w:attachedSchema w:val="http://xbrl.sec.gov/currency/2020-01-31"/>
  <w:attachedSchema w:val="http://www.xbrl.org/2009/utr"/>
  <w:attachedSchema w:val="http://xbrl.sec.gov/country/2020-01-31"/>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2352D"/>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203">
      <w:marLeft w:val="0"/>
      <w:marRight w:val="0"/>
      <w:marTop w:val="0"/>
      <w:marBottom w:val="240"/>
      <w:divBdr>
        <w:top w:val="none" w:sz="0" w:space="0" w:color="auto"/>
        <w:left w:val="none" w:sz="0" w:space="0" w:color="auto"/>
        <w:bottom w:val="none" w:sz="0" w:space="0" w:color="auto"/>
        <w:right w:val="none" w:sz="0" w:space="0" w:color="auto"/>
      </w:divBdr>
    </w:div>
    <w:div w:id="4603064">
      <w:marLeft w:val="0"/>
      <w:marRight w:val="0"/>
      <w:marTop w:val="0"/>
      <w:marBottom w:val="120"/>
      <w:divBdr>
        <w:top w:val="none" w:sz="0" w:space="0" w:color="auto"/>
        <w:left w:val="none" w:sz="0" w:space="0" w:color="auto"/>
        <w:bottom w:val="none" w:sz="0" w:space="0" w:color="auto"/>
        <w:right w:val="none" w:sz="0" w:space="0" w:color="auto"/>
      </w:divBdr>
    </w:div>
    <w:div w:id="9188326">
      <w:marLeft w:val="0"/>
      <w:marRight w:val="0"/>
      <w:marTop w:val="0"/>
      <w:marBottom w:val="240"/>
      <w:divBdr>
        <w:top w:val="none" w:sz="0" w:space="0" w:color="auto"/>
        <w:left w:val="none" w:sz="0" w:space="0" w:color="auto"/>
        <w:bottom w:val="none" w:sz="0" w:space="0" w:color="auto"/>
        <w:right w:val="none" w:sz="0" w:space="0" w:color="auto"/>
      </w:divBdr>
    </w:div>
    <w:div w:id="17897237">
      <w:marLeft w:val="0"/>
      <w:marRight w:val="0"/>
      <w:marTop w:val="0"/>
      <w:marBottom w:val="240"/>
      <w:divBdr>
        <w:top w:val="none" w:sz="0" w:space="0" w:color="auto"/>
        <w:left w:val="none" w:sz="0" w:space="0" w:color="auto"/>
        <w:bottom w:val="none" w:sz="0" w:space="0" w:color="auto"/>
        <w:right w:val="none" w:sz="0" w:space="0" w:color="auto"/>
      </w:divBdr>
    </w:div>
    <w:div w:id="23602490">
      <w:marLeft w:val="0"/>
      <w:marRight w:val="0"/>
      <w:marTop w:val="0"/>
      <w:marBottom w:val="240"/>
      <w:divBdr>
        <w:top w:val="none" w:sz="0" w:space="0" w:color="auto"/>
        <w:left w:val="none" w:sz="0" w:space="0" w:color="auto"/>
        <w:bottom w:val="none" w:sz="0" w:space="0" w:color="auto"/>
        <w:right w:val="none" w:sz="0" w:space="0" w:color="auto"/>
      </w:divBdr>
    </w:div>
    <w:div w:id="23793718">
      <w:marLeft w:val="0"/>
      <w:marRight w:val="0"/>
      <w:marTop w:val="0"/>
      <w:marBottom w:val="60"/>
      <w:divBdr>
        <w:top w:val="none" w:sz="0" w:space="0" w:color="auto"/>
        <w:left w:val="none" w:sz="0" w:space="0" w:color="auto"/>
        <w:bottom w:val="none" w:sz="0" w:space="0" w:color="auto"/>
        <w:right w:val="none" w:sz="0" w:space="0" w:color="auto"/>
      </w:divBdr>
    </w:div>
    <w:div w:id="26763381">
      <w:marLeft w:val="0"/>
      <w:marRight w:val="0"/>
      <w:marTop w:val="0"/>
      <w:marBottom w:val="240"/>
      <w:divBdr>
        <w:top w:val="none" w:sz="0" w:space="0" w:color="auto"/>
        <w:left w:val="none" w:sz="0" w:space="0" w:color="auto"/>
        <w:bottom w:val="none" w:sz="0" w:space="0" w:color="auto"/>
        <w:right w:val="none" w:sz="0" w:space="0" w:color="auto"/>
      </w:divBdr>
    </w:div>
    <w:div w:id="27069433">
      <w:marLeft w:val="0"/>
      <w:marRight w:val="0"/>
      <w:marTop w:val="0"/>
      <w:marBottom w:val="240"/>
      <w:divBdr>
        <w:top w:val="none" w:sz="0" w:space="0" w:color="auto"/>
        <w:left w:val="none" w:sz="0" w:space="0" w:color="auto"/>
        <w:bottom w:val="none" w:sz="0" w:space="0" w:color="auto"/>
        <w:right w:val="none" w:sz="0" w:space="0" w:color="auto"/>
      </w:divBdr>
    </w:div>
    <w:div w:id="28531496">
      <w:marLeft w:val="0"/>
      <w:marRight w:val="0"/>
      <w:marTop w:val="0"/>
      <w:marBottom w:val="240"/>
      <w:divBdr>
        <w:top w:val="none" w:sz="0" w:space="0" w:color="auto"/>
        <w:left w:val="none" w:sz="0" w:space="0" w:color="auto"/>
        <w:bottom w:val="none" w:sz="0" w:space="0" w:color="auto"/>
        <w:right w:val="none" w:sz="0" w:space="0" w:color="auto"/>
      </w:divBdr>
    </w:div>
    <w:div w:id="30345567">
      <w:marLeft w:val="0"/>
      <w:marRight w:val="0"/>
      <w:marTop w:val="0"/>
      <w:marBottom w:val="0"/>
      <w:divBdr>
        <w:top w:val="none" w:sz="0" w:space="0" w:color="auto"/>
        <w:left w:val="none" w:sz="0" w:space="0" w:color="auto"/>
        <w:bottom w:val="none" w:sz="0" w:space="0" w:color="auto"/>
        <w:right w:val="none" w:sz="0" w:space="0" w:color="auto"/>
      </w:divBdr>
      <w:divsChild>
        <w:div w:id="418911327">
          <w:marLeft w:val="0"/>
          <w:marRight w:val="0"/>
          <w:marTop w:val="0"/>
          <w:marBottom w:val="0"/>
          <w:divBdr>
            <w:top w:val="none" w:sz="0" w:space="0" w:color="auto"/>
            <w:left w:val="none" w:sz="0" w:space="0" w:color="auto"/>
            <w:bottom w:val="none" w:sz="0" w:space="0" w:color="auto"/>
            <w:right w:val="none" w:sz="0" w:space="0" w:color="auto"/>
          </w:divBdr>
        </w:div>
      </w:divsChild>
    </w:div>
    <w:div w:id="31732526">
      <w:marLeft w:val="0"/>
      <w:marRight w:val="0"/>
      <w:marTop w:val="0"/>
      <w:marBottom w:val="0"/>
      <w:divBdr>
        <w:top w:val="none" w:sz="0" w:space="0" w:color="auto"/>
        <w:left w:val="none" w:sz="0" w:space="0" w:color="auto"/>
        <w:bottom w:val="none" w:sz="0" w:space="0" w:color="auto"/>
        <w:right w:val="none" w:sz="0" w:space="0" w:color="auto"/>
      </w:divBdr>
    </w:div>
    <w:div w:id="32385084">
      <w:marLeft w:val="0"/>
      <w:marRight w:val="0"/>
      <w:marTop w:val="0"/>
      <w:marBottom w:val="240"/>
      <w:divBdr>
        <w:top w:val="none" w:sz="0" w:space="0" w:color="auto"/>
        <w:left w:val="none" w:sz="0" w:space="0" w:color="auto"/>
        <w:bottom w:val="none" w:sz="0" w:space="0" w:color="auto"/>
        <w:right w:val="none" w:sz="0" w:space="0" w:color="auto"/>
      </w:divBdr>
    </w:div>
    <w:div w:id="33357958">
      <w:marLeft w:val="0"/>
      <w:marRight w:val="0"/>
      <w:marTop w:val="0"/>
      <w:marBottom w:val="240"/>
      <w:divBdr>
        <w:top w:val="none" w:sz="0" w:space="0" w:color="auto"/>
        <w:left w:val="none" w:sz="0" w:space="0" w:color="auto"/>
        <w:bottom w:val="none" w:sz="0" w:space="0" w:color="auto"/>
        <w:right w:val="none" w:sz="0" w:space="0" w:color="auto"/>
      </w:divBdr>
    </w:div>
    <w:div w:id="34696968">
      <w:marLeft w:val="0"/>
      <w:marRight w:val="0"/>
      <w:marTop w:val="0"/>
      <w:marBottom w:val="0"/>
      <w:divBdr>
        <w:top w:val="none" w:sz="0" w:space="0" w:color="auto"/>
        <w:left w:val="none" w:sz="0" w:space="0" w:color="auto"/>
        <w:bottom w:val="none" w:sz="0" w:space="0" w:color="auto"/>
        <w:right w:val="none" w:sz="0" w:space="0" w:color="auto"/>
      </w:divBdr>
      <w:divsChild>
        <w:div w:id="522943467">
          <w:marLeft w:val="0"/>
          <w:marRight w:val="0"/>
          <w:marTop w:val="0"/>
          <w:marBottom w:val="0"/>
          <w:divBdr>
            <w:top w:val="none" w:sz="0" w:space="0" w:color="auto"/>
            <w:left w:val="none" w:sz="0" w:space="0" w:color="auto"/>
            <w:bottom w:val="none" w:sz="0" w:space="0" w:color="auto"/>
            <w:right w:val="none" w:sz="0" w:space="0" w:color="auto"/>
          </w:divBdr>
        </w:div>
      </w:divsChild>
    </w:div>
    <w:div w:id="46343869">
      <w:marLeft w:val="0"/>
      <w:marRight w:val="0"/>
      <w:marTop w:val="0"/>
      <w:marBottom w:val="0"/>
      <w:divBdr>
        <w:top w:val="none" w:sz="0" w:space="0" w:color="auto"/>
        <w:left w:val="none" w:sz="0" w:space="0" w:color="auto"/>
        <w:bottom w:val="none" w:sz="0" w:space="0" w:color="auto"/>
        <w:right w:val="none" w:sz="0" w:space="0" w:color="auto"/>
      </w:divBdr>
      <w:divsChild>
        <w:div w:id="234821870">
          <w:marLeft w:val="0"/>
          <w:marRight w:val="0"/>
          <w:marTop w:val="0"/>
          <w:marBottom w:val="0"/>
          <w:divBdr>
            <w:top w:val="none" w:sz="0" w:space="0" w:color="auto"/>
            <w:left w:val="none" w:sz="0" w:space="0" w:color="auto"/>
            <w:bottom w:val="none" w:sz="0" w:space="0" w:color="auto"/>
            <w:right w:val="none" w:sz="0" w:space="0" w:color="auto"/>
          </w:divBdr>
        </w:div>
      </w:divsChild>
    </w:div>
    <w:div w:id="46538434">
      <w:marLeft w:val="0"/>
      <w:marRight w:val="0"/>
      <w:marTop w:val="0"/>
      <w:marBottom w:val="0"/>
      <w:divBdr>
        <w:top w:val="none" w:sz="0" w:space="0" w:color="auto"/>
        <w:left w:val="none" w:sz="0" w:space="0" w:color="auto"/>
        <w:bottom w:val="none" w:sz="0" w:space="0" w:color="auto"/>
        <w:right w:val="none" w:sz="0" w:space="0" w:color="auto"/>
      </w:divBdr>
      <w:divsChild>
        <w:div w:id="308631448">
          <w:marLeft w:val="0"/>
          <w:marRight w:val="0"/>
          <w:marTop w:val="0"/>
          <w:marBottom w:val="0"/>
          <w:divBdr>
            <w:top w:val="none" w:sz="0" w:space="0" w:color="auto"/>
            <w:left w:val="none" w:sz="0" w:space="0" w:color="auto"/>
            <w:bottom w:val="none" w:sz="0" w:space="0" w:color="auto"/>
            <w:right w:val="none" w:sz="0" w:space="0" w:color="auto"/>
          </w:divBdr>
        </w:div>
      </w:divsChild>
    </w:div>
    <w:div w:id="48960580">
      <w:marLeft w:val="0"/>
      <w:marRight w:val="0"/>
      <w:marTop w:val="0"/>
      <w:marBottom w:val="0"/>
      <w:divBdr>
        <w:top w:val="none" w:sz="0" w:space="0" w:color="auto"/>
        <w:left w:val="none" w:sz="0" w:space="0" w:color="auto"/>
        <w:bottom w:val="none" w:sz="0" w:space="0" w:color="auto"/>
        <w:right w:val="none" w:sz="0" w:space="0" w:color="auto"/>
      </w:divBdr>
      <w:divsChild>
        <w:div w:id="1181167389">
          <w:marLeft w:val="0"/>
          <w:marRight w:val="0"/>
          <w:marTop w:val="0"/>
          <w:marBottom w:val="0"/>
          <w:divBdr>
            <w:top w:val="none" w:sz="0" w:space="0" w:color="auto"/>
            <w:left w:val="none" w:sz="0" w:space="0" w:color="auto"/>
            <w:bottom w:val="none" w:sz="0" w:space="0" w:color="auto"/>
            <w:right w:val="none" w:sz="0" w:space="0" w:color="auto"/>
          </w:divBdr>
        </w:div>
      </w:divsChild>
    </w:div>
    <w:div w:id="49697787">
      <w:marLeft w:val="0"/>
      <w:marRight w:val="0"/>
      <w:marTop w:val="0"/>
      <w:marBottom w:val="60"/>
      <w:divBdr>
        <w:top w:val="none" w:sz="0" w:space="0" w:color="auto"/>
        <w:left w:val="none" w:sz="0" w:space="0" w:color="auto"/>
        <w:bottom w:val="none" w:sz="0" w:space="0" w:color="auto"/>
        <w:right w:val="none" w:sz="0" w:space="0" w:color="auto"/>
      </w:divBdr>
    </w:div>
    <w:div w:id="49887506">
      <w:marLeft w:val="0"/>
      <w:marRight w:val="0"/>
      <w:marTop w:val="0"/>
      <w:marBottom w:val="60"/>
      <w:divBdr>
        <w:top w:val="none" w:sz="0" w:space="0" w:color="auto"/>
        <w:left w:val="none" w:sz="0" w:space="0" w:color="auto"/>
        <w:bottom w:val="none" w:sz="0" w:space="0" w:color="auto"/>
        <w:right w:val="none" w:sz="0" w:space="0" w:color="auto"/>
      </w:divBdr>
    </w:div>
    <w:div w:id="53967652">
      <w:marLeft w:val="0"/>
      <w:marRight w:val="0"/>
      <w:marTop w:val="0"/>
      <w:marBottom w:val="240"/>
      <w:divBdr>
        <w:top w:val="none" w:sz="0" w:space="0" w:color="auto"/>
        <w:left w:val="none" w:sz="0" w:space="0" w:color="auto"/>
        <w:bottom w:val="none" w:sz="0" w:space="0" w:color="auto"/>
        <w:right w:val="none" w:sz="0" w:space="0" w:color="auto"/>
      </w:divBdr>
    </w:div>
    <w:div w:id="55206973">
      <w:marLeft w:val="0"/>
      <w:marRight w:val="0"/>
      <w:marTop w:val="0"/>
      <w:marBottom w:val="240"/>
      <w:divBdr>
        <w:top w:val="none" w:sz="0" w:space="0" w:color="auto"/>
        <w:left w:val="none" w:sz="0" w:space="0" w:color="auto"/>
        <w:bottom w:val="none" w:sz="0" w:space="0" w:color="auto"/>
        <w:right w:val="none" w:sz="0" w:space="0" w:color="auto"/>
      </w:divBdr>
    </w:div>
    <w:div w:id="55322024">
      <w:marLeft w:val="0"/>
      <w:marRight w:val="0"/>
      <w:marTop w:val="0"/>
      <w:marBottom w:val="240"/>
      <w:divBdr>
        <w:top w:val="none" w:sz="0" w:space="0" w:color="auto"/>
        <w:left w:val="none" w:sz="0" w:space="0" w:color="auto"/>
        <w:bottom w:val="none" w:sz="0" w:space="0" w:color="auto"/>
        <w:right w:val="none" w:sz="0" w:space="0" w:color="auto"/>
      </w:divBdr>
    </w:div>
    <w:div w:id="61609426">
      <w:marLeft w:val="0"/>
      <w:marRight w:val="0"/>
      <w:marTop w:val="0"/>
      <w:marBottom w:val="0"/>
      <w:divBdr>
        <w:top w:val="none" w:sz="0" w:space="0" w:color="auto"/>
        <w:left w:val="none" w:sz="0" w:space="0" w:color="auto"/>
        <w:bottom w:val="none" w:sz="0" w:space="0" w:color="auto"/>
        <w:right w:val="none" w:sz="0" w:space="0" w:color="auto"/>
      </w:divBdr>
      <w:divsChild>
        <w:div w:id="546986360">
          <w:marLeft w:val="0"/>
          <w:marRight w:val="0"/>
          <w:marTop w:val="0"/>
          <w:marBottom w:val="0"/>
          <w:divBdr>
            <w:top w:val="none" w:sz="0" w:space="0" w:color="auto"/>
            <w:left w:val="none" w:sz="0" w:space="0" w:color="auto"/>
            <w:bottom w:val="none" w:sz="0" w:space="0" w:color="auto"/>
            <w:right w:val="none" w:sz="0" w:space="0" w:color="auto"/>
          </w:divBdr>
        </w:div>
      </w:divsChild>
    </w:div>
    <w:div w:id="62991637">
      <w:marLeft w:val="0"/>
      <w:marRight w:val="0"/>
      <w:marTop w:val="0"/>
      <w:marBottom w:val="0"/>
      <w:divBdr>
        <w:top w:val="none" w:sz="0" w:space="0" w:color="auto"/>
        <w:left w:val="none" w:sz="0" w:space="0" w:color="auto"/>
        <w:bottom w:val="none" w:sz="0" w:space="0" w:color="auto"/>
        <w:right w:val="none" w:sz="0" w:space="0" w:color="auto"/>
      </w:divBdr>
      <w:divsChild>
        <w:div w:id="552153608">
          <w:marLeft w:val="0"/>
          <w:marRight w:val="0"/>
          <w:marTop w:val="0"/>
          <w:marBottom w:val="0"/>
          <w:divBdr>
            <w:top w:val="none" w:sz="0" w:space="0" w:color="auto"/>
            <w:left w:val="none" w:sz="0" w:space="0" w:color="auto"/>
            <w:bottom w:val="none" w:sz="0" w:space="0" w:color="auto"/>
            <w:right w:val="none" w:sz="0" w:space="0" w:color="auto"/>
          </w:divBdr>
        </w:div>
      </w:divsChild>
    </w:div>
    <w:div w:id="63649195">
      <w:marLeft w:val="0"/>
      <w:marRight w:val="0"/>
      <w:marTop w:val="0"/>
      <w:marBottom w:val="60"/>
      <w:divBdr>
        <w:top w:val="none" w:sz="0" w:space="0" w:color="auto"/>
        <w:left w:val="none" w:sz="0" w:space="0" w:color="auto"/>
        <w:bottom w:val="none" w:sz="0" w:space="0" w:color="auto"/>
        <w:right w:val="none" w:sz="0" w:space="0" w:color="auto"/>
      </w:divBdr>
    </w:div>
    <w:div w:id="66535750">
      <w:marLeft w:val="0"/>
      <w:marRight w:val="0"/>
      <w:marTop w:val="240"/>
      <w:marBottom w:val="0"/>
      <w:divBdr>
        <w:top w:val="none" w:sz="0" w:space="0" w:color="auto"/>
        <w:left w:val="none" w:sz="0" w:space="0" w:color="auto"/>
        <w:bottom w:val="none" w:sz="0" w:space="0" w:color="auto"/>
        <w:right w:val="none" w:sz="0" w:space="0" w:color="auto"/>
      </w:divBdr>
    </w:div>
    <w:div w:id="68693455">
      <w:marLeft w:val="0"/>
      <w:marRight w:val="0"/>
      <w:marTop w:val="0"/>
      <w:marBottom w:val="240"/>
      <w:divBdr>
        <w:top w:val="none" w:sz="0" w:space="0" w:color="auto"/>
        <w:left w:val="none" w:sz="0" w:space="0" w:color="auto"/>
        <w:bottom w:val="none" w:sz="0" w:space="0" w:color="auto"/>
        <w:right w:val="none" w:sz="0" w:space="0" w:color="auto"/>
      </w:divBdr>
    </w:div>
    <w:div w:id="71510089">
      <w:marLeft w:val="0"/>
      <w:marRight w:val="0"/>
      <w:marTop w:val="0"/>
      <w:marBottom w:val="120"/>
      <w:divBdr>
        <w:top w:val="none" w:sz="0" w:space="0" w:color="auto"/>
        <w:left w:val="none" w:sz="0" w:space="0" w:color="auto"/>
        <w:bottom w:val="none" w:sz="0" w:space="0" w:color="auto"/>
        <w:right w:val="none" w:sz="0" w:space="0" w:color="auto"/>
      </w:divBdr>
    </w:div>
    <w:div w:id="84691437">
      <w:marLeft w:val="0"/>
      <w:marRight w:val="0"/>
      <w:marTop w:val="0"/>
      <w:marBottom w:val="0"/>
      <w:divBdr>
        <w:top w:val="none" w:sz="0" w:space="0" w:color="auto"/>
        <w:left w:val="none" w:sz="0" w:space="0" w:color="auto"/>
        <w:bottom w:val="none" w:sz="0" w:space="0" w:color="auto"/>
        <w:right w:val="none" w:sz="0" w:space="0" w:color="auto"/>
      </w:divBdr>
    </w:div>
    <w:div w:id="88548073">
      <w:marLeft w:val="0"/>
      <w:marRight w:val="0"/>
      <w:marTop w:val="0"/>
      <w:marBottom w:val="240"/>
      <w:divBdr>
        <w:top w:val="none" w:sz="0" w:space="0" w:color="auto"/>
        <w:left w:val="none" w:sz="0" w:space="0" w:color="auto"/>
        <w:bottom w:val="none" w:sz="0" w:space="0" w:color="auto"/>
        <w:right w:val="none" w:sz="0" w:space="0" w:color="auto"/>
      </w:divBdr>
    </w:div>
    <w:div w:id="90977955">
      <w:marLeft w:val="0"/>
      <w:marRight w:val="0"/>
      <w:marTop w:val="0"/>
      <w:marBottom w:val="240"/>
      <w:divBdr>
        <w:top w:val="none" w:sz="0" w:space="0" w:color="auto"/>
        <w:left w:val="none" w:sz="0" w:space="0" w:color="auto"/>
        <w:bottom w:val="none" w:sz="0" w:space="0" w:color="auto"/>
        <w:right w:val="none" w:sz="0" w:space="0" w:color="auto"/>
      </w:divBdr>
    </w:div>
    <w:div w:id="94442165">
      <w:marLeft w:val="0"/>
      <w:marRight w:val="0"/>
      <w:marTop w:val="0"/>
      <w:marBottom w:val="240"/>
      <w:divBdr>
        <w:top w:val="none" w:sz="0" w:space="0" w:color="auto"/>
        <w:left w:val="none" w:sz="0" w:space="0" w:color="auto"/>
        <w:bottom w:val="none" w:sz="0" w:space="0" w:color="auto"/>
        <w:right w:val="none" w:sz="0" w:space="0" w:color="auto"/>
      </w:divBdr>
    </w:div>
    <w:div w:id="99644550">
      <w:marLeft w:val="0"/>
      <w:marRight w:val="0"/>
      <w:marTop w:val="0"/>
      <w:marBottom w:val="0"/>
      <w:divBdr>
        <w:top w:val="none" w:sz="0" w:space="0" w:color="auto"/>
        <w:left w:val="none" w:sz="0" w:space="0" w:color="auto"/>
        <w:bottom w:val="none" w:sz="0" w:space="0" w:color="auto"/>
        <w:right w:val="none" w:sz="0" w:space="0" w:color="auto"/>
      </w:divBdr>
      <w:divsChild>
        <w:div w:id="378093035">
          <w:marLeft w:val="0"/>
          <w:marRight w:val="0"/>
          <w:marTop w:val="0"/>
          <w:marBottom w:val="0"/>
          <w:divBdr>
            <w:top w:val="none" w:sz="0" w:space="0" w:color="auto"/>
            <w:left w:val="none" w:sz="0" w:space="0" w:color="auto"/>
            <w:bottom w:val="none" w:sz="0" w:space="0" w:color="auto"/>
            <w:right w:val="none" w:sz="0" w:space="0" w:color="auto"/>
          </w:divBdr>
        </w:div>
      </w:divsChild>
    </w:div>
    <w:div w:id="104540441">
      <w:marLeft w:val="0"/>
      <w:marRight w:val="0"/>
      <w:marTop w:val="0"/>
      <w:marBottom w:val="240"/>
      <w:divBdr>
        <w:top w:val="none" w:sz="0" w:space="0" w:color="auto"/>
        <w:left w:val="none" w:sz="0" w:space="0" w:color="auto"/>
        <w:bottom w:val="none" w:sz="0" w:space="0" w:color="auto"/>
        <w:right w:val="none" w:sz="0" w:space="0" w:color="auto"/>
      </w:divBdr>
    </w:div>
    <w:div w:id="107167378">
      <w:marLeft w:val="0"/>
      <w:marRight w:val="0"/>
      <w:marTop w:val="0"/>
      <w:marBottom w:val="240"/>
      <w:divBdr>
        <w:top w:val="none" w:sz="0" w:space="0" w:color="auto"/>
        <w:left w:val="none" w:sz="0" w:space="0" w:color="auto"/>
        <w:bottom w:val="none" w:sz="0" w:space="0" w:color="auto"/>
        <w:right w:val="none" w:sz="0" w:space="0" w:color="auto"/>
      </w:divBdr>
    </w:div>
    <w:div w:id="108353681">
      <w:marLeft w:val="0"/>
      <w:marRight w:val="0"/>
      <w:marTop w:val="0"/>
      <w:marBottom w:val="120"/>
      <w:divBdr>
        <w:top w:val="none" w:sz="0" w:space="0" w:color="auto"/>
        <w:left w:val="none" w:sz="0" w:space="0" w:color="auto"/>
        <w:bottom w:val="none" w:sz="0" w:space="0" w:color="auto"/>
        <w:right w:val="none" w:sz="0" w:space="0" w:color="auto"/>
      </w:divBdr>
      <w:divsChild>
        <w:div w:id="1400979954">
          <w:marLeft w:val="0"/>
          <w:marRight w:val="0"/>
          <w:marTop w:val="0"/>
          <w:marBottom w:val="0"/>
          <w:divBdr>
            <w:top w:val="none" w:sz="0" w:space="0" w:color="auto"/>
            <w:left w:val="none" w:sz="0" w:space="0" w:color="auto"/>
            <w:bottom w:val="none" w:sz="0" w:space="0" w:color="auto"/>
            <w:right w:val="none" w:sz="0" w:space="0" w:color="auto"/>
          </w:divBdr>
        </w:div>
      </w:divsChild>
    </w:div>
    <w:div w:id="108938801">
      <w:marLeft w:val="0"/>
      <w:marRight w:val="0"/>
      <w:marTop w:val="260"/>
      <w:marBottom w:val="60"/>
      <w:divBdr>
        <w:top w:val="none" w:sz="0" w:space="0" w:color="auto"/>
        <w:left w:val="none" w:sz="0" w:space="0" w:color="auto"/>
        <w:bottom w:val="none" w:sz="0" w:space="0" w:color="auto"/>
        <w:right w:val="none" w:sz="0" w:space="0" w:color="auto"/>
      </w:divBdr>
    </w:div>
    <w:div w:id="114906905">
      <w:marLeft w:val="0"/>
      <w:marRight w:val="0"/>
      <w:marTop w:val="240"/>
      <w:marBottom w:val="240"/>
      <w:divBdr>
        <w:top w:val="none" w:sz="0" w:space="0" w:color="auto"/>
        <w:left w:val="none" w:sz="0" w:space="0" w:color="auto"/>
        <w:bottom w:val="none" w:sz="0" w:space="0" w:color="auto"/>
        <w:right w:val="none" w:sz="0" w:space="0" w:color="auto"/>
      </w:divBdr>
    </w:div>
    <w:div w:id="116799234">
      <w:marLeft w:val="0"/>
      <w:marRight w:val="0"/>
      <w:marTop w:val="0"/>
      <w:marBottom w:val="0"/>
      <w:divBdr>
        <w:top w:val="none" w:sz="0" w:space="0" w:color="auto"/>
        <w:left w:val="none" w:sz="0" w:space="0" w:color="auto"/>
        <w:bottom w:val="none" w:sz="0" w:space="0" w:color="auto"/>
        <w:right w:val="none" w:sz="0" w:space="0" w:color="auto"/>
      </w:divBdr>
    </w:div>
    <w:div w:id="124352312">
      <w:marLeft w:val="0"/>
      <w:marRight w:val="0"/>
      <w:marTop w:val="0"/>
      <w:marBottom w:val="0"/>
      <w:divBdr>
        <w:top w:val="none" w:sz="0" w:space="0" w:color="auto"/>
        <w:left w:val="none" w:sz="0" w:space="0" w:color="auto"/>
        <w:bottom w:val="none" w:sz="0" w:space="0" w:color="auto"/>
        <w:right w:val="none" w:sz="0" w:space="0" w:color="auto"/>
      </w:divBdr>
    </w:div>
    <w:div w:id="127355468">
      <w:marLeft w:val="0"/>
      <w:marRight w:val="0"/>
      <w:marTop w:val="0"/>
      <w:marBottom w:val="0"/>
      <w:divBdr>
        <w:top w:val="none" w:sz="0" w:space="0" w:color="auto"/>
        <w:left w:val="none" w:sz="0" w:space="0" w:color="auto"/>
        <w:bottom w:val="none" w:sz="0" w:space="0" w:color="auto"/>
        <w:right w:val="none" w:sz="0" w:space="0" w:color="auto"/>
      </w:divBdr>
      <w:divsChild>
        <w:div w:id="1929655533">
          <w:marLeft w:val="0"/>
          <w:marRight w:val="0"/>
          <w:marTop w:val="0"/>
          <w:marBottom w:val="0"/>
          <w:divBdr>
            <w:top w:val="none" w:sz="0" w:space="0" w:color="auto"/>
            <w:left w:val="none" w:sz="0" w:space="0" w:color="auto"/>
            <w:bottom w:val="none" w:sz="0" w:space="0" w:color="auto"/>
            <w:right w:val="none" w:sz="0" w:space="0" w:color="auto"/>
          </w:divBdr>
        </w:div>
      </w:divsChild>
    </w:div>
    <w:div w:id="128867805">
      <w:marLeft w:val="0"/>
      <w:marRight w:val="0"/>
      <w:marTop w:val="0"/>
      <w:marBottom w:val="0"/>
      <w:divBdr>
        <w:top w:val="none" w:sz="0" w:space="0" w:color="auto"/>
        <w:left w:val="none" w:sz="0" w:space="0" w:color="auto"/>
        <w:bottom w:val="none" w:sz="0" w:space="0" w:color="auto"/>
        <w:right w:val="none" w:sz="0" w:space="0" w:color="auto"/>
      </w:divBdr>
    </w:div>
    <w:div w:id="129131596">
      <w:marLeft w:val="0"/>
      <w:marRight w:val="0"/>
      <w:marTop w:val="0"/>
      <w:marBottom w:val="0"/>
      <w:divBdr>
        <w:top w:val="none" w:sz="0" w:space="0" w:color="auto"/>
        <w:left w:val="none" w:sz="0" w:space="0" w:color="auto"/>
        <w:bottom w:val="none" w:sz="0" w:space="0" w:color="auto"/>
        <w:right w:val="none" w:sz="0" w:space="0" w:color="auto"/>
      </w:divBdr>
    </w:div>
    <w:div w:id="129178529">
      <w:marLeft w:val="0"/>
      <w:marRight w:val="0"/>
      <w:marTop w:val="0"/>
      <w:marBottom w:val="240"/>
      <w:divBdr>
        <w:top w:val="none" w:sz="0" w:space="0" w:color="auto"/>
        <w:left w:val="none" w:sz="0" w:space="0" w:color="auto"/>
        <w:bottom w:val="none" w:sz="0" w:space="0" w:color="auto"/>
        <w:right w:val="none" w:sz="0" w:space="0" w:color="auto"/>
      </w:divBdr>
    </w:div>
    <w:div w:id="129787297">
      <w:marLeft w:val="0"/>
      <w:marRight w:val="0"/>
      <w:marTop w:val="0"/>
      <w:marBottom w:val="0"/>
      <w:divBdr>
        <w:top w:val="none" w:sz="0" w:space="0" w:color="auto"/>
        <w:left w:val="none" w:sz="0" w:space="0" w:color="auto"/>
        <w:bottom w:val="none" w:sz="0" w:space="0" w:color="auto"/>
        <w:right w:val="none" w:sz="0" w:space="0" w:color="auto"/>
      </w:divBdr>
    </w:div>
    <w:div w:id="134876629">
      <w:marLeft w:val="0"/>
      <w:marRight w:val="0"/>
      <w:marTop w:val="0"/>
      <w:marBottom w:val="0"/>
      <w:divBdr>
        <w:top w:val="none" w:sz="0" w:space="0" w:color="auto"/>
        <w:left w:val="none" w:sz="0" w:space="0" w:color="auto"/>
        <w:bottom w:val="none" w:sz="0" w:space="0" w:color="auto"/>
        <w:right w:val="none" w:sz="0" w:space="0" w:color="auto"/>
      </w:divBdr>
      <w:divsChild>
        <w:div w:id="2046173780">
          <w:marLeft w:val="0"/>
          <w:marRight w:val="0"/>
          <w:marTop w:val="0"/>
          <w:marBottom w:val="0"/>
          <w:divBdr>
            <w:top w:val="none" w:sz="0" w:space="0" w:color="auto"/>
            <w:left w:val="none" w:sz="0" w:space="0" w:color="auto"/>
            <w:bottom w:val="none" w:sz="0" w:space="0" w:color="auto"/>
            <w:right w:val="none" w:sz="0" w:space="0" w:color="auto"/>
          </w:divBdr>
        </w:div>
      </w:divsChild>
    </w:div>
    <w:div w:id="138158514">
      <w:marLeft w:val="0"/>
      <w:marRight w:val="0"/>
      <w:marTop w:val="0"/>
      <w:marBottom w:val="0"/>
      <w:divBdr>
        <w:top w:val="none" w:sz="0" w:space="0" w:color="auto"/>
        <w:left w:val="none" w:sz="0" w:space="0" w:color="auto"/>
        <w:bottom w:val="none" w:sz="0" w:space="0" w:color="auto"/>
        <w:right w:val="none" w:sz="0" w:space="0" w:color="auto"/>
      </w:divBdr>
      <w:divsChild>
        <w:div w:id="1852986691">
          <w:marLeft w:val="0"/>
          <w:marRight w:val="0"/>
          <w:marTop w:val="0"/>
          <w:marBottom w:val="0"/>
          <w:divBdr>
            <w:top w:val="none" w:sz="0" w:space="0" w:color="auto"/>
            <w:left w:val="none" w:sz="0" w:space="0" w:color="auto"/>
            <w:bottom w:val="none" w:sz="0" w:space="0" w:color="auto"/>
            <w:right w:val="none" w:sz="0" w:space="0" w:color="auto"/>
          </w:divBdr>
        </w:div>
      </w:divsChild>
    </w:div>
    <w:div w:id="147409493">
      <w:marLeft w:val="0"/>
      <w:marRight w:val="0"/>
      <w:marTop w:val="0"/>
      <w:marBottom w:val="60"/>
      <w:divBdr>
        <w:top w:val="none" w:sz="0" w:space="0" w:color="auto"/>
        <w:left w:val="none" w:sz="0" w:space="0" w:color="auto"/>
        <w:bottom w:val="none" w:sz="0" w:space="0" w:color="auto"/>
        <w:right w:val="none" w:sz="0" w:space="0" w:color="auto"/>
      </w:divBdr>
    </w:div>
    <w:div w:id="148987740">
      <w:marLeft w:val="0"/>
      <w:marRight w:val="0"/>
      <w:marTop w:val="0"/>
      <w:marBottom w:val="0"/>
      <w:divBdr>
        <w:top w:val="none" w:sz="0" w:space="0" w:color="auto"/>
        <w:left w:val="none" w:sz="0" w:space="0" w:color="auto"/>
        <w:bottom w:val="none" w:sz="0" w:space="0" w:color="auto"/>
        <w:right w:val="none" w:sz="0" w:space="0" w:color="auto"/>
      </w:divBdr>
      <w:divsChild>
        <w:div w:id="668017810">
          <w:marLeft w:val="0"/>
          <w:marRight w:val="0"/>
          <w:marTop w:val="0"/>
          <w:marBottom w:val="0"/>
          <w:divBdr>
            <w:top w:val="none" w:sz="0" w:space="0" w:color="auto"/>
            <w:left w:val="none" w:sz="0" w:space="0" w:color="auto"/>
            <w:bottom w:val="none" w:sz="0" w:space="0" w:color="auto"/>
            <w:right w:val="none" w:sz="0" w:space="0" w:color="auto"/>
          </w:divBdr>
        </w:div>
      </w:divsChild>
    </w:div>
    <w:div w:id="154228925">
      <w:marLeft w:val="0"/>
      <w:marRight w:val="0"/>
      <w:marTop w:val="0"/>
      <w:marBottom w:val="0"/>
      <w:divBdr>
        <w:top w:val="none" w:sz="0" w:space="0" w:color="auto"/>
        <w:left w:val="none" w:sz="0" w:space="0" w:color="auto"/>
        <w:bottom w:val="none" w:sz="0" w:space="0" w:color="auto"/>
        <w:right w:val="none" w:sz="0" w:space="0" w:color="auto"/>
      </w:divBdr>
      <w:divsChild>
        <w:div w:id="755126725">
          <w:marLeft w:val="0"/>
          <w:marRight w:val="0"/>
          <w:marTop w:val="0"/>
          <w:marBottom w:val="0"/>
          <w:divBdr>
            <w:top w:val="none" w:sz="0" w:space="0" w:color="auto"/>
            <w:left w:val="none" w:sz="0" w:space="0" w:color="auto"/>
            <w:bottom w:val="none" w:sz="0" w:space="0" w:color="auto"/>
            <w:right w:val="none" w:sz="0" w:space="0" w:color="auto"/>
          </w:divBdr>
        </w:div>
      </w:divsChild>
    </w:div>
    <w:div w:id="154683216">
      <w:marLeft w:val="0"/>
      <w:marRight w:val="0"/>
      <w:marTop w:val="0"/>
      <w:marBottom w:val="0"/>
      <w:divBdr>
        <w:top w:val="none" w:sz="0" w:space="0" w:color="auto"/>
        <w:left w:val="none" w:sz="0" w:space="0" w:color="auto"/>
        <w:bottom w:val="none" w:sz="0" w:space="0" w:color="auto"/>
        <w:right w:val="none" w:sz="0" w:space="0" w:color="auto"/>
      </w:divBdr>
    </w:div>
    <w:div w:id="155340100">
      <w:marLeft w:val="0"/>
      <w:marRight w:val="0"/>
      <w:marTop w:val="0"/>
      <w:marBottom w:val="60"/>
      <w:divBdr>
        <w:top w:val="none" w:sz="0" w:space="0" w:color="auto"/>
        <w:left w:val="none" w:sz="0" w:space="0" w:color="auto"/>
        <w:bottom w:val="none" w:sz="0" w:space="0" w:color="auto"/>
        <w:right w:val="none" w:sz="0" w:space="0" w:color="auto"/>
      </w:divBdr>
    </w:div>
    <w:div w:id="159734871">
      <w:marLeft w:val="0"/>
      <w:marRight w:val="0"/>
      <w:marTop w:val="0"/>
      <w:marBottom w:val="0"/>
      <w:divBdr>
        <w:top w:val="none" w:sz="0" w:space="0" w:color="auto"/>
        <w:left w:val="none" w:sz="0" w:space="0" w:color="auto"/>
        <w:bottom w:val="none" w:sz="0" w:space="0" w:color="auto"/>
        <w:right w:val="none" w:sz="0" w:space="0" w:color="auto"/>
      </w:divBdr>
      <w:divsChild>
        <w:div w:id="687483483">
          <w:marLeft w:val="0"/>
          <w:marRight w:val="0"/>
          <w:marTop w:val="0"/>
          <w:marBottom w:val="0"/>
          <w:divBdr>
            <w:top w:val="none" w:sz="0" w:space="0" w:color="auto"/>
            <w:left w:val="none" w:sz="0" w:space="0" w:color="auto"/>
            <w:bottom w:val="none" w:sz="0" w:space="0" w:color="auto"/>
            <w:right w:val="none" w:sz="0" w:space="0" w:color="auto"/>
          </w:divBdr>
        </w:div>
      </w:divsChild>
    </w:div>
    <w:div w:id="161818809">
      <w:marLeft w:val="0"/>
      <w:marRight w:val="0"/>
      <w:marTop w:val="0"/>
      <w:marBottom w:val="240"/>
      <w:divBdr>
        <w:top w:val="none" w:sz="0" w:space="0" w:color="auto"/>
        <w:left w:val="none" w:sz="0" w:space="0" w:color="auto"/>
        <w:bottom w:val="none" w:sz="0" w:space="0" w:color="auto"/>
        <w:right w:val="none" w:sz="0" w:space="0" w:color="auto"/>
      </w:divBdr>
    </w:div>
    <w:div w:id="162091756">
      <w:marLeft w:val="0"/>
      <w:marRight w:val="0"/>
      <w:marTop w:val="0"/>
      <w:marBottom w:val="0"/>
      <w:divBdr>
        <w:top w:val="none" w:sz="0" w:space="0" w:color="auto"/>
        <w:left w:val="none" w:sz="0" w:space="0" w:color="auto"/>
        <w:bottom w:val="none" w:sz="0" w:space="0" w:color="auto"/>
        <w:right w:val="none" w:sz="0" w:space="0" w:color="auto"/>
      </w:divBdr>
      <w:divsChild>
        <w:div w:id="730153121">
          <w:marLeft w:val="0"/>
          <w:marRight w:val="0"/>
          <w:marTop w:val="0"/>
          <w:marBottom w:val="0"/>
          <w:divBdr>
            <w:top w:val="none" w:sz="0" w:space="0" w:color="auto"/>
            <w:left w:val="none" w:sz="0" w:space="0" w:color="auto"/>
            <w:bottom w:val="none" w:sz="0" w:space="0" w:color="auto"/>
            <w:right w:val="none" w:sz="0" w:space="0" w:color="auto"/>
          </w:divBdr>
        </w:div>
      </w:divsChild>
    </w:div>
    <w:div w:id="170292151">
      <w:marLeft w:val="0"/>
      <w:marRight w:val="0"/>
      <w:marTop w:val="0"/>
      <w:marBottom w:val="0"/>
      <w:divBdr>
        <w:top w:val="none" w:sz="0" w:space="0" w:color="auto"/>
        <w:left w:val="none" w:sz="0" w:space="0" w:color="auto"/>
        <w:bottom w:val="none" w:sz="0" w:space="0" w:color="auto"/>
        <w:right w:val="none" w:sz="0" w:space="0" w:color="auto"/>
      </w:divBdr>
      <w:divsChild>
        <w:div w:id="1207714704">
          <w:marLeft w:val="0"/>
          <w:marRight w:val="0"/>
          <w:marTop w:val="0"/>
          <w:marBottom w:val="0"/>
          <w:divBdr>
            <w:top w:val="none" w:sz="0" w:space="0" w:color="auto"/>
            <w:left w:val="none" w:sz="0" w:space="0" w:color="auto"/>
            <w:bottom w:val="none" w:sz="0" w:space="0" w:color="auto"/>
            <w:right w:val="none" w:sz="0" w:space="0" w:color="auto"/>
          </w:divBdr>
        </w:div>
      </w:divsChild>
    </w:div>
    <w:div w:id="170610793">
      <w:marLeft w:val="0"/>
      <w:marRight w:val="0"/>
      <w:marTop w:val="0"/>
      <w:marBottom w:val="0"/>
      <w:divBdr>
        <w:top w:val="none" w:sz="0" w:space="0" w:color="auto"/>
        <w:left w:val="none" w:sz="0" w:space="0" w:color="auto"/>
        <w:bottom w:val="none" w:sz="0" w:space="0" w:color="auto"/>
        <w:right w:val="none" w:sz="0" w:space="0" w:color="auto"/>
      </w:divBdr>
    </w:div>
    <w:div w:id="175388283">
      <w:marLeft w:val="0"/>
      <w:marRight w:val="0"/>
      <w:marTop w:val="0"/>
      <w:marBottom w:val="0"/>
      <w:divBdr>
        <w:top w:val="none" w:sz="0" w:space="0" w:color="auto"/>
        <w:left w:val="none" w:sz="0" w:space="0" w:color="auto"/>
        <w:bottom w:val="none" w:sz="0" w:space="0" w:color="auto"/>
        <w:right w:val="none" w:sz="0" w:space="0" w:color="auto"/>
      </w:divBdr>
      <w:divsChild>
        <w:div w:id="594824785">
          <w:marLeft w:val="0"/>
          <w:marRight w:val="0"/>
          <w:marTop w:val="0"/>
          <w:marBottom w:val="0"/>
          <w:divBdr>
            <w:top w:val="none" w:sz="0" w:space="0" w:color="auto"/>
            <w:left w:val="none" w:sz="0" w:space="0" w:color="auto"/>
            <w:bottom w:val="none" w:sz="0" w:space="0" w:color="auto"/>
            <w:right w:val="none" w:sz="0" w:space="0" w:color="auto"/>
          </w:divBdr>
        </w:div>
      </w:divsChild>
    </w:div>
    <w:div w:id="175466877">
      <w:marLeft w:val="0"/>
      <w:marRight w:val="0"/>
      <w:marTop w:val="0"/>
      <w:marBottom w:val="0"/>
      <w:divBdr>
        <w:top w:val="none" w:sz="0" w:space="0" w:color="auto"/>
        <w:left w:val="none" w:sz="0" w:space="0" w:color="auto"/>
        <w:bottom w:val="none" w:sz="0" w:space="0" w:color="auto"/>
        <w:right w:val="none" w:sz="0" w:space="0" w:color="auto"/>
      </w:divBdr>
      <w:divsChild>
        <w:div w:id="1477842689">
          <w:marLeft w:val="0"/>
          <w:marRight w:val="0"/>
          <w:marTop w:val="0"/>
          <w:marBottom w:val="0"/>
          <w:divBdr>
            <w:top w:val="none" w:sz="0" w:space="0" w:color="auto"/>
            <w:left w:val="none" w:sz="0" w:space="0" w:color="auto"/>
            <w:bottom w:val="none" w:sz="0" w:space="0" w:color="auto"/>
            <w:right w:val="none" w:sz="0" w:space="0" w:color="auto"/>
          </w:divBdr>
        </w:div>
      </w:divsChild>
    </w:div>
    <w:div w:id="177426564">
      <w:marLeft w:val="0"/>
      <w:marRight w:val="0"/>
      <w:marTop w:val="20"/>
      <w:marBottom w:val="0"/>
      <w:divBdr>
        <w:top w:val="none" w:sz="0" w:space="0" w:color="auto"/>
        <w:left w:val="none" w:sz="0" w:space="0" w:color="auto"/>
        <w:bottom w:val="none" w:sz="0" w:space="0" w:color="auto"/>
        <w:right w:val="none" w:sz="0" w:space="0" w:color="auto"/>
      </w:divBdr>
    </w:div>
    <w:div w:id="177737423">
      <w:marLeft w:val="0"/>
      <w:marRight w:val="0"/>
      <w:marTop w:val="0"/>
      <w:marBottom w:val="240"/>
      <w:divBdr>
        <w:top w:val="none" w:sz="0" w:space="0" w:color="auto"/>
        <w:left w:val="none" w:sz="0" w:space="0" w:color="auto"/>
        <w:bottom w:val="none" w:sz="0" w:space="0" w:color="auto"/>
        <w:right w:val="none" w:sz="0" w:space="0" w:color="auto"/>
      </w:divBdr>
    </w:div>
    <w:div w:id="178661449">
      <w:marLeft w:val="0"/>
      <w:marRight w:val="0"/>
      <w:marTop w:val="0"/>
      <w:marBottom w:val="240"/>
      <w:divBdr>
        <w:top w:val="none" w:sz="0" w:space="0" w:color="auto"/>
        <w:left w:val="none" w:sz="0" w:space="0" w:color="auto"/>
        <w:bottom w:val="none" w:sz="0" w:space="0" w:color="auto"/>
        <w:right w:val="none" w:sz="0" w:space="0" w:color="auto"/>
      </w:divBdr>
    </w:div>
    <w:div w:id="179122764">
      <w:marLeft w:val="0"/>
      <w:marRight w:val="0"/>
      <w:marTop w:val="0"/>
      <w:marBottom w:val="240"/>
      <w:divBdr>
        <w:top w:val="none" w:sz="0" w:space="0" w:color="auto"/>
        <w:left w:val="none" w:sz="0" w:space="0" w:color="auto"/>
        <w:bottom w:val="none" w:sz="0" w:space="0" w:color="auto"/>
        <w:right w:val="none" w:sz="0" w:space="0" w:color="auto"/>
      </w:divBdr>
    </w:div>
    <w:div w:id="180634917">
      <w:marLeft w:val="0"/>
      <w:marRight w:val="0"/>
      <w:marTop w:val="0"/>
      <w:marBottom w:val="60"/>
      <w:divBdr>
        <w:top w:val="none" w:sz="0" w:space="0" w:color="auto"/>
        <w:left w:val="none" w:sz="0" w:space="0" w:color="auto"/>
        <w:bottom w:val="none" w:sz="0" w:space="0" w:color="auto"/>
        <w:right w:val="none" w:sz="0" w:space="0" w:color="auto"/>
      </w:divBdr>
    </w:div>
    <w:div w:id="188573333">
      <w:marLeft w:val="0"/>
      <w:marRight w:val="0"/>
      <w:marTop w:val="0"/>
      <w:marBottom w:val="0"/>
      <w:divBdr>
        <w:top w:val="none" w:sz="0" w:space="0" w:color="auto"/>
        <w:left w:val="none" w:sz="0" w:space="0" w:color="auto"/>
        <w:bottom w:val="none" w:sz="0" w:space="0" w:color="auto"/>
        <w:right w:val="none" w:sz="0" w:space="0" w:color="auto"/>
      </w:divBdr>
    </w:div>
    <w:div w:id="191193263">
      <w:marLeft w:val="0"/>
      <w:marRight w:val="0"/>
      <w:marTop w:val="0"/>
      <w:marBottom w:val="0"/>
      <w:divBdr>
        <w:top w:val="none" w:sz="0" w:space="0" w:color="auto"/>
        <w:left w:val="none" w:sz="0" w:space="0" w:color="auto"/>
        <w:bottom w:val="none" w:sz="0" w:space="0" w:color="auto"/>
        <w:right w:val="none" w:sz="0" w:space="0" w:color="auto"/>
      </w:divBdr>
    </w:div>
    <w:div w:id="192810358">
      <w:marLeft w:val="0"/>
      <w:marRight w:val="0"/>
      <w:marTop w:val="0"/>
      <w:marBottom w:val="0"/>
      <w:divBdr>
        <w:top w:val="none" w:sz="0" w:space="0" w:color="auto"/>
        <w:left w:val="none" w:sz="0" w:space="0" w:color="auto"/>
        <w:bottom w:val="none" w:sz="0" w:space="0" w:color="auto"/>
        <w:right w:val="none" w:sz="0" w:space="0" w:color="auto"/>
      </w:divBdr>
      <w:divsChild>
        <w:div w:id="982583524">
          <w:marLeft w:val="0"/>
          <w:marRight w:val="0"/>
          <w:marTop w:val="0"/>
          <w:marBottom w:val="0"/>
          <w:divBdr>
            <w:top w:val="none" w:sz="0" w:space="0" w:color="auto"/>
            <w:left w:val="none" w:sz="0" w:space="0" w:color="auto"/>
            <w:bottom w:val="none" w:sz="0" w:space="0" w:color="auto"/>
            <w:right w:val="none" w:sz="0" w:space="0" w:color="auto"/>
          </w:divBdr>
        </w:div>
      </w:divsChild>
    </w:div>
    <w:div w:id="193349618">
      <w:marLeft w:val="0"/>
      <w:marRight w:val="0"/>
      <w:marTop w:val="240"/>
      <w:marBottom w:val="240"/>
      <w:divBdr>
        <w:top w:val="none" w:sz="0" w:space="0" w:color="auto"/>
        <w:left w:val="none" w:sz="0" w:space="0" w:color="auto"/>
        <w:bottom w:val="none" w:sz="0" w:space="0" w:color="auto"/>
        <w:right w:val="none" w:sz="0" w:space="0" w:color="auto"/>
      </w:divBdr>
    </w:div>
    <w:div w:id="200558324">
      <w:marLeft w:val="0"/>
      <w:marRight w:val="0"/>
      <w:marTop w:val="0"/>
      <w:marBottom w:val="0"/>
      <w:divBdr>
        <w:top w:val="none" w:sz="0" w:space="0" w:color="auto"/>
        <w:left w:val="none" w:sz="0" w:space="0" w:color="auto"/>
        <w:bottom w:val="none" w:sz="0" w:space="0" w:color="auto"/>
        <w:right w:val="none" w:sz="0" w:space="0" w:color="auto"/>
      </w:divBdr>
    </w:div>
    <w:div w:id="202132715">
      <w:marLeft w:val="0"/>
      <w:marRight w:val="0"/>
      <w:marTop w:val="0"/>
      <w:marBottom w:val="0"/>
      <w:divBdr>
        <w:top w:val="none" w:sz="0" w:space="0" w:color="auto"/>
        <w:left w:val="none" w:sz="0" w:space="0" w:color="auto"/>
        <w:bottom w:val="none" w:sz="0" w:space="0" w:color="auto"/>
        <w:right w:val="none" w:sz="0" w:space="0" w:color="auto"/>
      </w:divBdr>
      <w:divsChild>
        <w:div w:id="390009010">
          <w:marLeft w:val="0"/>
          <w:marRight w:val="0"/>
          <w:marTop w:val="0"/>
          <w:marBottom w:val="0"/>
          <w:divBdr>
            <w:top w:val="none" w:sz="0" w:space="0" w:color="auto"/>
            <w:left w:val="none" w:sz="0" w:space="0" w:color="auto"/>
            <w:bottom w:val="none" w:sz="0" w:space="0" w:color="auto"/>
            <w:right w:val="none" w:sz="0" w:space="0" w:color="auto"/>
          </w:divBdr>
        </w:div>
      </w:divsChild>
    </w:div>
    <w:div w:id="202713643">
      <w:marLeft w:val="0"/>
      <w:marRight w:val="0"/>
      <w:marTop w:val="0"/>
      <w:marBottom w:val="0"/>
      <w:divBdr>
        <w:top w:val="none" w:sz="0" w:space="0" w:color="auto"/>
        <w:left w:val="none" w:sz="0" w:space="0" w:color="auto"/>
        <w:bottom w:val="none" w:sz="0" w:space="0" w:color="auto"/>
        <w:right w:val="none" w:sz="0" w:space="0" w:color="auto"/>
      </w:divBdr>
      <w:divsChild>
        <w:div w:id="1453398305">
          <w:marLeft w:val="0"/>
          <w:marRight w:val="0"/>
          <w:marTop w:val="0"/>
          <w:marBottom w:val="0"/>
          <w:divBdr>
            <w:top w:val="none" w:sz="0" w:space="0" w:color="auto"/>
            <w:left w:val="none" w:sz="0" w:space="0" w:color="auto"/>
            <w:bottom w:val="none" w:sz="0" w:space="0" w:color="auto"/>
            <w:right w:val="none" w:sz="0" w:space="0" w:color="auto"/>
          </w:divBdr>
        </w:div>
      </w:divsChild>
    </w:div>
    <w:div w:id="203252487">
      <w:marLeft w:val="0"/>
      <w:marRight w:val="0"/>
      <w:marTop w:val="0"/>
      <w:marBottom w:val="240"/>
      <w:divBdr>
        <w:top w:val="none" w:sz="0" w:space="0" w:color="auto"/>
        <w:left w:val="none" w:sz="0" w:space="0" w:color="auto"/>
        <w:bottom w:val="none" w:sz="0" w:space="0" w:color="auto"/>
        <w:right w:val="none" w:sz="0" w:space="0" w:color="auto"/>
      </w:divBdr>
    </w:div>
    <w:div w:id="205607956">
      <w:marLeft w:val="0"/>
      <w:marRight w:val="0"/>
      <w:marTop w:val="0"/>
      <w:marBottom w:val="240"/>
      <w:divBdr>
        <w:top w:val="none" w:sz="0" w:space="0" w:color="auto"/>
        <w:left w:val="none" w:sz="0" w:space="0" w:color="auto"/>
        <w:bottom w:val="none" w:sz="0" w:space="0" w:color="auto"/>
        <w:right w:val="none" w:sz="0" w:space="0" w:color="auto"/>
      </w:divBdr>
    </w:div>
    <w:div w:id="207184913">
      <w:marLeft w:val="0"/>
      <w:marRight w:val="0"/>
      <w:marTop w:val="0"/>
      <w:marBottom w:val="240"/>
      <w:divBdr>
        <w:top w:val="none" w:sz="0" w:space="0" w:color="auto"/>
        <w:left w:val="none" w:sz="0" w:space="0" w:color="auto"/>
        <w:bottom w:val="none" w:sz="0" w:space="0" w:color="auto"/>
        <w:right w:val="none" w:sz="0" w:space="0" w:color="auto"/>
      </w:divBdr>
    </w:div>
    <w:div w:id="207955580">
      <w:marLeft w:val="0"/>
      <w:marRight w:val="0"/>
      <w:marTop w:val="240"/>
      <w:marBottom w:val="0"/>
      <w:divBdr>
        <w:top w:val="none" w:sz="0" w:space="0" w:color="auto"/>
        <w:left w:val="none" w:sz="0" w:space="0" w:color="auto"/>
        <w:bottom w:val="none" w:sz="0" w:space="0" w:color="auto"/>
        <w:right w:val="none" w:sz="0" w:space="0" w:color="auto"/>
      </w:divBdr>
    </w:div>
    <w:div w:id="207956686">
      <w:marLeft w:val="0"/>
      <w:marRight w:val="0"/>
      <w:marTop w:val="0"/>
      <w:marBottom w:val="0"/>
      <w:divBdr>
        <w:top w:val="none" w:sz="0" w:space="0" w:color="auto"/>
        <w:left w:val="none" w:sz="0" w:space="0" w:color="auto"/>
        <w:bottom w:val="none" w:sz="0" w:space="0" w:color="auto"/>
        <w:right w:val="none" w:sz="0" w:space="0" w:color="auto"/>
      </w:divBdr>
      <w:divsChild>
        <w:div w:id="745953123">
          <w:marLeft w:val="0"/>
          <w:marRight w:val="0"/>
          <w:marTop w:val="0"/>
          <w:marBottom w:val="0"/>
          <w:divBdr>
            <w:top w:val="none" w:sz="0" w:space="0" w:color="auto"/>
            <w:left w:val="none" w:sz="0" w:space="0" w:color="auto"/>
            <w:bottom w:val="none" w:sz="0" w:space="0" w:color="auto"/>
            <w:right w:val="none" w:sz="0" w:space="0" w:color="auto"/>
          </w:divBdr>
        </w:div>
      </w:divsChild>
    </w:div>
    <w:div w:id="210658901">
      <w:marLeft w:val="0"/>
      <w:marRight w:val="0"/>
      <w:marTop w:val="0"/>
      <w:marBottom w:val="60"/>
      <w:divBdr>
        <w:top w:val="none" w:sz="0" w:space="0" w:color="auto"/>
        <w:left w:val="none" w:sz="0" w:space="0" w:color="auto"/>
        <w:bottom w:val="none" w:sz="0" w:space="0" w:color="auto"/>
        <w:right w:val="none" w:sz="0" w:space="0" w:color="auto"/>
      </w:divBdr>
    </w:div>
    <w:div w:id="213082895">
      <w:marLeft w:val="0"/>
      <w:marRight w:val="0"/>
      <w:marTop w:val="0"/>
      <w:marBottom w:val="240"/>
      <w:divBdr>
        <w:top w:val="none" w:sz="0" w:space="0" w:color="auto"/>
        <w:left w:val="none" w:sz="0" w:space="0" w:color="auto"/>
        <w:bottom w:val="none" w:sz="0" w:space="0" w:color="auto"/>
        <w:right w:val="none" w:sz="0" w:space="0" w:color="auto"/>
      </w:divBdr>
    </w:div>
    <w:div w:id="213085943">
      <w:marLeft w:val="0"/>
      <w:marRight w:val="0"/>
      <w:marTop w:val="0"/>
      <w:marBottom w:val="120"/>
      <w:divBdr>
        <w:top w:val="none" w:sz="0" w:space="0" w:color="auto"/>
        <w:left w:val="none" w:sz="0" w:space="0" w:color="auto"/>
        <w:bottom w:val="none" w:sz="0" w:space="0" w:color="auto"/>
        <w:right w:val="none" w:sz="0" w:space="0" w:color="auto"/>
      </w:divBdr>
    </w:div>
    <w:div w:id="215553584">
      <w:marLeft w:val="0"/>
      <w:marRight w:val="0"/>
      <w:marTop w:val="0"/>
      <w:marBottom w:val="240"/>
      <w:divBdr>
        <w:top w:val="none" w:sz="0" w:space="0" w:color="auto"/>
        <w:left w:val="none" w:sz="0" w:space="0" w:color="auto"/>
        <w:bottom w:val="none" w:sz="0" w:space="0" w:color="auto"/>
        <w:right w:val="none" w:sz="0" w:space="0" w:color="auto"/>
      </w:divBdr>
    </w:div>
    <w:div w:id="216167844">
      <w:marLeft w:val="0"/>
      <w:marRight w:val="0"/>
      <w:marTop w:val="0"/>
      <w:marBottom w:val="60"/>
      <w:divBdr>
        <w:top w:val="none" w:sz="0" w:space="0" w:color="auto"/>
        <w:left w:val="none" w:sz="0" w:space="0" w:color="auto"/>
        <w:bottom w:val="none" w:sz="0" w:space="0" w:color="auto"/>
        <w:right w:val="none" w:sz="0" w:space="0" w:color="auto"/>
      </w:divBdr>
    </w:div>
    <w:div w:id="216599171">
      <w:marLeft w:val="0"/>
      <w:marRight w:val="0"/>
      <w:marTop w:val="0"/>
      <w:marBottom w:val="240"/>
      <w:divBdr>
        <w:top w:val="none" w:sz="0" w:space="0" w:color="auto"/>
        <w:left w:val="none" w:sz="0" w:space="0" w:color="auto"/>
        <w:bottom w:val="none" w:sz="0" w:space="0" w:color="auto"/>
        <w:right w:val="none" w:sz="0" w:space="0" w:color="auto"/>
      </w:divBdr>
    </w:div>
    <w:div w:id="218170389">
      <w:marLeft w:val="0"/>
      <w:marRight w:val="0"/>
      <w:marTop w:val="0"/>
      <w:marBottom w:val="60"/>
      <w:divBdr>
        <w:top w:val="none" w:sz="0" w:space="0" w:color="auto"/>
        <w:left w:val="none" w:sz="0" w:space="0" w:color="auto"/>
        <w:bottom w:val="none" w:sz="0" w:space="0" w:color="auto"/>
        <w:right w:val="none" w:sz="0" w:space="0" w:color="auto"/>
      </w:divBdr>
    </w:div>
    <w:div w:id="222067447">
      <w:marLeft w:val="0"/>
      <w:marRight w:val="0"/>
      <w:marTop w:val="0"/>
      <w:marBottom w:val="0"/>
      <w:divBdr>
        <w:top w:val="none" w:sz="0" w:space="0" w:color="auto"/>
        <w:left w:val="none" w:sz="0" w:space="0" w:color="auto"/>
        <w:bottom w:val="none" w:sz="0" w:space="0" w:color="auto"/>
        <w:right w:val="none" w:sz="0" w:space="0" w:color="auto"/>
      </w:divBdr>
      <w:divsChild>
        <w:div w:id="1094015403">
          <w:marLeft w:val="0"/>
          <w:marRight w:val="0"/>
          <w:marTop w:val="0"/>
          <w:marBottom w:val="0"/>
          <w:divBdr>
            <w:top w:val="none" w:sz="0" w:space="0" w:color="auto"/>
            <w:left w:val="none" w:sz="0" w:space="0" w:color="auto"/>
            <w:bottom w:val="none" w:sz="0" w:space="0" w:color="auto"/>
            <w:right w:val="none" w:sz="0" w:space="0" w:color="auto"/>
          </w:divBdr>
        </w:div>
      </w:divsChild>
    </w:div>
    <w:div w:id="227496280">
      <w:marLeft w:val="0"/>
      <w:marRight w:val="0"/>
      <w:marTop w:val="0"/>
      <w:marBottom w:val="0"/>
      <w:divBdr>
        <w:top w:val="none" w:sz="0" w:space="0" w:color="auto"/>
        <w:left w:val="none" w:sz="0" w:space="0" w:color="auto"/>
        <w:bottom w:val="none" w:sz="0" w:space="0" w:color="auto"/>
        <w:right w:val="none" w:sz="0" w:space="0" w:color="auto"/>
      </w:divBdr>
    </w:div>
    <w:div w:id="232474391">
      <w:marLeft w:val="0"/>
      <w:marRight w:val="0"/>
      <w:marTop w:val="0"/>
      <w:marBottom w:val="120"/>
      <w:divBdr>
        <w:top w:val="none" w:sz="0" w:space="0" w:color="auto"/>
        <w:left w:val="none" w:sz="0" w:space="0" w:color="auto"/>
        <w:bottom w:val="none" w:sz="0" w:space="0" w:color="auto"/>
        <w:right w:val="none" w:sz="0" w:space="0" w:color="auto"/>
      </w:divBdr>
      <w:divsChild>
        <w:div w:id="1836147470">
          <w:marLeft w:val="0"/>
          <w:marRight w:val="0"/>
          <w:marTop w:val="0"/>
          <w:marBottom w:val="0"/>
          <w:divBdr>
            <w:top w:val="none" w:sz="0" w:space="0" w:color="auto"/>
            <w:left w:val="none" w:sz="0" w:space="0" w:color="auto"/>
            <w:bottom w:val="none" w:sz="0" w:space="0" w:color="auto"/>
            <w:right w:val="none" w:sz="0" w:space="0" w:color="auto"/>
          </w:divBdr>
        </w:div>
        <w:div w:id="1008672432">
          <w:marLeft w:val="0"/>
          <w:marRight w:val="0"/>
          <w:marTop w:val="0"/>
          <w:marBottom w:val="0"/>
          <w:divBdr>
            <w:top w:val="none" w:sz="0" w:space="0" w:color="auto"/>
            <w:left w:val="none" w:sz="0" w:space="0" w:color="auto"/>
            <w:bottom w:val="none" w:sz="0" w:space="0" w:color="auto"/>
            <w:right w:val="none" w:sz="0" w:space="0" w:color="auto"/>
          </w:divBdr>
        </w:div>
        <w:div w:id="1407415880">
          <w:marLeft w:val="0"/>
          <w:marRight w:val="0"/>
          <w:marTop w:val="0"/>
          <w:marBottom w:val="0"/>
          <w:divBdr>
            <w:top w:val="none" w:sz="0" w:space="0" w:color="auto"/>
            <w:left w:val="none" w:sz="0" w:space="0" w:color="auto"/>
            <w:bottom w:val="none" w:sz="0" w:space="0" w:color="auto"/>
            <w:right w:val="none" w:sz="0" w:space="0" w:color="auto"/>
          </w:divBdr>
        </w:div>
        <w:div w:id="1579359914">
          <w:marLeft w:val="0"/>
          <w:marRight w:val="0"/>
          <w:marTop w:val="0"/>
          <w:marBottom w:val="0"/>
          <w:divBdr>
            <w:top w:val="none" w:sz="0" w:space="0" w:color="auto"/>
            <w:left w:val="none" w:sz="0" w:space="0" w:color="auto"/>
            <w:bottom w:val="none" w:sz="0" w:space="0" w:color="auto"/>
            <w:right w:val="none" w:sz="0" w:space="0" w:color="auto"/>
          </w:divBdr>
        </w:div>
      </w:divsChild>
    </w:div>
    <w:div w:id="233317273">
      <w:marLeft w:val="0"/>
      <w:marRight w:val="0"/>
      <w:marTop w:val="0"/>
      <w:marBottom w:val="240"/>
      <w:divBdr>
        <w:top w:val="none" w:sz="0" w:space="0" w:color="auto"/>
        <w:left w:val="none" w:sz="0" w:space="0" w:color="auto"/>
        <w:bottom w:val="none" w:sz="0" w:space="0" w:color="auto"/>
        <w:right w:val="none" w:sz="0" w:space="0" w:color="auto"/>
      </w:divBdr>
    </w:div>
    <w:div w:id="243421126">
      <w:marLeft w:val="0"/>
      <w:marRight w:val="0"/>
      <w:marTop w:val="0"/>
      <w:marBottom w:val="0"/>
      <w:divBdr>
        <w:top w:val="none" w:sz="0" w:space="0" w:color="auto"/>
        <w:left w:val="none" w:sz="0" w:space="0" w:color="auto"/>
        <w:bottom w:val="none" w:sz="0" w:space="0" w:color="auto"/>
        <w:right w:val="none" w:sz="0" w:space="0" w:color="auto"/>
      </w:divBdr>
      <w:divsChild>
        <w:div w:id="202518688">
          <w:marLeft w:val="0"/>
          <w:marRight w:val="0"/>
          <w:marTop w:val="0"/>
          <w:marBottom w:val="0"/>
          <w:divBdr>
            <w:top w:val="none" w:sz="0" w:space="0" w:color="auto"/>
            <w:left w:val="none" w:sz="0" w:space="0" w:color="auto"/>
            <w:bottom w:val="none" w:sz="0" w:space="0" w:color="auto"/>
            <w:right w:val="none" w:sz="0" w:space="0" w:color="auto"/>
          </w:divBdr>
        </w:div>
      </w:divsChild>
    </w:div>
    <w:div w:id="244539245">
      <w:marLeft w:val="0"/>
      <w:marRight w:val="0"/>
      <w:marTop w:val="0"/>
      <w:marBottom w:val="240"/>
      <w:divBdr>
        <w:top w:val="none" w:sz="0" w:space="0" w:color="auto"/>
        <w:left w:val="none" w:sz="0" w:space="0" w:color="auto"/>
        <w:bottom w:val="none" w:sz="0" w:space="0" w:color="auto"/>
        <w:right w:val="none" w:sz="0" w:space="0" w:color="auto"/>
      </w:divBdr>
    </w:div>
    <w:div w:id="248393900">
      <w:marLeft w:val="0"/>
      <w:marRight w:val="0"/>
      <w:marTop w:val="0"/>
      <w:marBottom w:val="240"/>
      <w:divBdr>
        <w:top w:val="none" w:sz="0" w:space="0" w:color="auto"/>
        <w:left w:val="none" w:sz="0" w:space="0" w:color="auto"/>
        <w:bottom w:val="none" w:sz="0" w:space="0" w:color="auto"/>
        <w:right w:val="none" w:sz="0" w:space="0" w:color="auto"/>
      </w:divBdr>
    </w:div>
    <w:div w:id="250310529">
      <w:marLeft w:val="0"/>
      <w:marRight w:val="0"/>
      <w:marTop w:val="240"/>
      <w:marBottom w:val="240"/>
      <w:divBdr>
        <w:top w:val="none" w:sz="0" w:space="0" w:color="auto"/>
        <w:left w:val="none" w:sz="0" w:space="0" w:color="auto"/>
        <w:bottom w:val="none" w:sz="0" w:space="0" w:color="auto"/>
        <w:right w:val="none" w:sz="0" w:space="0" w:color="auto"/>
      </w:divBdr>
    </w:div>
    <w:div w:id="250819696">
      <w:marLeft w:val="0"/>
      <w:marRight w:val="0"/>
      <w:marTop w:val="0"/>
      <w:marBottom w:val="240"/>
      <w:divBdr>
        <w:top w:val="none" w:sz="0" w:space="0" w:color="auto"/>
        <w:left w:val="none" w:sz="0" w:space="0" w:color="auto"/>
        <w:bottom w:val="none" w:sz="0" w:space="0" w:color="auto"/>
        <w:right w:val="none" w:sz="0" w:space="0" w:color="auto"/>
      </w:divBdr>
    </w:div>
    <w:div w:id="253125359">
      <w:marLeft w:val="0"/>
      <w:marRight w:val="0"/>
      <w:marTop w:val="0"/>
      <w:marBottom w:val="240"/>
      <w:divBdr>
        <w:top w:val="none" w:sz="0" w:space="0" w:color="auto"/>
        <w:left w:val="none" w:sz="0" w:space="0" w:color="auto"/>
        <w:bottom w:val="none" w:sz="0" w:space="0" w:color="auto"/>
        <w:right w:val="none" w:sz="0" w:space="0" w:color="auto"/>
      </w:divBdr>
    </w:div>
    <w:div w:id="255748362">
      <w:marLeft w:val="0"/>
      <w:marRight w:val="0"/>
      <w:marTop w:val="0"/>
      <w:marBottom w:val="240"/>
      <w:divBdr>
        <w:top w:val="none" w:sz="0" w:space="0" w:color="auto"/>
        <w:left w:val="none" w:sz="0" w:space="0" w:color="auto"/>
        <w:bottom w:val="none" w:sz="0" w:space="0" w:color="auto"/>
        <w:right w:val="none" w:sz="0" w:space="0" w:color="auto"/>
      </w:divBdr>
    </w:div>
    <w:div w:id="259222348">
      <w:marLeft w:val="0"/>
      <w:marRight w:val="0"/>
      <w:marTop w:val="0"/>
      <w:marBottom w:val="240"/>
      <w:divBdr>
        <w:top w:val="none" w:sz="0" w:space="0" w:color="auto"/>
        <w:left w:val="none" w:sz="0" w:space="0" w:color="auto"/>
        <w:bottom w:val="none" w:sz="0" w:space="0" w:color="auto"/>
        <w:right w:val="none" w:sz="0" w:space="0" w:color="auto"/>
      </w:divBdr>
    </w:div>
    <w:div w:id="264313566">
      <w:marLeft w:val="0"/>
      <w:marRight w:val="0"/>
      <w:marTop w:val="0"/>
      <w:marBottom w:val="60"/>
      <w:divBdr>
        <w:top w:val="none" w:sz="0" w:space="0" w:color="auto"/>
        <w:left w:val="none" w:sz="0" w:space="0" w:color="auto"/>
        <w:bottom w:val="none" w:sz="0" w:space="0" w:color="auto"/>
        <w:right w:val="none" w:sz="0" w:space="0" w:color="auto"/>
      </w:divBdr>
    </w:div>
    <w:div w:id="265814061">
      <w:marLeft w:val="0"/>
      <w:marRight w:val="0"/>
      <w:marTop w:val="0"/>
      <w:marBottom w:val="240"/>
      <w:divBdr>
        <w:top w:val="none" w:sz="0" w:space="0" w:color="auto"/>
        <w:left w:val="none" w:sz="0" w:space="0" w:color="auto"/>
        <w:bottom w:val="none" w:sz="0" w:space="0" w:color="auto"/>
        <w:right w:val="none" w:sz="0" w:space="0" w:color="auto"/>
      </w:divBdr>
    </w:div>
    <w:div w:id="266036942">
      <w:marLeft w:val="0"/>
      <w:marRight w:val="0"/>
      <w:marTop w:val="0"/>
      <w:marBottom w:val="0"/>
      <w:divBdr>
        <w:top w:val="none" w:sz="0" w:space="0" w:color="auto"/>
        <w:left w:val="none" w:sz="0" w:space="0" w:color="auto"/>
        <w:bottom w:val="none" w:sz="0" w:space="0" w:color="auto"/>
        <w:right w:val="none" w:sz="0" w:space="0" w:color="auto"/>
      </w:divBdr>
    </w:div>
    <w:div w:id="267082736">
      <w:marLeft w:val="0"/>
      <w:marRight w:val="0"/>
      <w:marTop w:val="0"/>
      <w:marBottom w:val="240"/>
      <w:divBdr>
        <w:top w:val="none" w:sz="0" w:space="0" w:color="auto"/>
        <w:left w:val="none" w:sz="0" w:space="0" w:color="auto"/>
        <w:bottom w:val="none" w:sz="0" w:space="0" w:color="auto"/>
        <w:right w:val="none" w:sz="0" w:space="0" w:color="auto"/>
      </w:divBdr>
    </w:div>
    <w:div w:id="270404450">
      <w:marLeft w:val="0"/>
      <w:marRight w:val="0"/>
      <w:marTop w:val="0"/>
      <w:marBottom w:val="240"/>
      <w:divBdr>
        <w:top w:val="none" w:sz="0" w:space="0" w:color="auto"/>
        <w:left w:val="none" w:sz="0" w:space="0" w:color="auto"/>
        <w:bottom w:val="none" w:sz="0" w:space="0" w:color="auto"/>
        <w:right w:val="none" w:sz="0" w:space="0" w:color="auto"/>
      </w:divBdr>
    </w:div>
    <w:div w:id="275791499">
      <w:marLeft w:val="0"/>
      <w:marRight w:val="0"/>
      <w:marTop w:val="0"/>
      <w:marBottom w:val="240"/>
      <w:divBdr>
        <w:top w:val="none" w:sz="0" w:space="0" w:color="auto"/>
        <w:left w:val="none" w:sz="0" w:space="0" w:color="auto"/>
        <w:bottom w:val="none" w:sz="0" w:space="0" w:color="auto"/>
        <w:right w:val="none" w:sz="0" w:space="0" w:color="auto"/>
      </w:divBdr>
    </w:div>
    <w:div w:id="275868065">
      <w:marLeft w:val="0"/>
      <w:marRight w:val="0"/>
      <w:marTop w:val="0"/>
      <w:marBottom w:val="240"/>
      <w:divBdr>
        <w:top w:val="none" w:sz="0" w:space="0" w:color="auto"/>
        <w:left w:val="none" w:sz="0" w:space="0" w:color="auto"/>
        <w:bottom w:val="none" w:sz="0" w:space="0" w:color="auto"/>
        <w:right w:val="none" w:sz="0" w:space="0" w:color="auto"/>
      </w:divBdr>
    </w:div>
    <w:div w:id="280385998">
      <w:marLeft w:val="0"/>
      <w:marRight w:val="0"/>
      <w:marTop w:val="0"/>
      <w:marBottom w:val="60"/>
      <w:divBdr>
        <w:top w:val="none" w:sz="0" w:space="0" w:color="auto"/>
        <w:left w:val="none" w:sz="0" w:space="0" w:color="auto"/>
        <w:bottom w:val="none" w:sz="0" w:space="0" w:color="auto"/>
        <w:right w:val="none" w:sz="0" w:space="0" w:color="auto"/>
      </w:divBdr>
    </w:div>
    <w:div w:id="286745095">
      <w:marLeft w:val="0"/>
      <w:marRight w:val="0"/>
      <w:marTop w:val="0"/>
      <w:marBottom w:val="0"/>
      <w:divBdr>
        <w:top w:val="none" w:sz="0" w:space="0" w:color="auto"/>
        <w:left w:val="none" w:sz="0" w:space="0" w:color="auto"/>
        <w:bottom w:val="none" w:sz="0" w:space="0" w:color="auto"/>
        <w:right w:val="none" w:sz="0" w:space="0" w:color="auto"/>
      </w:divBdr>
      <w:divsChild>
        <w:div w:id="1145123414">
          <w:marLeft w:val="0"/>
          <w:marRight w:val="0"/>
          <w:marTop w:val="0"/>
          <w:marBottom w:val="0"/>
          <w:divBdr>
            <w:top w:val="none" w:sz="0" w:space="0" w:color="auto"/>
            <w:left w:val="none" w:sz="0" w:space="0" w:color="auto"/>
            <w:bottom w:val="none" w:sz="0" w:space="0" w:color="auto"/>
            <w:right w:val="none" w:sz="0" w:space="0" w:color="auto"/>
          </w:divBdr>
        </w:div>
      </w:divsChild>
    </w:div>
    <w:div w:id="288125645">
      <w:marLeft w:val="0"/>
      <w:marRight w:val="0"/>
      <w:marTop w:val="0"/>
      <w:marBottom w:val="240"/>
      <w:divBdr>
        <w:top w:val="none" w:sz="0" w:space="0" w:color="auto"/>
        <w:left w:val="none" w:sz="0" w:space="0" w:color="auto"/>
        <w:bottom w:val="none" w:sz="0" w:space="0" w:color="auto"/>
        <w:right w:val="none" w:sz="0" w:space="0" w:color="auto"/>
      </w:divBdr>
    </w:div>
    <w:div w:id="291057107">
      <w:marLeft w:val="0"/>
      <w:marRight w:val="0"/>
      <w:marTop w:val="0"/>
      <w:marBottom w:val="120"/>
      <w:divBdr>
        <w:top w:val="none" w:sz="0" w:space="0" w:color="auto"/>
        <w:left w:val="none" w:sz="0" w:space="0" w:color="auto"/>
        <w:bottom w:val="none" w:sz="0" w:space="0" w:color="auto"/>
        <w:right w:val="none" w:sz="0" w:space="0" w:color="auto"/>
      </w:divBdr>
    </w:div>
    <w:div w:id="294722936">
      <w:marLeft w:val="0"/>
      <w:marRight w:val="0"/>
      <w:marTop w:val="0"/>
      <w:marBottom w:val="240"/>
      <w:divBdr>
        <w:top w:val="none" w:sz="0" w:space="0" w:color="auto"/>
        <w:left w:val="none" w:sz="0" w:space="0" w:color="auto"/>
        <w:bottom w:val="none" w:sz="0" w:space="0" w:color="auto"/>
        <w:right w:val="none" w:sz="0" w:space="0" w:color="auto"/>
      </w:divBdr>
    </w:div>
    <w:div w:id="299040777">
      <w:marLeft w:val="0"/>
      <w:marRight w:val="0"/>
      <w:marTop w:val="0"/>
      <w:marBottom w:val="0"/>
      <w:divBdr>
        <w:top w:val="none" w:sz="0" w:space="0" w:color="auto"/>
        <w:left w:val="none" w:sz="0" w:space="0" w:color="auto"/>
        <w:bottom w:val="none" w:sz="0" w:space="0" w:color="auto"/>
        <w:right w:val="none" w:sz="0" w:space="0" w:color="auto"/>
      </w:divBdr>
      <w:divsChild>
        <w:div w:id="1206719293">
          <w:marLeft w:val="0"/>
          <w:marRight w:val="0"/>
          <w:marTop w:val="0"/>
          <w:marBottom w:val="0"/>
          <w:divBdr>
            <w:top w:val="none" w:sz="0" w:space="0" w:color="auto"/>
            <w:left w:val="none" w:sz="0" w:space="0" w:color="auto"/>
            <w:bottom w:val="none" w:sz="0" w:space="0" w:color="auto"/>
            <w:right w:val="none" w:sz="0" w:space="0" w:color="auto"/>
          </w:divBdr>
        </w:div>
      </w:divsChild>
    </w:div>
    <w:div w:id="299576779">
      <w:marLeft w:val="0"/>
      <w:marRight w:val="0"/>
      <w:marTop w:val="0"/>
      <w:marBottom w:val="240"/>
      <w:divBdr>
        <w:top w:val="none" w:sz="0" w:space="0" w:color="auto"/>
        <w:left w:val="none" w:sz="0" w:space="0" w:color="auto"/>
        <w:bottom w:val="none" w:sz="0" w:space="0" w:color="auto"/>
        <w:right w:val="none" w:sz="0" w:space="0" w:color="auto"/>
      </w:divBdr>
    </w:div>
    <w:div w:id="302927402">
      <w:marLeft w:val="0"/>
      <w:marRight w:val="0"/>
      <w:marTop w:val="0"/>
      <w:marBottom w:val="0"/>
      <w:divBdr>
        <w:top w:val="none" w:sz="0" w:space="0" w:color="auto"/>
        <w:left w:val="none" w:sz="0" w:space="0" w:color="auto"/>
        <w:bottom w:val="none" w:sz="0" w:space="0" w:color="auto"/>
        <w:right w:val="none" w:sz="0" w:space="0" w:color="auto"/>
      </w:divBdr>
      <w:divsChild>
        <w:div w:id="1128741128">
          <w:marLeft w:val="0"/>
          <w:marRight w:val="0"/>
          <w:marTop w:val="0"/>
          <w:marBottom w:val="0"/>
          <w:divBdr>
            <w:top w:val="none" w:sz="0" w:space="0" w:color="auto"/>
            <w:left w:val="none" w:sz="0" w:space="0" w:color="auto"/>
            <w:bottom w:val="none" w:sz="0" w:space="0" w:color="auto"/>
            <w:right w:val="none" w:sz="0" w:space="0" w:color="auto"/>
          </w:divBdr>
        </w:div>
      </w:divsChild>
    </w:div>
    <w:div w:id="303004497">
      <w:marLeft w:val="0"/>
      <w:marRight w:val="0"/>
      <w:marTop w:val="0"/>
      <w:marBottom w:val="0"/>
      <w:divBdr>
        <w:top w:val="none" w:sz="0" w:space="0" w:color="auto"/>
        <w:left w:val="none" w:sz="0" w:space="0" w:color="auto"/>
        <w:bottom w:val="none" w:sz="0" w:space="0" w:color="auto"/>
        <w:right w:val="none" w:sz="0" w:space="0" w:color="auto"/>
      </w:divBdr>
      <w:divsChild>
        <w:div w:id="2023126965">
          <w:marLeft w:val="0"/>
          <w:marRight w:val="0"/>
          <w:marTop w:val="0"/>
          <w:marBottom w:val="0"/>
          <w:divBdr>
            <w:top w:val="none" w:sz="0" w:space="0" w:color="auto"/>
            <w:left w:val="none" w:sz="0" w:space="0" w:color="auto"/>
            <w:bottom w:val="none" w:sz="0" w:space="0" w:color="auto"/>
            <w:right w:val="none" w:sz="0" w:space="0" w:color="auto"/>
          </w:divBdr>
        </w:div>
      </w:divsChild>
    </w:div>
    <w:div w:id="305017713">
      <w:marLeft w:val="0"/>
      <w:marRight w:val="0"/>
      <w:marTop w:val="0"/>
      <w:marBottom w:val="240"/>
      <w:divBdr>
        <w:top w:val="none" w:sz="0" w:space="0" w:color="auto"/>
        <w:left w:val="none" w:sz="0" w:space="0" w:color="auto"/>
        <w:bottom w:val="none" w:sz="0" w:space="0" w:color="auto"/>
        <w:right w:val="none" w:sz="0" w:space="0" w:color="auto"/>
      </w:divBdr>
    </w:div>
    <w:div w:id="313724440">
      <w:marLeft w:val="0"/>
      <w:marRight w:val="0"/>
      <w:marTop w:val="0"/>
      <w:marBottom w:val="200"/>
      <w:divBdr>
        <w:top w:val="none" w:sz="0" w:space="0" w:color="auto"/>
        <w:left w:val="none" w:sz="0" w:space="0" w:color="auto"/>
        <w:bottom w:val="none" w:sz="0" w:space="0" w:color="auto"/>
        <w:right w:val="none" w:sz="0" w:space="0" w:color="auto"/>
      </w:divBdr>
    </w:div>
    <w:div w:id="315498208">
      <w:marLeft w:val="0"/>
      <w:marRight w:val="0"/>
      <w:marTop w:val="0"/>
      <w:marBottom w:val="120"/>
      <w:divBdr>
        <w:top w:val="none" w:sz="0" w:space="0" w:color="auto"/>
        <w:left w:val="none" w:sz="0" w:space="0" w:color="auto"/>
        <w:bottom w:val="none" w:sz="0" w:space="0" w:color="auto"/>
        <w:right w:val="none" w:sz="0" w:space="0" w:color="auto"/>
      </w:divBdr>
    </w:div>
    <w:div w:id="316617665">
      <w:marLeft w:val="0"/>
      <w:marRight w:val="0"/>
      <w:marTop w:val="0"/>
      <w:marBottom w:val="240"/>
      <w:divBdr>
        <w:top w:val="none" w:sz="0" w:space="0" w:color="auto"/>
        <w:left w:val="none" w:sz="0" w:space="0" w:color="auto"/>
        <w:bottom w:val="none" w:sz="0" w:space="0" w:color="auto"/>
        <w:right w:val="none" w:sz="0" w:space="0" w:color="auto"/>
      </w:divBdr>
    </w:div>
    <w:div w:id="319117431">
      <w:marLeft w:val="0"/>
      <w:marRight w:val="0"/>
      <w:marTop w:val="0"/>
      <w:marBottom w:val="60"/>
      <w:divBdr>
        <w:top w:val="none" w:sz="0" w:space="0" w:color="auto"/>
        <w:left w:val="none" w:sz="0" w:space="0" w:color="auto"/>
        <w:bottom w:val="none" w:sz="0" w:space="0" w:color="auto"/>
        <w:right w:val="none" w:sz="0" w:space="0" w:color="auto"/>
      </w:divBdr>
    </w:div>
    <w:div w:id="321154372">
      <w:marLeft w:val="0"/>
      <w:marRight w:val="0"/>
      <w:marTop w:val="0"/>
      <w:marBottom w:val="0"/>
      <w:divBdr>
        <w:top w:val="none" w:sz="0" w:space="0" w:color="auto"/>
        <w:left w:val="none" w:sz="0" w:space="0" w:color="auto"/>
        <w:bottom w:val="none" w:sz="0" w:space="0" w:color="auto"/>
        <w:right w:val="none" w:sz="0" w:space="0" w:color="auto"/>
      </w:divBdr>
      <w:divsChild>
        <w:div w:id="1592854929">
          <w:marLeft w:val="0"/>
          <w:marRight w:val="0"/>
          <w:marTop w:val="0"/>
          <w:marBottom w:val="0"/>
          <w:divBdr>
            <w:top w:val="none" w:sz="0" w:space="0" w:color="auto"/>
            <w:left w:val="none" w:sz="0" w:space="0" w:color="auto"/>
            <w:bottom w:val="none" w:sz="0" w:space="0" w:color="auto"/>
            <w:right w:val="none" w:sz="0" w:space="0" w:color="auto"/>
          </w:divBdr>
        </w:div>
      </w:divsChild>
    </w:div>
    <w:div w:id="324892790">
      <w:marLeft w:val="0"/>
      <w:marRight w:val="0"/>
      <w:marTop w:val="0"/>
      <w:marBottom w:val="0"/>
      <w:divBdr>
        <w:top w:val="none" w:sz="0" w:space="0" w:color="auto"/>
        <w:left w:val="none" w:sz="0" w:space="0" w:color="auto"/>
        <w:bottom w:val="none" w:sz="0" w:space="0" w:color="auto"/>
        <w:right w:val="none" w:sz="0" w:space="0" w:color="auto"/>
      </w:divBdr>
      <w:divsChild>
        <w:div w:id="114522258">
          <w:marLeft w:val="0"/>
          <w:marRight w:val="0"/>
          <w:marTop w:val="0"/>
          <w:marBottom w:val="0"/>
          <w:divBdr>
            <w:top w:val="none" w:sz="0" w:space="0" w:color="auto"/>
            <w:left w:val="none" w:sz="0" w:space="0" w:color="auto"/>
            <w:bottom w:val="none" w:sz="0" w:space="0" w:color="auto"/>
            <w:right w:val="none" w:sz="0" w:space="0" w:color="auto"/>
          </w:divBdr>
        </w:div>
      </w:divsChild>
    </w:div>
    <w:div w:id="326060600">
      <w:marLeft w:val="0"/>
      <w:marRight w:val="0"/>
      <w:marTop w:val="0"/>
      <w:marBottom w:val="0"/>
      <w:divBdr>
        <w:top w:val="none" w:sz="0" w:space="0" w:color="auto"/>
        <w:left w:val="none" w:sz="0" w:space="0" w:color="auto"/>
        <w:bottom w:val="none" w:sz="0" w:space="0" w:color="auto"/>
        <w:right w:val="none" w:sz="0" w:space="0" w:color="auto"/>
      </w:divBdr>
      <w:divsChild>
        <w:div w:id="1639410482">
          <w:marLeft w:val="0"/>
          <w:marRight w:val="0"/>
          <w:marTop w:val="0"/>
          <w:marBottom w:val="0"/>
          <w:divBdr>
            <w:top w:val="none" w:sz="0" w:space="0" w:color="auto"/>
            <w:left w:val="none" w:sz="0" w:space="0" w:color="auto"/>
            <w:bottom w:val="none" w:sz="0" w:space="0" w:color="auto"/>
            <w:right w:val="none" w:sz="0" w:space="0" w:color="auto"/>
          </w:divBdr>
        </w:div>
      </w:divsChild>
    </w:div>
    <w:div w:id="327680816">
      <w:marLeft w:val="0"/>
      <w:marRight w:val="0"/>
      <w:marTop w:val="0"/>
      <w:marBottom w:val="200"/>
      <w:divBdr>
        <w:top w:val="none" w:sz="0" w:space="0" w:color="auto"/>
        <w:left w:val="none" w:sz="0" w:space="0" w:color="auto"/>
        <w:bottom w:val="none" w:sz="0" w:space="0" w:color="auto"/>
        <w:right w:val="none" w:sz="0" w:space="0" w:color="auto"/>
      </w:divBdr>
    </w:div>
    <w:div w:id="335154759">
      <w:marLeft w:val="0"/>
      <w:marRight w:val="0"/>
      <w:marTop w:val="240"/>
      <w:marBottom w:val="240"/>
      <w:divBdr>
        <w:top w:val="none" w:sz="0" w:space="0" w:color="auto"/>
        <w:left w:val="none" w:sz="0" w:space="0" w:color="auto"/>
        <w:bottom w:val="none" w:sz="0" w:space="0" w:color="auto"/>
        <w:right w:val="none" w:sz="0" w:space="0" w:color="auto"/>
      </w:divBdr>
    </w:div>
    <w:div w:id="337660549">
      <w:marLeft w:val="0"/>
      <w:marRight w:val="0"/>
      <w:marTop w:val="0"/>
      <w:marBottom w:val="240"/>
      <w:divBdr>
        <w:top w:val="none" w:sz="0" w:space="0" w:color="auto"/>
        <w:left w:val="none" w:sz="0" w:space="0" w:color="auto"/>
        <w:bottom w:val="none" w:sz="0" w:space="0" w:color="auto"/>
        <w:right w:val="none" w:sz="0" w:space="0" w:color="auto"/>
      </w:divBdr>
    </w:div>
    <w:div w:id="339938686">
      <w:marLeft w:val="0"/>
      <w:marRight w:val="0"/>
      <w:marTop w:val="0"/>
      <w:marBottom w:val="240"/>
      <w:divBdr>
        <w:top w:val="none" w:sz="0" w:space="0" w:color="auto"/>
        <w:left w:val="none" w:sz="0" w:space="0" w:color="auto"/>
        <w:bottom w:val="none" w:sz="0" w:space="0" w:color="auto"/>
        <w:right w:val="none" w:sz="0" w:space="0" w:color="auto"/>
      </w:divBdr>
    </w:div>
    <w:div w:id="345595759">
      <w:marLeft w:val="0"/>
      <w:marRight w:val="0"/>
      <w:marTop w:val="0"/>
      <w:marBottom w:val="240"/>
      <w:divBdr>
        <w:top w:val="none" w:sz="0" w:space="0" w:color="auto"/>
        <w:left w:val="none" w:sz="0" w:space="0" w:color="auto"/>
        <w:bottom w:val="none" w:sz="0" w:space="0" w:color="auto"/>
        <w:right w:val="none" w:sz="0" w:space="0" w:color="auto"/>
      </w:divBdr>
    </w:div>
    <w:div w:id="348143320">
      <w:marLeft w:val="0"/>
      <w:marRight w:val="0"/>
      <w:marTop w:val="0"/>
      <w:marBottom w:val="200"/>
      <w:divBdr>
        <w:top w:val="none" w:sz="0" w:space="0" w:color="auto"/>
        <w:left w:val="none" w:sz="0" w:space="0" w:color="auto"/>
        <w:bottom w:val="none" w:sz="0" w:space="0" w:color="auto"/>
        <w:right w:val="none" w:sz="0" w:space="0" w:color="auto"/>
      </w:divBdr>
    </w:div>
    <w:div w:id="348215909">
      <w:marLeft w:val="0"/>
      <w:marRight w:val="0"/>
      <w:marTop w:val="200"/>
      <w:marBottom w:val="200"/>
      <w:divBdr>
        <w:top w:val="none" w:sz="0" w:space="0" w:color="auto"/>
        <w:left w:val="none" w:sz="0" w:space="0" w:color="auto"/>
        <w:bottom w:val="none" w:sz="0" w:space="0" w:color="auto"/>
        <w:right w:val="none" w:sz="0" w:space="0" w:color="auto"/>
      </w:divBdr>
    </w:div>
    <w:div w:id="348531247">
      <w:marLeft w:val="0"/>
      <w:marRight w:val="0"/>
      <w:marTop w:val="0"/>
      <w:marBottom w:val="0"/>
      <w:divBdr>
        <w:top w:val="none" w:sz="0" w:space="0" w:color="auto"/>
        <w:left w:val="none" w:sz="0" w:space="0" w:color="auto"/>
        <w:bottom w:val="none" w:sz="0" w:space="0" w:color="auto"/>
        <w:right w:val="none" w:sz="0" w:space="0" w:color="auto"/>
      </w:divBdr>
      <w:divsChild>
        <w:div w:id="1763062214">
          <w:marLeft w:val="0"/>
          <w:marRight w:val="0"/>
          <w:marTop w:val="0"/>
          <w:marBottom w:val="0"/>
          <w:divBdr>
            <w:top w:val="none" w:sz="0" w:space="0" w:color="auto"/>
            <w:left w:val="none" w:sz="0" w:space="0" w:color="auto"/>
            <w:bottom w:val="none" w:sz="0" w:space="0" w:color="auto"/>
            <w:right w:val="none" w:sz="0" w:space="0" w:color="auto"/>
          </w:divBdr>
        </w:div>
      </w:divsChild>
    </w:div>
    <w:div w:id="350301692">
      <w:marLeft w:val="0"/>
      <w:marRight w:val="0"/>
      <w:marTop w:val="0"/>
      <w:marBottom w:val="240"/>
      <w:divBdr>
        <w:top w:val="none" w:sz="0" w:space="0" w:color="auto"/>
        <w:left w:val="none" w:sz="0" w:space="0" w:color="auto"/>
        <w:bottom w:val="none" w:sz="0" w:space="0" w:color="auto"/>
        <w:right w:val="none" w:sz="0" w:space="0" w:color="auto"/>
      </w:divBdr>
    </w:div>
    <w:div w:id="351566630">
      <w:marLeft w:val="0"/>
      <w:marRight w:val="0"/>
      <w:marTop w:val="0"/>
      <w:marBottom w:val="0"/>
      <w:divBdr>
        <w:top w:val="none" w:sz="0" w:space="0" w:color="auto"/>
        <w:left w:val="none" w:sz="0" w:space="0" w:color="auto"/>
        <w:bottom w:val="none" w:sz="0" w:space="0" w:color="auto"/>
        <w:right w:val="none" w:sz="0" w:space="0" w:color="auto"/>
      </w:divBdr>
      <w:divsChild>
        <w:div w:id="1073550912">
          <w:marLeft w:val="0"/>
          <w:marRight w:val="0"/>
          <w:marTop w:val="0"/>
          <w:marBottom w:val="0"/>
          <w:divBdr>
            <w:top w:val="none" w:sz="0" w:space="0" w:color="auto"/>
            <w:left w:val="none" w:sz="0" w:space="0" w:color="auto"/>
            <w:bottom w:val="none" w:sz="0" w:space="0" w:color="auto"/>
            <w:right w:val="none" w:sz="0" w:space="0" w:color="auto"/>
          </w:divBdr>
        </w:div>
      </w:divsChild>
    </w:div>
    <w:div w:id="354574412">
      <w:marLeft w:val="0"/>
      <w:marRight w:val="0"/>
      <w:marTop w:val="0"/>
      <w:marBottom w:val="240"/>
      <w:divBdr>
        <w:top w:val="none" w:sz="0" w:space="0" w:color="auto"/>
        <w:left w:val="none" w:sz="0" w:space="0" w:color="auto"/>
        <w:bottom w:val="none" w:sz="0" w:space="0" w:color="auto"/>
        <w:right w:val="none" w:sz="0" w:space="0" w:color="auto"/>
      </w:divBdr>
    </w:div>
    <w:div w:id="362361689">
      <w:marLeft w:val="0"/>
      <w:marRight w:val="0"/>
      <w:marTop w:val="240"/>
      <w:marBottom w:val="0"/>
      <w:divBdr>
        <w:top w:val="none" w:sz="0" w:space="0" w:color="auto"/>
        <w:left w:val="none" w:sz="0" w:space="0" w:color="auto"/>
        <w:bottom w:val="none" w:sz="0" w:space="0" w:color="auto"/>
        <w:right w:val="none" w:sz="0" w:space="0" w:color="auto"/>
      </w:divBdr>
    </w:div>
    <w:div w:id="363866653">
      <w:marLeft w:val="0"/>
      <w:marRight w:val="0"/>
      <w:marTop w:val="0"/>
      <w:marBottom w:val="0"/>
      <w:divBdr>
        <w:top w:val="none" w:sz="0" w:space="0" w:color="auto"/>
        <w:left w:val="none" w:sz="0" w:space="0" w:color="auto"/>
        <w:bottom w:val="none" w:sz="0" w:space="0" w:color="auto"/>
        <w:right w:val="none" w:sz="0" w:space="0" w:color="auto"/>
      </w:divBdr>
      <w:divsChild>
        <w:div w:id="1096902507">
          <w:marLeft w:val="0"/>
          <w:marRight w:val="0"/>
          <w:marTop w:val="0"/>
          <w:marBottom w:val="0"/>
          <w:divBdr>
            <w:top w:val="none" w:sz="0" w:space="0" w:color="auto"/>
            <w:left w:val="none" w:sz="0" w:space="0" w:color="auto"/>
            <w:bottom w:val="none" w:sz="0" w:space="0" w:color="auto"/>
            <w:right w:val="none" w:sz="0" w:space="0" w:color="auto"/>
          </w:divBdr>
          <w:divsChild>
            <w:div w:id="10008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05363">
      <w:marLeft w:val="0"/>
      <w:marRight w:val="0"/>
      <w:marTop w:val="0"/>
      <w:marBottom w:val="120"/>
      <w:divBdr>
        <w:top w:val="none" w:sz="0" w:space="0" w:color="auto"/>
        <w:left w:val="none" w:sz="0" w:space="0" w:color="auto"/>
        <w:bottom w:val="none" w:sz="0" w:space="0" w:color="auto"/>
        <w:right w:val="none" w:sz="0" w:space="0" w:color="auto"/>
      </w:divBdr>
    </w:div>
    <w:div w:id="371539282">
      <w:marLeft w:val="0"/>
      <w:marRight w:val="0"/>
      <w:marTop w:val="0"/>
      <w:marBottom w:val="240"/>
      <w:divBdr>
        <w:top w:val="none" w:sz="0" w:space="0" w:color="auto"/>
        <w:left w:val="none" w:sz="0" w:space="0" w:color="auto"/>
        <w:bottom w:val="none" w:sz="0" w:space="0" w:color="auto"/>
        <w:right w:val="none" w:sz="0" w:space="0" w:color="auto"/>
      </w:divBdr>
    </w:div>
    <w:div w:id="375666840">
      <w:marLeft w:val="0"/>
      <w:marRight w:val="0"/>
      <w:marTop w:val="0"/>
      <w:marBottom w:val="240"/>
      <w:divBdr>
        <w:top w:val="none" w:sz="0" w:space="0" w:color="auto"/>
        <w:left w:val="none" w:sz="0" w:space="0" w:color="auto"/>
        <w:bottom w:val="none" w:sz="0" w:space="0" w:color="auto"/>
        <w:right w:val="none" w:sz="0" w:space="0" w:color="auto"/>
      </w:divBdr>
    </w:div>
    <w:div w:id="376970771">
      <w:marLeft w:val="0"/>
      <w:marRight w:val="0"/>
      <w:marTop w:val="0"/>
      <w:marBottom w:val="240"/>
      <w:divBdr>
        <w:top w:val="none" w:sz="0" w:space="0" w:color="auto"/>
        <w:left w:val="none" w:sz="0" w:space="0" w:color="auto"/>
        <w:bottom w:val="none" w:sz="0" w:space="0" w:color="auto"/>
        <w:right w:val="none" w:sz="0" w:space="0" w:color="auto"/>
      </w:divBdr>
    </w:div>
    <w:div w:id="377972602">
      <w:marLeft w:val="0"/>
      <w:marRight w:val="0"/>
      <w:marTop w:val="0"/>
      <w:marBottom w:val="240"/>
      <w:divBdr>
        <w:top w:val="none" w:sz="0" w:space="0" w:color="auto"/>
        <w:left w:val="none" w:sz="0" w:space="0" w:color="auto"/>
        <w:bottom w:val="none" w:sz="0" w:space="0" w:color="auto"/>
        <w:right w:val="none" w:sz="0" w:space="0" w:color="auto"/>
      </w:divBdr>
    </w:div>
    <w:div w:id="380133229">
      <w:marLeft w:val="0"/>
      <w:marRight w:val="0"/>
      <w:marTop w:val="0"/>
      <w:marBottom w:val="240"/>
      <w:divBdr>
        <w:top w:val="none" w:sz="0" w:space="0" w:color="auto"/>
        <w:left w:val="none" w:sz="0" w:space="0" w:color="auto"/>
        <w:bottom w:val="none" w:sz="0" w:space="0" w:color="auto"/>
        <w:right w:val="none" w:sz="0" w:space="0" w:color="auto"/>
      </w:divBdr>
    </w:div>
    <w:div w:id="387413505">
      <w:marLeft w:val="0"/>
      <w:marRight w:val="0"/>
      <w:marTop w:val="0"/>
      <w:marBottom w:val="0"/>
      <w:divBdr>
        <w:top w:val="none" w:sz="0" w:space="0" w:color="auto"/>
        <w:left w:val="none" w:sz="0" w:space="0" w:color="auto"/>
        <w:bottom w:val="none" w:sz="0" w:space="0" w:color="auto"/>
        <w:right w:val="none" w:sz="0" w:space="0" w:color="auto"/>
      </w:divBdr>
    </w:div>
    <w:div w:id="387920383">
      <w:marLeft w:val="0"/>
      <w:marRight w:val="0"/>
      <w:marTop w:val="0"/>
      <w:marBottom w:val="240"/>
      <w:divBdr>
        <w:top w:val="none" w:sz="0" w:space="0" w:color="auto"/>
        <w:left w:val="none" w:sz="0" w:space="0" w:color="auto"/>
        <w:bottom w:val="none" w:sz="0" w:space="0" w:color="auto"/>
        <w:right w:val="none" w:sz="0" w:space="0" w:color="auto"/>
      </w:divBdr>
    </w:div>
    <w:div w:id="390152703">
      <w:marLeft w:val="0"/>
      <w:marRight w:val="0"/>
      <w:marTop w:val="0"/>
      <w:marBottom w:val="0"/>
      <w:divBdr>
        <w:top w:val="none" w:sz="0" w:space="0" w:color="auto"/>
        <w:left w:val="none" w:sz="0" w:space="0" w:color="auto"/>
        <w:bottom w:val="none" w:sz="0" w:space="0" w:color="auto"/>
        <w:right w:val="none" w:sz="0" w:space="0" w:color="auto"/>
      </w:divBdr>
      <w:divsChild>
        <w:div w:id="1148480510">
          <w:marLeft w:val="0"/>
          <w:marRight w:val="0"/>
          <w:marTop w:val="0"/>
          <w:marBottom w:val="0"/>
          <w:divBdr>
            <w:top w:val="none" w:sz="0" w:space="0" w:color="auto"/>
            <w:left w:val="none" w:sz="0" w:space="0" w:color="auto"/>
            <w:bottom w:val="none" w:sz="0" w:space="0" w:color="auto"/>
            <w:right w:val="none" w:sz="0" w:space="0" w:color="auto"/>
          </w:divBdr>
        </w:div>
      </w:divsChild>
    </w:div>
    <w:div w:id="398137764">
      <w:marLeft w:val="0"/>
      <w:marRight w:val="0"/>
      <w:marTop w:val="0"/>
      <w:marBottom w:val="0"/>
      <w:divBdr>
        <w:top w:val="none" w:sz="0" w:space="0" w:color="auto"/>
        <w:left w:val="none" w:sz="0" w:space="0" w:color="auto"/>
        <w:bottom w:val="none" w:sz="0" w:space="0" w:color="auto"/>
        <w:right w:val="none" w:sz="0" w:space="0" w:color="auto"/>
      </w:divBdr>
      <w:divsChild>
        <w:div w:id="1730228521">
          <w:marLeft w:val="0"/>
          <w:marRight w:val="0"/>
          <w:marTop w:val="0"/>
          <w:marBottom w:val="0"/>
          <w:divBdr>
            <w:top w:val="none" w:sz="0" w:space="0" w:color="auto"/>
            <w:left w:val="none" w:sz="0" w:space="0" w:color="auto"/>
            <w:bottom w:val="none" w:sz="0" w:space="0" w:color="auto"/>
            <w:right w:val="none" w:sz="0" w:space="0" w:color="auto"/>
          </w:divBdr>
        </w:div>
      </w:divsChild>
    </w:div>
    <w:div w:id="405538025">
      <w:marLeft w:val="0"/>
      <w:marRight w:val="0"/>
      <w:marTop w:val="0"/>
      <w:marBottom w:val="240"/>
      <w:divBdr>
        <w:top w:val="none" w:sz="0" w:space="0" w:color="auto"/>
        <w:left w:val="none" w:sz="0" w:space="0" w:color="auto"/>
        <w:bottom w:val="none" w:sz="0" w:space="0" w:color="auto"/>
        <w:right w:val="none" w:sz="0" w:space="0" w:color="auto"/>
      </w:divBdr>
    </w:div>
    <w:div w:id="409623763">
      <w:marLeft w:val="0"/>
      <w:marRight w:val="0"/>
      <w:marTop w:val="0"/>
      <w:marBottom w:val="240"/>
      <w:divBdr>
        <w:top w:val="none" w:sz="0" w:space="0" w:color="auto"/>
        <w:left w:val="none" w:sz="0" w:space="0" w:color="auto"/>
        <w:bottom w:val="none" w:sz="0" w:space="0" w:color="auto"/>
        <w:right w:val="none" w:sz="0" w:space="0" w:color="auto"/>
      </w:divBdr>
    </w:div>
    <w:div w:id="411004857">
      <w:marLeft w:val="0"/>
      <w:marRight w:val="0"/>
      <w:marTop w:val="0"/>
      <w:marBottom w:val="240"/>
      <w:divBdr>
        <w:top w:val="none" w:sz="0" w:space="0" w:color="auto"/>
        <w:left w:val="none" w:sz="0" w:space="0" w:color="auto"/>
        <w:bottom w:val="none" w:sz="0" w:space="0" w:color="auto"/>
        <w:right w:val="none" w:sz="0" w:space="0" w:color="auto"/>
      </w:divBdr>
    </w:div>
    <w:div w:id="411661862">
      <w:marLeft w:val="0"/>
      <w:marRight w:val="0"/>
      <w:marTop w:val="0"/>
      <w:marBottom w:val="0"/>
      <w:divBdr>
        <w:top w:val="none" w:sz="0" w:space="0" w:color="auto"/>
        <w:left w:val="none" w:sz="0" w:space="0" w:color="auto"/>
        <w:bottom w:val="none" w:sz="0" w:space="0" w:color="auto"/>
        <w:right w:val="none" w:sz="0" w:space="0" w:color="auto"/>
      </w:divBdr>
      <w:divsChild>
        <w:div w:id="1393963799">
          <w:marLeft w:val="0"/>
          <w:marRight w:val="0"/>
          <w:marTop w:val="0"/>
          <w:marBottom w:val="0"/>
          <w:divBdr>
            <w:top w:val="none" w:sz="0" w:space="0" w:color="auto"/>
            <w:left w:val="none" w:sz="0" w:space="0" w:color="auto"/>
            <w:bottom w:val="none" w:sz="0" w:space="0" w:color="auto"/>
            <w:right w:val="none" w:sz="0" w:space="0" w:color="auto"/>
          </w:divBdr>
        </w:div>
      </w:divsChild>
    </w:div>
    <w:div w:id="415636598">
      <w:marLeft w:val="0"/>
      <w:marRight w:val="0"/>
      <w:marTop w:val="0"/>
      <w:marBottom w:val="0"/>
      <w:divBdr>
        <w:top w:val="none" w:sz="0" w:space="0" w:color="auto"/>
        <w:left w:val="none" w:sz="0" w:space="0" w:color="auto"/>
        <w:bottom w:val="none" w:sz="0" w:space="0" w:color="auto"/>
        <w:right w:val="none" w:sz="0" w:space="0" w:color="auto"/>
      </w:divBdr>
    </w:div>
    <w:div w:id="415639940">
      <w:marLeft w:val="0"/>
      <w:marRight w:val="0"/>
      <w:marTop w:val="0"/>
      <w:marBottom w:val="0"/>
      <w:divBdr>
        <w:top w:val="none" w:sz="0" w:space="0" w:color="auto"/>
        <w:left w:val="none" w:sz="0" w:space="0" w:color="auto"/>
        <w:bottom w:val="none" w:sz="0" w:space="0" w:color="auto"/>
        <w:right w:val="none" w:sz="0" w:space="0" w:color="auto"/>
      </w:divBdr>
      <w:divsChild>
        <w:div w:id="658534181">
          <w:marLeft w:val="0"/>
          <w:marRight w:val="0"/>
          <w:marTop w:val="0"/>
          <w:marBottom w:val="0"/>
          <w:divBdr>
            <w:top w:val="none" w:sz="0" w:space="0" w:color="auto"/>
            <w:left w:val="none" w:sz="0" w:space="0" w:color="auto"/>
            <w:bottom w:val="none" w:sz="0" w:space="0" w:color="auto"/>
            <w:right w:val="none" w:sz="0" w:space="0" w:color="auto"/>
          </w:divBdr>
        </w:div>
      </w:divsChild>
    </w:div>
    <w:div w:id="416951056">
      <w:marLeft w:val="0"/>
      <w:marRight w:val="0"/>
      <w:marTop w:val="0"/>
      <w:marBottom w:val="240"/>
      <w:divBdr>
        <w:top w:val="none" w:sz="0" w:space="0" w:color="auto"/>
        <w:left w:val="none" w:sz="0" w:space="0" w:color="auto"/>
        <w:bottom w:val="none" w:sz="0" w:space="0" w:color="auto"/>
        <w:right w:val="none" w:sz="0" w:space="0" w:color="auto"/>
      </w:divBdr>
    </w:div>
    <w:div w:id="418216699">
      <w:marLeft w:val="0"/>
      <w:marRight w:val="0"/>
      <w:marTop w:val="0"/>
      <w:marBottom w:val="0"/>
      <w:divBdr>
        <w:top w:val="none" w:sz="0" w:space="0" w:color="auto"/>
        <w:left w:val="none" w:sz="0" w:space="0" w:color="auto"/>
        <w:bottom w:val="none" w:sz="0" w:space="0" w:color="auto"/>
        <w:right w:val="none" w:sz="0" w:space="0" w:color="auto"/>
      </w:divBdr>
      <w:divsChild>
        <w:div w:id="58021458">
          <w:marLeft w:val="0"/>
          <w:marRight w:val="0"/>
          <w:marTop w:val="0"/>
          <w:marBottom w:val="0"/>
          <w:divBdr>
            <w:top w:val="none" w:sz="0" w:space="0" w:color="auto"/>
            <w:left w:val="none" w:sz="0" w:space="0" w:color="auto"/>
            <w:bottom w:val="none" w:sz="0" w:space="0" w:color="auto"/>
            <w:right w:val="none" w:sz="0" w:space="0" w:color="auto"/>
          </w:divBdr>
        </w:div>
      </w:divsChild>
    </w:div>
    <w:div w:id="419061332">
      <w:marLeft w:val="0"/>
      <w:marRight w:val="0"/>
      <w:marTop w:val="0"/>
      <w:marBottom w:val="0"/>
      <w:divBdr>
        <w:top w:val="none" w:sz="0" w:space="0" w:color="auto"/>
        <w:left w:val="none" w:sz="0" w:space="0" w:color="auto"/>
        <w:bottom w:val="none" w:sz="0" w:space="0" w:color="auto"/>
        <w:right w:val="none" w:sz="0" w:space="0" w:color="auto"/>
      </w:divBdr>
      <w:divsChild>
        <w:div w:id="961224343">
          <w:marLeft w:val="0"/>
          <w:marRight w:val="0"/>
          <w:marTop w:val="0"/>
          <w:marBottom w:val="0"/>
          <w:divBdr>
            <w:top w:val="none" w:sz="0" w:space="0" w:color="auto"/>
            <w:left w:val="none" w:sz="0" w:space="0" w:color="auto"/>
            <w:bottom w:val="none" w:sz="0" w:space="0" w:color="auto"/>
            <w:right w:val="none" w:sz="0" w:space="0" w:color="auto"/>
          </w:divBdr>
        </w:div>
      </w:divsChild>
    </w:div>
    <w:div w:id="419906623">
      <w:marLeft w:val="0"/>
      <w:marRight w:val="0"/>
      <w:marTop w:val="0"/>
      <w:marBottom w:val="240"/>
      <w:divBdr>
        <w:top w:val="none" w:sz="0" w:space="0" w:color="auto"/>
        <w:left w:val="none" w:sz="0" w:space="0" w:color="auto"/>
        <w:bottom w:val="none" w:sz="0" w:space="0" w:color="auto"/>
        <w:right w:val="none" w:sz="0" w:space="0" w:color="auto"/>
      </w:divBdr>
    </w:div>
    <w:div w:id="421343664">
      <w:marLeft w:val="0"/>
      <w:marRight w:val="0"/>
      <w:marTop w:val="0"/>
      <w:marBottom w:val="80"/>
      <w:divBdr>
        <w:top w:val="none" w:sz="0" w:space="0" w:color="auto"/>
        <w:left w:val="none" w:sz="0" w:space="0" w:color="auto"/>
        <w:bottom w:val="none" w:sz="0" w:space="0" w:color="auto"/>
        <w:right w:val="none" w:sz="0" w:space="0" w:color="auto"/>
      </w:divBdr>
    </w:div>
    <w:div w:id="422991007">
      <w:marLeft w:val="0"/>
      <w:marRight w:val="0"/>
      <w:marTop w:val="0"/>
      <w:marBottom w:val="240"/>
      <w:divBdr>
        <w:top w:val="none" w:sz="0" w:space="0" w:color="auto"/>
        <w:left w:val="none" w:sz="0" w:space="0" w:color="auto"/>
        <w:bottom w:val="none" w:sz="0" w:space="0" w:color="auto"/>
        <w:right w:val="none" w:sz="0" w:space="0" w:color="auto"/>
      </w:divBdr>
    </w:div>
    <w:div w:id="425418099">
      <w:marLeft w:val="0"/>
      <w:marRight w:val="0"/>
      <w:marTop w:val="0"/>
      <w:marBottom w:val="0"/>
      <w:divBdr>
        <w:top w:val="none" w:sz="0" w:space="0" w:color="auto"/>
        <w:left w:val="none" w:sz="0" w:space="0" w:color="auto"/>
        <w:bottom w:val="none" w:sz="0" w:space="0" w:color="auto"/>
        <w:right w:val="none" w:sz="0" w:space="0" w:color="auto"/>
      </w:divBdr>
    </w:div>
    <w:div w:id="427237568">
      <w:marLeft w:val="0"/>
      <w:marRight w:val="0"/>
      <w:marTop w:val="0"/>
      <w:marBottom w:val="0"/>
      <w:divBdr>
        <w:top w:val="none" w:sz="0" w:space="0" w:color="auto"/>
        <w:left w:val="none" w:sz="0" w:space="0" w:color="auto"/>
        <w:bottom w:val="none" w:sz="0" w:space="0" w:color="auto"/>
        <w:right w:val="none" w:sz="0" w:space="0" w:color="auto"/>
      </w:divBdr>
      <w:divsChild>
        <w:div w:id="2073305785">
          <w:marLeft w:val="0"/>
          <w:marRight w:val="0"/>
          <w:marTop w:val="0"/>
          <w:marBottom w:val="0"/>
          <w:divBdr>
            <w:top w:val="none" w:sz="0" w:space="0" w:color="auto"/>
            <w:left w:val="none" w:sz="0" w:space="0" w:color="auto"/>
            <w:bottom w:val="none" w:sz="0" w:space="0" w:color="auto"/>
            <w:right w:val="none" w:sz="0" w:space="0" w:color="auto"/>
          </w:divBdr>
        </w:div>
      </w:divsChild>
    </w:div>
    <w:div w:id="430047608">
      <w:marLeft w:val="0"/>
      <w:marRight w:val="0"/>
      <w:marTop w:val="0"/>
      <w:marBottom w:val="0"/>
      <w:divBdr>
        <w:top w:val="none" w:sz="0" w:space="0" w:color="auto"/>
        <w:left w:val="none" w:sz="0" w:space="0" w:color="auto"/>
        <w:bottom w:val="none" w:sz="0" w:space="0" w:color="auto"/>
        <w:right w:val="none" w:sz="0" w:space="0" w:color="auto"/>
      </w:divBdr>
      <w:divsChild>
        <w:div w:id="1213226975">
          <w:marLeft w:val="0"/>
          <w:marRight w:val="0"/>
          <w:marTop w:val="0"/>
          <w:marBottom w:val="0"/>
          <w:divBdr>
            <w:top w:val="none" w:sz="0" w:space="0" w:color="auto"/>
            <w:left w:val="none" w:sz="0" w:space="0" w:color="auto"/>
            <w:bottom w:val="none" w:sz="0" w:space="0" w:color="auto"/>
            <w:right w:val="none" w:sz="0" w:space="0" w:color="auto"/>
          </w:divBdr>
          <w:divsChild>
            <w:div w:id="4219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59757">
      <w:marLeft w:val="0"/>
      <w:marRight w:val="0"/>
      <w:marTop w:val="0"/>
      <w:marBottom w:val="240"/>
      <w:divBdr>
        <w:top w:val="none" w:sz="0" w:space="0" w:color="auto"/>
        <w:left w:val="none" w:sz="0" w:space="0" w:color="auto"/>
        <w:bottom w:val="none" w:sz="0" w:space="0" w:color="auto"/>
        <w:right w:val="none" w:sz="0" w:space="0" w:color="auto"/>
      </w:divBdr>
    </w:div>
    <w:div w:id="446122197">
      <w:marLeft w:val="0"/>
      <w:marRight w:val="0"/>
      <w:marTop w:val="0"/>
      <w:marBottom w:val="0"/>
      <w:divBdr>
        <w:top w:val="none" w:sz="0" w:space="0" w:color="auto"/>
        <w:left w:val="none" w:sz="0" w:space="0" w:color="auto"/>
        <w:bottom w:val="none" w:sz="0" w:space="0" w:color="auto"/>
        <w:right w:val="none" w:sz="0" w:space="0" w:color="auto"/>
      </w:divBdr>
      <w:divsChild>
        <w:div w:id="1441684614">
          <w:marLeft w:val="0"/>
          <w:marRight w:val="0"/>
          <w:marTop w:val="0"/>
          <w:marBottom w:val="0"/>
          <w:divBdr>
            <w:top w:val="none" w:sz="0" w:space="0" w:color="auto"/>
            <w:left w:val="none" w:sz="0" w:space="0" w:color="auto"/>
            <w:bottom w:val="none" w:sz="0" w:space="0" w:color="auto"/>
            <w:right w:val="none" w:sz="0" w:space="0" w:color="auto"/>
          </w:divBdr>
        </w:div>
      </w:divsChild>
    </w:div>
    <w:div w:id="450364205">
      <w:marLeft w:val="0"/>
      <w:marRight w:val="0"/>
      <w:marTop w:val="0"/>
      <w:marBottom w:val="0"/>
      <w:divBdr>
        <w:top w:val="none" w:sz="0" w:space="0" w:color="auto"/>
        <w:left w:val="none" w:sz="0" w:space="0" w:color="auto"/>
        <w:bottom w:val="none" w:sz="0" w:space="0" w:color="auto"/>
        <w:right w:val="none" w:sz="0" w:space="0" w:color="auto"/>
      </w:divBdr>
    </w:div>
    <w:div w:id="453449552">
      <w:marLeft w:val="0"/>
      <w:marRight w:val="0"/>
      <w:marTop w:val="0"/>
      <w:marBottom w:val="120"/>
      <w:divBdr>
        <w:top w:val="none" w:sz="0" w:space="0" w:color="auto"/>
        <w:left w:val="none" w:sz="0" w:space="0" w:color="auto"/>
        <w:bottom w:val="none" w:sz="0" w:space="0" w:color="auto"/>
        <w:right w:val="none" w:sz="0" w:space="0" w:color="auto"/>
      </w:divBdr>
    </w:div>
    <w:div w:id="453914570">
      <w:marLeft w:val="0"/>
      <w:marRight w:val="0"/>
      <w:marTop w:val="0"/>
      <w:marBottom w:val="0"/>
      <w:divBdr>
        <w:top w:val="none" w:sz="0" w:space="0" w:color="auto"/>
        <w:left w:val="none" w:sz="0" w:space="0" w:color="auto"/>
        <w:bottom w:val="none" w:sz="0" w:space="0" w:color="auto"/>
        <w:right w:val="none" w:sz="0" w:space="0" w:color="auto"/>
      </w:divBdr>
    </w:div>
    <w:div w:id="460005463">
      <w:marLeft w:val="0"/>
      <w:marRight w:val="0"/>
      <w:marTop w:val="0"/>
      <w:marBottom w:val="0"/>
      <w:divBdr>
        <w:top w:val="none" w:sz="0" w:space="0" w:color="auto"/>
        <w:left w:val="none" w:sz="0" w:space="0" w:color="auto"/>
        <w:bottom w:val="none" w:sz="0" w:space="0" w:color="auto"/>
        <w:right w:val="none" w:sz="0" w:space="0" w:color="auto"/>
      </w:divBdr>
    </w:div>
    <w:div w:id="461386365">
      <w:marLeft w:val="0"/>
      <w:marRight w:val="0"/>
      <w:marTop w:val="0"/>
      <w:marBottom w:val="120"/>
      <w:divBdr>
        <w:top w:val="none" w:sz="0" w:space="0" w:color="auto"/>
        <w:left w:val="none" w:sz="0" w:space="0" w:color="auto"/>
        <w:bottom w:val="none" w:sz="0" w:space="0" w:color="auto"/>
        <w:right w:val="none" w:sz="0" w:space="0" w:color="auto"/>
      </w:divBdr>
    </w:div>
    <w:div w:id="466432341">
      <w:marLeft w:val="0"/>
      <w:marRight w:val="0"/>
      <w:marTop w:val="0"/>
      <w:marBottom w:val="0"/>
      <w:divBdr>
        <w:top w:val="none" w:sz="0" w:space="0" w:color="auto"/>
        <w:left w:val="none" w:sz="0" w:space="0" w:color="auto"/>
        <w:bottom w:val="none" w:sz="0" w:space="0" w:color="auto"/>
        <w:right w:val="none" w:sz="0" w:space="0" w:color="auto"/>
      </w:divBdr>
    </w:div>
    <w:div w:id="467826218">
      <w:marLeft w:val="0"/>
      <w:marRight w:val="0"/>
      <w:marTop w:val="0"/>
      <w:marBottom w:val="240"/>
      <w:divBdr>
        <w:top w:val="none" w:sz="0" w:space="0" w:color="auto"/>
        <w:left w:val="none" w:sz="0" w:space="0" w:color="auto"/>
        <w:bottom w:val="none" w:sz="0" w:space="0" w:color="auto"/>
        <w:right w:val="none" w:sz="0" w:space="0" w:color="auto"/>
      </w:divBdr>
    </w:div>
    <w:div w:id="471606071">
      <w:marLeft w:val="0"/>
      <w:marRight w:val="0"/>
      <w:marTop w:val="160"/>
      <w:marBottom w:val="60"/>
      <w:divBdr>
        <w:top w:val="none" w:sz="0" w:space="0" w:color="auto"/>
        <w:left w:val="none" w:sz="0" w:space="0" w:color="auto"/>
        <w:bottom w:val="none" w:sz="0" w:space="0" w:color="auto"/>
        <w:right w:val="none" w:sz="0" w:space="0" w:color="auto"/>
      </w:divBdr>
    </w:div>
    <w:div w:id="475074270">
      <w:marLeft w:val="0"/>
      <w:marRight w:val="0"/>
      <w:marTop w:val="0"/>
      <w:marBottom w:val="120"/>
      <w:divBdr>
        <w:top w:val="none" w:sz="0" w:space="0" w:color="auto"/>
        <w:left w:val="none" w:sz="0" w:space="0" w:color="auto"/>
        <w:bottom w:val="none" w:sz="0" w:space="0" w:color="auto"/>
        <w:right w:val="none" w:sz="0" w:space="0" w:color="auto"/>
      </w:divBdr>
    </w:div>
    <w:div w:id="481703649">
      <w:marLeft w:val="0"/>
      <w:marRight w:val="0"/>
      <w:marTop w:val="0"/>
      <w:marBottom w:val="200"/>
      <w:divBdr>
        <w:top w:val="none" w:sz="0" w:space="0" w:color="auto"/>
        <w:left w:val="none" w:sz="0" w:space="0" w:color="auto"/>
        <w:bottom w:val="none" w:sz="0" w:space="0" w:color="auto"/>
        <w:right w:val="none" w:sz="0" w:space="0" w:color="auto"/>
      </w:divBdr>
    </w:div>
    <w:div w:id="483086516">
      <w:marLeft w:val="0"/>
      <w:marRight w:val="0"/>
      <w:marTop w:val="0"/>
      <w:marBottom w:val="0"/>
      <w:divBdr>
        <w:top w:val="none" w:sz="0" w:space="0" w:color="auto"/>
        <w:left w:val="none" w:sz="0" w:space="0" w:color="auto"/>
        <w:bottom w:val="none" w:sz="0" w:space="0" w:color="auto"/>
        <w:right w:val="none" w:sz="0" w:space="0" w:color="auto"/>
      </w:divBdr>
    </w:div>
    <w:div w:id="486019255">
      <w:marLeft w:val="0"/>
      <w:marRight w:val="0"/>
      <w:marTop w:val="0"/>
      <w:marBottom w:val="0"/>
      <w:divBdr>
        <w:top w:val="none" w:sz="0" w:space="0" w:color="auto"/>
        <w:left w:val="none" w:sz="0" w:space="0" w:color="auto"/>
        <w:bottom w:val="none" w:sz="0" w:space="0" w:color="auto"/>
        <w:right w:val="none" w:sz="0" w:space="0" w:color="auto"/>
      </w:divBdr>
      <w:divsChild>
        <w:div w:id="371925165">
          <w:marLeft w:val="0"/>
          <w:marRight w:val="0"/>
          <w:marTop w:val="0"/>
          <w:marBottom w:val="0"/>
          <w:divBdr>
            <w:top w:val="none" w:sz="0" w:space="0" w:color="auto"/>
            <w:left w:val="none" w:sz="0" w:space="0" w:color="auto"/>
            <w:bottom w:val="none" w:sz="0" w:space="0" w:color="auto"/>
            <w:right w:val="none" w:sz="0" w:space="0" w:color="auto"/>
          </w:divBdr>
        </w:div>
      </w:divsChild>
    </w:div>
    <w:div w:id="487016260">
      <w:marLeft w:val="0"/>
      <w:marRight w:val="0"/>
      <w:marTop w:val="0"/>
      <w:marBottom w:val="60"/>
      <w:divBdr>
        <w:top w:val="none" w:sz="0" w:space="0" w:color="auto"/>
        <w:left w:val="none" w:sz="0" w:space="0" w:color="auto"/>
        <w:bottom w:val="none" w:sz="0" w:space="0" w:color="auto"/>
        <w:right w:val="none" w:sz="0" w:space="0" w:color="auto"/>
      </w:divBdr>
    </w:div>
    <w:div w:id="487669972">
      <w:marLeft w:val="0"/>
      <w:marRight w:val="0"/>
      <w:marTop w:val="0"/>
      <w:marBottom w:val="0"/>
      <w:divBdr>
        <w:top w:val="none" w:sz="0" w:space="0" w:color="auto"/>
        <w:left w:val="none" w:sz="0" w:space="0" w:color="auto"/>
        <w:bottom w:val="none" w:sz="0" w:space="0" w:color="auto"/>
        <w:right w:val="none" w:sz="0" w:space="0" w:color="auto"/>
      </w:divBdr>
      <w:divsChild>
        <w:div w:id="500198438">
          <w:marLeft w:val="0"/>
          <w:marRight w:val="0"/>
          <w:marTop w:val="0"/>
          <w:marBottom w:val="0"/>
          <w:divBdr>
            <w:top w:val="none" w:sz="0" w:space="0" w:color="auto"/>
            <w:left w:val="none" w:sz="0" w:space="0" w:color="auto"/>
            <w:bottom w:val="none" w:sz="0" w:space="0" w:color="auto"/>
            <w:right w:val="none" w:sz="0" w:space="0" w:color="auto"/>
          </w:divBdr>
        </w:div>
      </w:divsChild>
    </w:div>
    <w:div w:id="489754805">
      <w:marLeft w:val="0"/>
      <w:marRight w:val="0"/>
      <w:marTop w:val="240"/>
      <w:marBottom w:val="0"/>
      <w:divBdr>
        <w:top w:val="none" w:sz="0" w:space="0" w:color="auto"/>
        <w:left w:val="none" w:sz="0" w:space="0" w:color="auto"/>
        <w:bottom w:val="none" w:sz="0" w:space="0" w:color="auto"/>
        <w:right w:val="none" w:sz="0" w:space="0" w:color="auto"/>
      </w:divBdr>
    </w:div>
    <w:div w:id="490800412">
      <w:marLeft w:val="0"/>
      <w:marRight w:val="0"/>
      <w:marTop w:val="0"/>
      <w:marBottom w:val="120"/>
      <w:divBdr>
        <w:top w:val="none" w:sz="0" w:space="0" w:color="auto"/>
        <w:left w:val="none" w:sz="0" w:space="0" w:color="auto"/>
        <w:bottom w:val="none" w:sz="0" w:space="0" w:color="auto"/>
        <w:right w:val="none" w:sz="0" w:space="0" w:color="auto"/>
      </w:divBdr>
    </w:div>
    <w:div w:id="493573694">
      <w:marLeft w:val="0"/>
      <w:marRight w:val="0"/>
      <w:marTop w:val="0"/>
      <w:marBottom w:val="80"/>
      <w:divBdr>
        <w:top w:val="none" w:sz="0" w:space="0" w:color="auto"/>
        <w:left w:val="none" w:sz="0" w:space="0" w:color="auto"/>
        <w:bottom w:val="none" w:sz="0" w:space="0" w:color="auto"/>
        <w:right w:val="none" w:sz="0" w:space="0" w:color="auto"/>
      </w:divBdr>
    </w:div>
    <w:div w:id="496118276">
      <w:marLeft w:val="0"/>
      <w:marRight w:val="0"/>
      <w:marTop w:val="0"/>
      <w:marBottom w:val="0"/>
      <w:divBdr>
        <w:top w:val="none" w:sz="0" w:space="0" w:color="auto"/>
        <w:left w:val="none" w:sz="0" w:space="0" w:color="auto"/>
        <w:bottom w:val="none" w:sz="0" w:space="0" w:color="auto"/>
        <w:right w:val="none" w:sz="0" w:space="0" w:color="auto"/>
      </w:divBdr>
      <w:divsChild>
        <w:div w:id="1455253305">
          <w:marLeft w:val="0"/>
          <w:marRight w:val="0"/>
          <w:marTop w:val="0"/>
          <w:marBottom w:val="0"/>
          <w:divBdr>
            <w:top w:val="none" w:sz="0" w:space="0" w:color="auto"/>
            <w:left w:val="none" w:sz="0" w:space="0" w:color="auto"/>
            <w:bottom w:val="none" w:sz="0" w:space="0" w:color="auto"/>
            <w:right w:val="none" w:sz="0" w:space="0" w:color="auto"/>
          </w:divBdr>
        </w:div>
      </w:divsChild>
    </w:div>
    <w:div w:id="501550898">
      <w:marLeft w:val="0"/>
      <w:marRight w:val="0"/>
      <w:marTop w:val="0"/>
      <w:marBottom w:val="120"/>
      <w:divBdr>
        <w:top w:val="none" w:sz="0" w:space="0" w:color="auto"/>
        <w:left w:val="none" w:sz="0" w:space="0" w:color="auto"/>
        <w:bottom w:val="none" w:sz="0" w:space="0" w:color="auto"/>
        <w:right w:val="none" w:sz="0" w:space="0" w:color="auto"/>
      </w:divBdr>
    </w:div>
    <w:div w:id="504982458">
      <w:marLeft w:val="0"/>
      <w:marRight w:val="0"/>
      <w:marTop w:val="0"/>
      <w:marBottom w:val="0"/>
      <w:divBdr>
        <w:top w:val="none" w:sz="0" w:space="0" w:color="auto"/>
        <w:left w:val="none" w:sz="0" w:space="0" w:color="auto"/>
        <w:bottom w:val="none" w:sz="0" w:space="0" w:color="auto"/>
        <w:right w:val="none" w:sz="0" w:space="0" w:color="auto"/>
      </w:divBdr>
      <w:divsChild>
        <w:div w:id="827864405">
          <w:marLeft w:val="0"/>
          <w:marRight w:val="0"/>
          <w:marTop w:val="0"/>
          <w:marBottom w:val="0"/>
          <w:divBdr>
            <w:top w:val="none" w:sz="0" w:space="0" w:color="auto"/>
            <w:left w:val="none" w:sz="0" w:space="0" w:color="auto"/>
            <w:bottom w:val="none" w:sz="0" w:space="0" w:color="auto"/>
            <w:right w:val="none" w:sz="0" w:space="0" w:color="auto"/>
          </w:divBdr>
        </w:div>
      </w:divsChild>
    </w:div>
    <w:div w:id="508909245">
      <w:marLeft w:val="0"/>
      <w:marRight w:val="0"/>
      <w:marTop w:val="0"/>
      <w:marBottom w:val="0"/>
      <w:divBdr>
        <w:top w:val="none" w:sz="0" w:space="0" w:color="auto"/>
        <w:left w:val="none" w:sz="0" w:space="0" w:color="auto"/>
        <w:bottom w:val="none" w:sz="0" w:space="0" w:color="auto"/>
        <w:right w:val="none" w:sz="0" w:space="0" w:color="auto"/>
      </w:divBdr>
    </w:div>
    <w:div w:id="510949848">
      <w:marLeft w:val="0"/>
      <w:marRight w:val="0"/>
      <w:marTop w:val="0"/>
      <w:marBottom w:val="0"/>
      <w:divBdr>
        <w:top w:val="none" w:sz="0" w:space="0" w:color="auto"/>
        <w:left w:val="none" w:sz="0" w:space="0" w:color="auto"/>
        <w:bottom w:val="none" w:sz="0" w:space="0" w:color="auto"/>
        <w:right w:val="none" w:sz="0" w:space="0" w:color="auto"/>
      </w:divBdr>
      <w:divsChild>
        <w:div w:id="765081011">
          <w:marLeft w:val="0"/>
          <w:marRight w:val="0"/>
          <w:marTop w:val="0"/>
          <w:marBottom w:val="0"/>
          <w:divBdr>
            <w:top w:val="none" w:sz="0" w:space="0" w:color="auto"/>
            <w:left w:val="none" w:sz="0" w:space="0" w:color="auto"/>
            <w:bottom w:val="none" w:sz="0" w:space="0" w:color="auto"/>
            <w:right w:val="none" w:sz="0" w:space="0" w:color="auto"/>
          </w:divBdr>
        </w:div>
      </w:divsChild>
    </w:div>
    <w:div w:id="511144380">
      <w:marLeft w:val="0"/>
      <w:marRight w:val="0"/>
      <w:marTop w:val="0"/>
      <w:marBottom w:val="0"/>
      <w:divBdr>
        <w:top w:val="none" w:sz="0" w:space="0" w:color="auto"/>
        <w:left w:val="none" w:sz="0" w:space="0" w:color="auto"/>
        <w:bottom w:val="none" w:sz="0" w:space="0" w:color="auto"/>
        <w:right w:val="none" w:sz="0" w:space="0" w:color="auto"/>
      </w:divBdr>
      <w:divsChild>
        <w:div w:id="1241451848">
          <w:marLeft w:val="0"/>
          <w:marRight w:val="0"/>
          <w:marTop w:val="0"/>
          <w:marBottom w:val="0"/>
          <w:divBdr>
            <w:top w:val="none" w:sz="0" w:space="0" w:color="auto"/>
            <w:left w:val="none" w:sz="0" w:space="0" w:color="auto"/>
            <w:bottom w:val="none" w:sz="0" w:space="0" w:color="auto"/>
            <w:right w:val="none" w:sz="0" w:space="0" w:color="auto"/>
          </w:divBdr>
        </w:div>
      </w:divsChild>
    </w:div>
    <w:div w:id="518277841">
      <w:marLeft w:val="0"/>
      <w:marRight w:val="0"/>
      <w:marTop w:val="0"/>
      <w:marBottom w:val="60"/>
      <w:divBdr>
        <w:top w:val="none" w:sz="0" w:space="0" w:color="auto"/>
        <w:left w:val="none" w:sz="0" w:space="0" w:color="auto"/>
        <w:bottom w:val="none" w:sz="0" w:space="0" w:color="auto"/>
        <w:right w:val="none" w:sz="0" w:space="0" w:color="auto"/>
      </w:divBdr>
    </w:div>
    <w:div w:id="519665027">
      <w:marLeft w:val="0"/>
      <w:marRight w:val="0"/>
      <w:marTop w:val="0"/>
      <w:marBottom w:val="60"/>
      <w:divBdr>
        <w:top w:val="none" w:sz="0" w:space="0" w:color="auto"/>
        <w:left w:val="none" w:sz="0" w:space="0" w:color="auto"/>
        <w:bottom w:val="none" w:sz="0" w:space="0" w:color="auto"/>
        <w:right w:val="none" w:sz="0" w:space="0" w:color="auto"/>
      </w:divBdr>
    </w:div>
    <w:div w:id="527329935">
      <w:marLeft w:val="0"/>
      <w:marRight w:val="0"/>
      <w:marTop w:val="0"/>
      <w:marBottom w:val="0"/>
      <w:divBdr>
        <w:top w:val="none" w:sz="0" w:space="0" w:color="auto"/>
        <w:left w:val="none" w:sz="0" w:space="0" w:color="auto"/>
        <w:bottom w:val="none" w:sz="0" w:space="0" w:color="auto"/>
        <w:right w:val="none" w:sz="0" w:space="0" w:color="auto"/>
      </w:divBdr>
      <w:divsChild>
        <w:div w:id="692655440">
          <w:marLeft w:val="0"/>
          <w:marRight w:val="0"/>
          <w:marTop w:val="0"/>
          <w:marBottom w:val="0"/>
          <w:divBdr>
            <w:top w:val="none" w:sz="0" w:space="0" w:color="auto"/>
            <w:left w:val="none" w:sz="0" w:space="0" w:color="auto"/>
            <w:bottom w:val="none" w:sz="0" w:space="0" w:color="auto"/>
            <w:right w:val="none" w:sz="0" w:space="0" w:color="auto"/>
          </w:divBdr>
        </w:div>
      </w:divsChild>
    </w:div>
    <w:div w:id="536166178">
      <w:marLeft w:val="0"/>
      <w:marRight w:val="0"/>
      <w:marTop w:val="0"/>
      <w:marBottom w:val="0"/>
      <w:divBdr>
        <w:top w:val="none" w:sz="0" w:space="0" w:color="auto"/>
        <w:left w:val="none" w:sz="0" w:space="0" w:color="auto"/>
        <w:bottom w:val="none" w:sz="0" w:space="0" w:color="auto"/>
        <w:right w:val="none" w:sz="0" w:space="0" w:color="auto"/>
      </w:divBdr>
      <w:divsChild>
        <w:div w:id="879785493">
          <w:marLeft w:val="0"/>
          <w:marRight w:val="0"/>
          <w:marTop w:val="0"/>
          <w:marBottom w:val="0"/>
          <w:divBdr>
            <w:top w:val="none" w:sz="0" w:space="0" w:color="auto"/>
            <w:left w:val="none" w:sz="0" w:space="0" w:color="auto"/>
            <w:bottom w:val="none" w:sz="0" w:space="0" w:color="auto"/>
            <w:right w:val="none" w:sz="0" w:space="0" w:color="auto"/>
          </w:divBdr>
        </w:div>
      </w:divsChild>
    </w:div>
    <w:div w:id="537399119">
      <w:marLeft w:val="0"/>
      <w:marRight w:val="0"/>
      <w:marTop w:val="0"/>
      <w:marBottom w:val="0"/>
      <w:divBdr>
        <w:top w:val="none" w:sz="0" w:space="0" w:color="auto"/>
        <w:left w:val="none" w:sz="0" w:space="0" w:color="auto"/>
        <w:bottom w:val="none" w:sz="0" w:space="0" w:color="auto"/>
        <w:right w:val="none" w:sz="0" w:space="0" w:color="auto"/>
      </w:divBdr>
      <w:divsChild>
        <w:div w:id="838424079">
          <w:marLeft w:val="0"/>
          <w:marRight w:val="0"/>
          <w:marTop w:val="0"/>
          <w:marBottom w:val="0"/>
          <w:divBdr>
            <w:top w:val="none" w:sz="0" w:space="0" w:color="auto"/>
            <w:left w:val="none" w:sz="0" w:space="0" w:color="auto"/>
            <w:bottom w:val="none" w:sz="0" w:space="0" w:color="auto"/>
            <w:right w:val="none" w:sz="0" w:space="0" w:color="auto"/>
          </w:divBdr>
        </w:div>
      </w:divsChild>
    </w:div>
    <w:div w:id="539130414">
      <w:marLeft w:val="0"/>
      <w:marRight w:val="0"/>
      <w:marTop w:val="0"/>
      <w:marBottom w:val="0"/>
      <w:divBdr>
        <w:top w:val="none" w:sz="0" w:space="0" w:color="auto"/>
        <w:left w:val="none" w:sz="0" w:space="0" w:color="auto"/>
        <w:bottom w:val="none" w:sz="0" w:space="0" w:color="auto"/>
        <w:right w:val="none" w:sz="0" w:space="0" w:color="auto"/>
      </w:divBdr>
      <w:divsChild>
        <w:div w:id="406420529">
          <w:marLeft w:val="0"/>
          <w:marRight w:val="0"/>
          <w:marTop w:val="0"/>
          <w:marBottom w:val="0"/>
          <w:divBdr>
            <w:top w:val="none" w:sz="0" w:space="0" w:color="auto"/>
            <w:left w:val="none" w:sz="0" w:space="0" w:color="auto"/>
            <w:bottom w:val="none" w:sz="0" w:space="0" w:color="auto"/>
            <w:right w:val="none" w:sz="0" w:space="0" w:color="auto"/>
          </w:divBdr>
        </w:div>
      </w:divsChild>
    </w:div>
    <w:div w:id="542012915">
      <w:marLeft w:val="0"/>
      <w:marRight w:val="0"/>
      <w:marTop w:val="0"/>
      <w:marBottom w:val="240"/>
      <w:divBdr>
        <w:top w:val="none" w:sz="0" w:space="0" w:color="auto"/>
        <w:left w:val="none" w:sz="0" w:space="0" w:color="auto"/>
        <w:bottom w:val="none" w:sz="0" w:space="0" w:color="auto"/>
        <w:right w:val="none" w:sz="0" w:space="0" w:color="auto"/>
      </w:divBdr>
    </w:div>
    <w:div w:id="543181107">
      <w:marLeft w:val="0"/>
      <w:marRight w:val="0"/>
      <w:marTop w:val="0"/>
      <w:marBottom w:val="60"/>
      <w:divBdr>
        <w:top w:val="none" w:sz="0" w:space="0" w:color="auto"/>
        <w:left w:val="none" w:sz="0" w:space="0" w:color="auto"/>
        <w:bottom w:val="none" w:sz="0" w:space="0" w:color="auto"/>
        <w:right w:val="none" w:sz="0" w:space="0" w:color="auto"/>
      </w:divBdr>
    </w:div>
    <w:div w:id="545410601">
      <w:marLeft w:val="0"/>
      <w:marRight w:val="0"/>
      <w:marTop w:val="0"/>
      <w:marBottom w:val="240"/>
      <w:divBdr>
        <w:top w:val="none" w:sz="0" w:space="0" w:color="auto"/>
        <w:left w:val="none" w:sz="0" w:space="0" w:color="auto"/>
        <w:bottom w:val="none" w:sz="0" w:space="0" w:color="auto"/>
        <w:right w:val="none" w:sz="0" w:space="0" w:color="auto"/>
      </w:divBdr>
    </w:div>
    <w:div w:id="547568361">
      <w:marLeft w:val="0"/>
      <w:marRight w:val="0"/>
      <w:marTop w:val="0"/>
      <w:marBottom w:val="0"/>
      <w:divBdr>
        <w:top w:val="none" w:sz="0" w:space="0" w:color="auto"/>
        <w:left w:val="none" w:sz="0" w:space="0" w:color="auto"/>
        <w:bottom w:val="none" w:sz="0" w:space="0" w:color="auto"/>
        <w:right w:val="none" w:sz="0" w:space="0" w:color="auto"/>
      </w:divBdr>
      <w:divsChild>
        <w:div w:id="1081676695">
          <w:marLeft w:val="0"/>
          <w:marRight w:val="0"/>
          <w:marTop w:val="0"/>
          <w:marBottom w:val="0"/>
          <w:divBdr>
            <w:top w:val="none" w:sz="0" w:space="0" w:color="auto"/>
            <w:left w:val="none" w:sz="0" w:space="0" w:color="auto"/>
            <w:bottom w:val="none" w:sz="0" w:space="0" w:color="auto"/>
            <w:right w:val="none" w:sz="0" w:space="0" w:color="auto"/>
          </w:divBdr>
        </w:div>
      </w:divsChild>
    </w:div>
    <w:div w:id="549197037">
      <w:marLeft w:val="0"/>
      <w:marRight w:val="0"/>
      <w:marTop w:val="0"/>
      <w:marBottom w:val="0"/>
      <w:divBdr>
        <w:top w:val="none" w:sz="0" w:space="0" w:color="auto"/>
        <w:left w:val="none" w:sz="0" w:space="0" w:color="auto"/>
        <w:bottom w:val="none" w:sz="0" w:space="0" w:color="auto"/>
        <w:right w:val="none" w:sz="0" w:space="0" w:color="auto"/>
      </w:divBdr>
      <w:divsChild>
        <w:div w:id="1355688203">
          <w:marLeft w:val="0"/>
          <w:marRight w:val="0"/>
          <w:marTop w:val="0"/>
          <w:marBottom w:val="0"/>
          <w:divBdr>
            <w:top w:val="none" w:sz="0" w:space="0" w:color="auto"/>
            <w:left w:val="none" w:sz="0" w:space="0" w:color="auto"/>
            <w:bottom w:val="none" w:sz="0" w:space="0" w:color="auto"/>
            <w:right w:val="none" w:sz="0" w:space="0" w:color="auto"/>
          </w:divBdr>
        </w:div>
      </w:divsChild>
    </w:div>
    <w:div w:id="549269071">
      <w:marLeft w:val="0"/>
      <w:marRight w:val="0"/>
      <w:marTop w:val="0"/>
      <w:marBottom w:val="0"/>
      <w:divBdr>
        <w:top w:val="none" w:sz="0" w:space="0" w:color="auto"/>
        <w:left w:val="none" w:sz="0" w:space="0" w:color="auto"/>
        <w:bottom w:val="none" w:sz="0" w:space="0" w:color="auto"/>
        <w:right w:val="none" w:sz="0" w:space="0" w:color="auto"/>
      </w:divBdr>
      <w:divsChild>
        <w:div w:id="976254261">
          <w:marLeft w:val="0"/>
          <w:marRight w:val="0"/>
          <w:marTop w:val="0"/>
          <w:marBottom w:val="0"/>
          <w:divBdr>
            <w:top w:val="none" w:sz="0" w:space="0" w:color="auto"/>
            <w:left w:val="none" w:sz="0" w:space="0" w:color="auto"/>
            <w:bottom w:val="none" w:sz="0" w:space="0" w:color="auto"/>
            <w:right w:val="none" w:sz="0" w:space="0" w:color="auto"/>
          </w:divBdr>
          <w:divsChild>
            <w:div w:id="20734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1880">
      <w:marLeft w:val="0"/>
      <w:marRight w:val="0"/>
      <w:marTop w:val="0"/>
      <w:marBottom w:val="200"/>
      <w:divBdr>
        <w:top w:val="none" w:sz="0" w:space="0" w:color="auto"/>
        <w:left w:val="none" w:sz="0" w:space="0" w:color="auto"/>
        <w:bottom w:val="none" w:sz="0" w:space="0" w:color="auto"/>
        <w:right w:val="none" w:sz="0" w:space="0" w:color="auto"/>
      </w:divBdr>
    </w:div>
    <w:div w:id="554395327">
      <w:marLeft w:val="0"/>
      <w:marRight w:val="0"/>
      <w:marTop w:val="0"/>
      <w:marBottom w:val="240"/>
      <w:divBdr>
        <w:top w:val="none" w:sz="0" w:space="0" w:color="auto"/>
        <w:left w:val="none" w:sz="0" w:space="0" w:color="auto"/>
        <w:bottom w:val="none" w:sz="0" w:space="0" w:color="auto"/>
        <w:right w:val="none" w:sz="0" w:space="0" w:color="auto"/>
      </w:divBdr>
    </w:div>
    <w:div w:id="554583342">
      <w:marLeft w:val="0"/>
      <w:marRight w:val="0"/>
      <w:marTop w:val="0"/>
      <w:marBottom w:val="0"/>
      <w:divBdr>
        <w:top w:val="none" w:sz="0" w:space="0" w:color="auto"/>
        <w:left w:val="none" w:sz="0" w:space="0" w:color="auto"/>
        <w:bottom w:val="none" w:sz="0" w:space="0" w:color="auto"/>
        <w:right w:val="none" w:sz="0" w:space="0" w:color="auto"/>
      </w:divBdr>
      <w:divsChild>
        <w:div w:id="42414334">
          <w:marLeft w:val="0"/>
          <w:marRight w:val="0"/>
          <w:marTop w:val="0"/>
          <w:marBottom w:val="0"/>
          <w:divBdr>
            <w:top w:val="none" w:sz="0" w:space="0" w:color="auto"/>
            <w:left w:val="none" w:sz="0" w:space="0" w:color="auto"/>
            <w:bottom w:val="none" w:sz="0" w:space="0" w:color="auto"/>
            <w:right w:val="none" w:sz="0" w:space="0" w:color="auto"/>
          </w:divBdr>
        </w:div>
      </w:divsChild>
    </w:div>
    <w:div w:id="555820753">
      <w:marLeft w:val="0"/>
      <w:marRight w:val="0"/>
      <w:marTop w:val="0"/>
      <w:marBottom w:val="0"/>
      <w:divBdr>
        <w:top w:val="none" w:sz="0" w:space="0" w:color="auto"/>
        <w:left w:val="none" w:sz="0" w:space="0" w:color="auto"/>
        <w:bottom w:val="none" w:sz="0" w:space="0" w:color="auto"/>
        <w:right w:val="none" w:sz="0" w:space="0" w:color="auto"/>
      </w:divBdr>
      <w:divsChild>
        <w:div w:id="175199592">
          <w:marLeft w:val="0"/>
          <w:marRight w:val="0"/>
          <w:marTop w:val="0"/>
          <w:marBottom w:val="0"/>
          <w:divBdr>
            <w:top w:val="none" w:sz="0" w:space="0" w:color="auto"/>
            <w:left w:val="none" w:sz="0" w:space="0" w:color="auto"/>
            <w:bottom w:val="none" w:sz="0" w:space="0" w:color="auto"/>
            <w:right w:val="none" w:sz="0" w:space="0" w:color="auto"/>
          </w:divBdr>
        </w:div>
      </w:divsChild>
    </w:div>
    <w:div w:id="556624933">
      <w:marLeft w:val="0"/>
      <w:marRight w:val="0"/>
      <w:marTop w:val="0"/>
      <w:marBottom w:val="240"/>
      <w:divBdr>
        <w:top w:val="none" w:sz="0" w:space="0" w:color="auto"/>
        <w:left w:val="none" w:sz="0" w:space="0" w:color="auto"/>
        <w:bottom w:val="none" w:sz="0" w:space="0" w:color="auto"/>
        <w:right w:val="none" w:sz="0" w:space="0" w:color="auto"/>
      </w:divBdr>
    </w:div>
    <w:div w:id="560408019">
      <w:marLeft w:val="0"/>
      <w:marRight w:val="0"/>
      <w:marTop w:val="0"/>
      <w:marBottom w:val="0"/>
      <w:divBdr>
        <w:top w:val="none" w:sz="0" w:space="0" w:color="auto"/>
        <w:left w:val="none" w:sz="0" w:space="0" w:color="auto"/>
        <w:bottom w:val="none" w:sz="0" w:space="0" w:color="auto"/>
        <w:right w:val="none" w:sz="0" w:space="0" w:color="auto"/>
      </w:divBdr>
      <w:divsChild>
        <w:div w:id="482696870">
          <w:marLeft w:val="0"/>
          <w:marRight w:val="0"/>
          <w:marTop w:val="0"/>
          <w:marBottom w:val="0"/>
          <w:divBdr>
            <w:top w:val="none" w:sz="0" w:space="0" w:color="auto"/>
            <w:left w:val="none" w:sz="0" w:space="0" w:color="auto"/>
            <w:bottom w:val="none" w:sz="0" w:space="0" w:color="auto"/>
            <w:right w:val="none" w:sz="0" w:space="0" w:color="auto"/>
          </w:divBdr>
        </w:div>
      </w:divsChild>
    </w:div>
    <w:div w:id="564343856">
      <w:marLeft w:val="0"/>
      <w:marRight w:val="0"/>
      <w:marTop w:val="0"/>
      <w:marBottom w:val="60"/>
      <w:divBdr>
        <w:top w:val="none" w:sz="0" w:space="0" w:color="auto"/>
        <w:left w:val="none" w:sz="0" w:space="0" w:color="auto"/>
        <w:bottom w:val="none" w:sz="0" w:space="0" w:color="auto"/>
        <w:right w:val="none" w:sz="0" w:space="0" w:color="auto"/>
      </w:divBdr>
    </w:div>
    <w:div w:id="566459224">
      <w:marLeft w:val="0"/>
      <w:marRight w:val="0"/>
      <w:marTop w:val="0"/>
      <w:marBottom w:val="240"/>
      <w:divBdr>
        <w:top w:val="none" w:sz="0" w:space="0" w:color="auto"/>
        <w:left w:val="none" w:sz="0" w:space="0" w:color="auto"/>
        <w:bottom w:val="none" w:sz="0" w:space="0" w:color="auto"/>
        <w:right w:val="none" w:sz="0" w:space="0" w:color="auto"/>
      </w:divBdr>
    </w:div>
    <w:div w:id="569343761">
      <w:marLeft w:val="0"/>
      <w:marRight w:val="0"/>
      <w:marTop w:val="0"/>
      <w:marBottom w:val="240"/>
      <w:divBdr>
        <w:top w:val="none" w:sz="0" w:space="0" w:color="auto"/>
        <w:left w:val="none" w:sz="0" w:space="0" w:color="auto"/>
        <w:bottom w:val="none" w:sz="0" w:space="0" w:color="auto"/>
        <w:right w:val="none" w:sz="0" w:space="0" w:color="auto"/>
      </w:divBdr>
    </w:div>
    <w:div w:id="580410866">
      <w:marLeft w:val="0"/>
      <w:marRight w:val="0"/>
      <w:marTop w:val="240"/>
      <w:marBottom w:val="0"/>
      <w:divBdr>
        <w:top w:val="none" w:sz="0" w:space="0" w:color="auto"/>
        <w:left w:val="none" w:sz="0" w:space="0" w:color="auto"/>
        <w:bottom w:val="none" w:sz="0" w:space="0" w:color="auto"/>
        <w:right w:val="none" w:sz="0" w:space="0" w:color="auto"/>
      </w:divBdr>
    </w:div>
    <w:div w:id="582573003">
      <w:marLeft w:val="0"/>
      <w:marRight w:val="0"/>
      <w:marTop w:val="0"/>
      <w:marBottom w:val="80"/>
      <w:divBdr>
        <w:top w:val="none" w:sz="0" w:space="0" w:color="auto"/>
        <w:left w:val="none" w:sz="0" w:space="0" w:color="auto"/>
        <w:bottom w:val="none" w:sz="0" w:space="0" w:color="auto"/>
        <w:right w:val="none" w:sz="0" w:space="0" w:color="auto"/>
      </w:divBdr>
    </w:div>
    <w:div w:id="583300755">
      <w:marLeft w:val="0"/>
      <w:marRight w:val="0"/>
      <w:marTop w:val="0"/>
      <w:marBottom w:val="120"/>
      <w:divBdr>
        <w:top w:val="none" w:sz="0" w:space="0" w:color="auto"/>
        <w:left w:val="none" w:sz="0" w:space="0" w:color="auto"/>
        <w:bottom w:val="none" w:sz="0" w:space="0" w:color="auto"/>
        <w:right w:val="none" w:sz="0" w:space="0" w:color="auto"/>
      </w:divBdr>
    </w:div>
    <w:div w:id="583683235">
      <w:marLeft w:val="0"/>
      <w:marRight w:val="0"/>
      <w:marTop w:val="0"/>
      <w:marBottom w:val="240"/>
      <w:divBdr>
        <w:top w:val="none" w:sz="0" w:space="0" w:color="auto"/>
        <w:left w:val="none" w:sz="0" w:space="0" w:color="auto"/>
        <w:bottom w:val="none" w:sz="0" w:space="0" w:color="auto"/>
        <w:right w:val="none" w:sz="0" w:space="0" w:color="auto"/>
      </w:divBdr>
    </w:div>
    <w:div w:id="583761494">
      <w:marLeft w:val="0"/>
      <w:marRight w:val="0"/>
      <w:marTop w:val="0"/>
      <w:marBottom w:val="120"/>
      <w:divBdr>
        <w:top w:val="none" w:sz="0" w:space="0" w:color="auto"/>
        <w:left w:val="none" w:sz="0" w:space="0" w:color="auto"/>
        <w:bottom w:val="none" w:sz="0" w:space="0" w:color="auto"/>
        <w:right w:val="none" w:sz="0" w:space="0" w:color="auto"/>
      </w:divBdr>
      <w:divsChild>
        <w:div w:id="528446723">
          <w:marLeft w:val="0"/>
          <w:marRight w:val="0"/>
          <w:marTop w:val="0"/>
          <w:marBottom w:val="0"/>
          <w:divBdr>
            <w:top w:val="none" w:sz="0" w:space="0" w:color="auto"/>
            <w:left w:val="none" w:sz="0" w:space="0" w:color="auto"/>
            <w:bottom w:val="none" w:sz="0" w:space="0" w:color="auto"/>
            <w:right w:val="none" w:sz="0" w:space="0" w:color="auto"/>
          </w:divBdr>
        </w:div>
      </w:divsChild>
    </w:div>
    <w:div w:id="588999194">
      <w:marLeft w:val="0"/>
      <w:marRight w:val="0"/>
      <w:marTop w:val="0"/>
      <w:marBottom w:val="120"/>
      <w:divBdr>
        <w:top w:val="none" w:sz="0" w:space="0" w:color="auto"/>
        <w:left w:val="none" w:sz="0" w:space="0" w:color="auto"/>
        <w:bottom w:val="none" w:sz="0" w:space="0" w:color="auto"/>
        <w:right w:val="none" w:sz="0" w:space="0" w:color="auto"/>
      </w:divBdr>
    </w:div>
    <w:div w:id="590704716">
      <w:marLeft w:val="0"/>
      <w:marRight w:val="0"/>
      <w:marTop w:val="0"/>
      <w:marBottom w:val="60"/>
      <w:divBdr>
        <w:top w:val="none" w:sz="0" w:space="0" w:color="auto"/>
        <w:left w:val="none" w:sz="0" w:space="0" w:color="auto"/>
        <w:bottom w:val="none" w:sz="0" w:space="0" w:color="auto"/>
        <w:right w:val="none" w:sz="0" w:space="0" w:color="auto"/>
      </w:divBdr>
    </w:div>
    <w:div w:id="592974087">
      <w:marLeft w:val="0"/>
      <w:marRight w:val="0"/>
      <w:marTop w:val="0"/>
      <w:marBottom w:val="240"/>
      <w:divBdr>
        <w:top w:val="none" w:sz="0" w:space="0" w:color="auto"/>
        <w:left w:val="none" w:sz="0" w:space="0" w:color="auto"/>
        <w:bottom w:val="none" w:sz="0" w:space="0" w:color="auto"/>
        <w:right w:val="none" w:sz="0" w:space="0" w:color="auto"/>
      </w:divBdr>
    </w:div>
    <w:div w:id="595554991">
      <w:marLeft w:val="0"/>
      <w:marRight w:val="0"/>
      <w:marTop w:val="0"/>
      <w:marBottom w:val="0"/>
      <w:divBdr>
        <w:top w:val="none" w:sz="0" w:space="0" w:color="auto"/>
        <w:left w:val="none" w:sz="0" w:space="0" w:color="auto"/>
        <w:bottom w:val="none" w:sz="0" w:space="0" w:color="auto"/>
        <w:right w:val="none" w:sz="0" w:space="0" w:color="auto"/>
      </w:divBdr>
    </w:div>
    <w:div w:id="600838886">
      <w:marLeft w:val="0"/>
      <w:marRight w:val="0"/>
      <w:marTop w:val="0"/>
      <w:marBottom w:val="80"/>
      <w:divBdr>
        <w:top w:val="none" w:sz="0" w:space="0" w:color="auto"/>
        <w:left w:val="none" w:sz="0" w:space="0" w:color="auto"/>
        <w:bottom w:val="none" w:sz="0" w:space="0" w:color="auto"/>
        <w:right w:val="none" w:sz="0" w:space="0" w:color="auto"/>
      </w:divBdr>
    </w:div>
    <w:div w:id="603462153">
      <w:marLeft w:val="0"/>
      <w:marRight w:val="0"/>
      <w:marTop w:val="0"/>
      <w:marBottom w:val="240"/>
      <w:divBdr>
        <w:top w:val="none" w:sz="0" w:space="0" w:color="auto"/>
        <w:left w:val="none" w:sz="0" w:space="0" w:color="auto"/>
        <w:bottom w:val="none" w:sz="0" w:space="0" w:color="auto"/>
        <w:right w:val="none" w:sz="0" w:space="0" w:color="auto"/>
      </w:divBdr>
    </w:div>
    <w:div w:id="607204418">
      <w:marLeft w:val="0"/>
      <w:marRight w:val="0"/>
      <w:marTop w:val="240"/>
      <w:marBottom w:val="0"/>
      <w:divBdr>
        <w:top w:val="none" w:sz="0" w:space="0" w:color="auto"/>
        <w:left w:val="none" w:sz="0" w:space="0" w:color="auto"/>
        <w:bottom w:val="none" w:sz="0" w:space="0" w:color="auto"/>
        <w:right w:val="none" w:sz="0" w:space="0" w:color="auto"/>
      </w:divBdr>
    </w:div>
    <w:div w:id="607390799">
      <w:marLeft w:val="0"/>
      <w:marRight w:val="0"/>
      <w:marTop w:val="240"/>
      <w:marBottom w:val="0"/>
      <w:divBdr>
        <w:top w:val="none" w:sz="0" w:space="0" w:color="auto"/>
        <w:left w:val="none" w:sz="0" w:space="0" w:color="auto"/>
        <w:bottom w:val="none" w:sz="0" w:space="0" w:color="auto"/>
        <w:right w:val="none" w:sz="0" w:space="0" w:color="auto"/>
      </w:divBdr>
    </w:div>
    <w:div w:id="608004009">
      <w:marLeft w:val="0"/>
      <w:marRight w:val="0"/>
      <w:marTop w:val="0"/>
      <w:marBottom w:val="240"/>
      <w:divBdr>
        <w:top w:val="none" w:sz="0" w:space="0" w:color="auto"/>
        <w:left w:val="none" w:sz="0" w:space="0" w:color="auto"/>
        <w:bottom w:val="none" w:sz="0" w:space="0" w:color="auto"/>
        <w:right w:val="none" w:sz="0" w:space="0" w:color="auto"/>
      </w:divBdr>
    </w:div>
    <w:div w:id="610741716">
      <w:marLeft w:val="0"/>
      <w:marRight w:val="0"/>
      <w:marTop w:val="0"/>
      <w:marBottom w:val="0"/>
      <w:divBdr>
        <w:top w:val="none" w:sz="0" w:space="0" w:color="auto"/>
        <w:left w:val="none" w:sz="0" w:space="0" w:color="auto"/>
        <w:bottom w:val="none" w:sz="0" w:space="0" w:color="auto"/>
        <w:right w:val="none" w:sz="0" w:space="0" w:color="auto"/>
      </w:divBdr>
      <w:divsChild>
        <w:div w:id="1511799409">
          <w:marLeft w:val="0"/>
          <w:marRight w:val="0"/>
          <w:marTop w:val="0"/>
          <w:marBottom w:val="0"/>
          <w:divBdr>
            <w:top w:val="none" w:sz="0" w:space="0" w:color="auto"/>
            <w:left w:val="none" w:sz="0" w:space="0" w:color="auto"/>
            <w:bottom w:val="none" w:sz="0" w:space="0" w:color="auto"/>
            <w:right w:val="none" w:sz="0" w:space="0" w:color="auto"/>
          </w:divBdr>
        </w:div>
      </w:divsChild>
    </w:div>
    <w:div w:id="611127732">
      <w:marLeft w:val="0"/>
      <w:marRight w:val="0"/>
      <w:marTop w:val="0"/>
      <w:marBottom w:val="60"/>
      <w:divBdr>
        <w:top w:val="none" w:sz="0" w:space="0" w:color="auto"/>
        <w:left w:val="none" w:sz="0" w:space="0" w:color="auto"/>
        <w:bottom w:val="none" w:sz="0" w:space="0" w:color="auto"/>
        <w:right w:val="none" w:sz="0" w:space="0" w:color="auto"/>
      </w:divBdr>
    </w:div>
    <w:div w:id="616451437">
      <w:marLeft w:val="0"/>
      <w:marRight w:val="0"/>
      <w:marTop w:val="0"/>
      <w:marBottom w:val="240"/>
      <w:divBdr>
        <w:top w:val="none" w:sz="0" w:space="0" w:color="auto"/>
        <w:left w:val="none" w:sz="0" w:space="0" w:color="auto"/>
        <w:bottom w:val="none" w:sz="0" w:space="0" w:color="auto"/>
        <w:right w:val="none" w:sz="0" w:space="0" w:color="auto"/>
      </w:divBdr>
    </w:div>
    <w:div w:id="616570585">
      <w:marLeft w:val="0"/>
      <w:marRight w:val="0"/>
      <w:marTop w:val="0"/>
      <w:marBottom w:val="0"/>
      <w:divBdr>
        <w:top w:val="none" w:sz="0" w:space="0" w:color="auto"/>
        <w:left w:val="none" w:sz="0" w:space="0" w:color="auto"/>
        <w:bottom w:val="none" w:sz="0" w:space="0" w:color="auto"/>
        <w:right w:val="none" w:sz="0" w:space="0" w:color="auto"/>
      </w:divBdr>
      <w:divsChild>
        <w:div w:id="309798398">
          <w:marLeft w:val="0"/>
          <w:marRight w:val="0"/>
          <w:marTop w:val="0"/>
          <w:marBottom w:val="0"/>
          <w:divBdr>
            <w:top w:val="none" w:sz="0" w:space="0" w:color="auto"/>
            <w:left w:val="none" w:sz="0" w:space="0" w:color="auto"/>
            <w:bottom w:val="none" w:sz="0" w:space="0" w:color="auto"/>
            <w:right w:val="none" w:sz="0" w:space="0" w:color="auto"/>
          </w:divBdr>
        </w:div>
      </w:divsChild>
    </w:div>
    <w:div w:id="619534701">
      <w:marLeft w:val="0"/>
      <w:marRight w:val="0"/>
      <w:marTop w:val="0"/>
      <w:marBottom w:val="240"/>
      <w:divBdr>
        <w:top w:val="none" w:sz="0" w:space="0" w:color="auto"/>
        <w:left w:val="none" w:sz="0" w:space="0" w:color="auto"/>
        <w:bottom w:val="none" w:sz="0" w:space="0" w:color="auto"/>
        <w:right w:val="none" w:sz="0" w:space="0" w:color="auto"/>
      </w:divBdr>
    </w:div>
    <w:div w:id="620309311">
      <w:marLeft w:val="0"/>
      <w:marRight w:val="0"/>
      <w:marTop w:val="0"/>
      <w:marBottom w:val="240"/>
      <w:divBdr>
        <w:top w:val="none" w:sz="0" w:space="0" w:color="auto"/>
        <w:left w:val="none" w:sz="0" w:space="0" w:color="auto"/>
        <w:bottom w:val="none" w:sz="0" w:space="0" w:color="auto"/>
        <w:right w:val="none" w:sz="0" w:space="0" w:color="auto"/>
      </w:divBdr>
    </w:div>
    <w:div w:id="624963653">
      <w:marLeft w:val="0"/>
      <w:marRight w:val="0"/>
      <w:marTop w:val="0"/>
      <w:marBottom w:val="0"/>
      <w:divBdr>
        <w:top w:val="none" w:sz="0" w:space="0" w:color="auto"/>
        <w:left w:val="none" w:sz="0" w:space="0" w:color="auto"/>
        <w:bottom w:val="none" w:sz="0" w:space="0" w:color="auto"/>
        <w:right w:val="none" w:sz="0" w:space="0" w:color="auto"/>
      </w:divBdr>
      <w:divsChild>
        <w:div w:id="166949610">
          <w:marLeft w:val="0"/>
          <w:marRight w:val="0"/>
          <w:marTop w:val="0"/>
          <w:marBottom w:val="0"/>
          <w:divBdr>
            <w:top w:val="none" w:sz="0" w:space="0" w:color="auto"/>
            <w:left w:val="none" w:sz="0" w:space="0" w:color="auto"/>
            <w:bottom w:val="none" w:sz="0" w:space="0" w:color="auto"/>
            <w:right w:val="none" w:sz="0" w:space="0" w:color="auto"/>
          </w:divBdr>
        </w:div>
      </w:divsChild>
    </w:div>
    <w:div w:id="629476355">
      <w:marLeft w:val="0"/>
      <w:marRight w:val="0"/>
      <w:marTop w:val="0"/>
      <w:marBottom w:val="0"/>
      <w:divBdr>
        <w:top w:val="none" w:sz="0" w:space="0" w:color="auto"/>
        <w:left w:val="none" w:sz="0" w:space="0" w:color="auto"/>
        <w:bottom w:val="none" w:sz="0" w:space="0" w:color="auto"/>
        <w:right w:val="none" w:sz="0" w:space="0" w:color="auto"/>
      </w:divBdr>
    </w:div>
    <w:div w:id="629670741">
      <w:marLeft w:val="0"/>
      <w:marRight w:val="0"/>
      <w:marTop w:val="0"/>
      <w:marBottom w:val="0"/>
      <w:divBdr>
        <w:top w:val="none" w:sz="0" w:space="0" w:color="auto"/>
        <w:left w:val="none" w:sz="0" w:space="0" w:color="auto"/>
        <w:bottom w:val="none" w:sz="0" w:space="0" w:color="auto"/>
        <w:right w:val="none" w:sz="0" w:space="0" w:color="auto"/>
      </w:divBdr>
      <w:divsChild>
        <w:div w:id="1827621727">
          <w:marLeft w:val="0"/>
          <w:marRight w:val="0"/>
          <w:marTop w:val="0"/>
          <w:marBottom w:val="0"/>
          <w:divBdr>
            <w:top w:val="none" w:sz="0" w:space="0" w:color="auto"/>
            <w:left w:val="none" w:sz="0" w:space="0" w:color="auto"/>
            <w:bottom w:val="none" w:sz="0" w:space="0" w:color="auto"/>
            <w:right w:val="none" w:sz="0" w:space="0" w:color="auto"/>
          </w:divBdr>
        </w:div>
      </w:divsChild>
    </w:div>
    <w:div w:id="632252187">
      <w:marLeft w:val="0"/>
      <w:marRight w:val="0"/>
      <w:marTop w:val="0"/>
      <w:marBottom w:val="240"/>
      <w:divBdr>
        <w:top w:val="none" w:sz="0" w:space="0" w:color="auto"/>
        <w:left w:val="none" w:sz="0" w:space="0" w:color="auto"/>
        <w:bottom w:val="none" w:sz="0" w:space="0" w:color="auto"/>
        <w:right w:val="none" w:sz="0" w:space="0" w:color="auto"/>
      </w:divBdr>
    </w:div>
    <w:div w:id="632563010">
      <w:marLeft w:val="0"/>
      <w:marRight w:val="0"/>
      <w:marTop w:val="0"/>
      <w:marBottom w:val="120"/>
      <w:divBdr>
        <w:top w:val="none" w:sz="0" w:space="0" w:color="auto"/>
        <w:left w:val="none" w:sz="0" w:space="0" w:color="auto"/>
        <w:bottom w:val="none" w:sz="0" w:space="0" w:color="auto"/>
        <w:right w:val="none" w:sz="0" w:space="0" w:color="auto"/>
      </w:divBdr>
    </w:div>
    <w:div w:id="637301678">
      <w:marLeft w:val="0"/>
      <w:marRight w:val="0"/>
      <w:marTop w:val="0"/>
      <w:marBottom w:val="0"/>
      <w:divBdr>
        <w:top w:val="none" w:sz="0" w:space="0" w:color="auto"/>
        <w:left w:val="none" w:sz="0" w:space="0" w:color="auto"/>
        <w:bottom w:val="none" w:sz="0" w:space="0" w:color="auto"/>
        <w:right w:val="none" w:sz="0" w:space="0" w:color="auto"/>
      </w:divBdr>
      <w:divsChild>
        <w:div w:id="1820682662">
          <w:marLeft w:val="0"/>
          <w:marRight w:val="0"/>
          <w:marTop w:val="0"/>
          <w:marBottom w:val="0"/>
          <w:divBdr>
            <w:top w:val="none" w:sz="0" w:space="0" w:color="auto"/>
            <w:left w:val="none" w:sz="0" w:space="0" w:color="auto"/>
            <w:bottom w:val="none" w:sz="0" w:space="0" w:color="auto"/>
            <w:right w:val="none" w:sz="0" w:space="0" w:color="auto"/>
          </w:divBdr>
        </w:div>
      </w:divsChild>
    </w:div>
    <w:div w:id="647444825">
      <w:marLeft w:val="0"/>
      <w:marRight w:val="0"/>
      <w:marTop w:val="0"/>
      <w:marBottom w:val="240"/>
      <w:divBdr>
        <w:top w:val="none" w:sz="0" w:space="0" w:color="auto"/>
        <w:left w:val="none" w:sz="0" w:space="0" w:color="auto"/>
        <w:bottom w:val="none" w:sz="0" w:space="0" w:color="auto"/>
        <w:right w:val="none" w:sz="0" w:space="0" w:color="auto"/>
      </w:divBdr>
    </w:div>
    <w:div w:id="649595773">
      <w:marLeft w:val="0"/>
      <w:marRight w:val="0"/>
      <w:marTop w:val="0"/>
      <w:marBottom w:val="80"/>
      <w:divBdr>
        <w:top w:val="none" w:sz="0" w:space="0" w:color="auto"/>
        <w:left w:val="none" w:sz="0" w:space="0" w:color="auto"/>
        <w:bottom w:val="none" w:sz="0" w:space="0" w:color="auto"/>
        <w:right w:val="none" w:sz="0" w:space="0" w:color="auto"/>
      </w:divBdr>
    </w:div>
    <w:div w:id="650255891">
      <w:marLeft w:val="0"/>
      <w:marRight w:val="0"/>
      <w:marTop w:val="0"/>
      <w:marBottom w:val="240"/>
      <w:divBdr>
        <w:top w:val="none" w:sz="0" w:space="0" w:color="auto"/>
        <w:left w:val="none" w:sz="0" w:space="0" w:color="auto"/>
        <w:bottom w:val="none" w:sz="0" w:space="0" w:color="auto"/>
        <w:right w:val="none" w:sz="0" w:space="0" w:color="auto"/>
      </w:divBdr>
    </w:div>
    <w:div w:id="651524870">
      <w:marLeft w:val="0"/>
      <w:marRight w:val="0"/>
      <w:marTop w:val="240"/>
      <w:marBottom w:val="0"/>
      <w:divBdr>
        <w:top w:val="none" w:sz="0" w:space="0" w:color="auto"/>
        <w:left w:val="none" w:sz="0" w:space="0" w:color="auto"/>
        <w:bottom w:val="none" w:sz="0" w:space="0" w:color="auto"/>
        <w:right w:val="none" w:sz="0" w:space="0" w:color="auto"/>
      </w:divBdr>
    </w:div>
    <w:div w:id="653339100">
      <w:marLeft w:val="0"/>
      <w:marRight w:val="0"/>
      <w:marTop w:val="0"/>
      <w:marBottom w:val="60"/>
      <w:divBdr>
        <w:top w:val="none" w:sz="0" w:space="0" w:color="auto"/>
        <w:left w:val="none" w:sz="0" w:space="0" w:color="auto"/>
        <w:bottom w:val="none" w:sz="0" w:space="0" w:color="auto"/>
        <w:right w:val="none" w:sz="0" w:space="0" w:color="auto"/>
      </w:divBdr>
    </w:div>
    <w:div w:id="656343446">
      <w:marLeft w:val="0"/>
      <w:marRight w:val="0"/>
      <w:marTop w:val="0"/>
      <w:marBottom w:val="0"/>
      <w:divBdr>
        <w:top w:val="none" w:sz="0" w:space="0" w:color="auto"/>
        <w:left w:val="none" w:sz="0" w:space="0" w:color="auto"/>
        <w:bottom w:val="none" w:sz="0" w:space="0" w:color="auto"/>
        <w:right w:val="none" w:sz="0" w:space="0" w:color="auto"/>
      </w:divBdr>
      <w:divsChild>
        <w:div w:id="785925189">
          <w:marLeft w:val="0"/>
          <w:marRight w:val="0"/>
          <w:marTop w:val="0"/>
          <w:marBottom w:val="0"/>
          <w:divBdr>
            <w:top w:val="none" w:sz="0" w:space="0" w:color="auto"/>
            <w:left w:val="none" w:sz="0" w:space="0" w:color="auto"/>
            <w:bottom w:val="none" w:sz="0" w:space="0" w:color="auto"/>
            <w:right w:val="none" w:sz="0" w:space="0" w:color="auto"/>
          </w:divBdr>
        </w:div>
      </w:divsChild>
    </w:div>
    <w:div w:id="658920884">
      <w:marLeft w:val="0"/>
      <w:marRight w:val="0"/>
      <w:marTop w:val="0"/>
      <w:marBottom w:val="240"/>
      <w:divBdr>
        <w:top w:val="none" w:sz="0" w:space="0" w:color="auto"/>
        <w:left w:val="none" w:sz="0" w:space="0" w:color="auto"/>
        <w:bottom w:val="none" w:sz="0" w:space="0" w:color="auto"/>
        <w:right w:val="none" w:sz="0" w:space="0" w:color="auto"/>
      </w:divBdr>
    </w:div>
    <w:div w:id="661158589">
      <w:marLeft w:val="0"/>
      <w:marRight w:val="0"/>
      <w:marTop w:val="0"/>
      <w:marBottom w:val="0"/>
      <w:divBdr>
        <w:top w:val="none" w:sz="0" w:space="0" w:color="auto"/>
        <w:left w:val="none" w:sz="0" w:space="0" w:color="auto"/>
        <w:bottom w:val="none" w:sz="0" w:space="0" w:color="auto"/>
        <w:right w:val="none" w:sz="0" w:space="0" w:color="auto"/>
      </w:divBdr>
      <w:divsChild>
        <w:div w:id="997423253">
          <w:marLeft w:val="0"/>
          <w:marRight w:val="0"/>
          <w:marTop w:val="0"/>
          <w:marBottom w:val="0"/>
          <w:divBdr>
            <w:top w:val="none" w:sz="0" w:space="0" w:color="auto"/>
            <w:left w:val="none" w:sz="0" w:space="0" w:color="auto"/>
            <w:bottom w:val="none" w:sz="0" w:space="0" w:color="auto"/>
            <w:right w:val="none" w:sz="0" w:space="0" w:color="auto"/>
          </w:divBdr>
        </w:div>
      </w:divsChild>
    </w:div>
    <w:div w:id="662659806">
      <w:marLeft w:val="0"/>
      <w:marRight w:val="0"/>
      <w:marTop w:val="0"/>
      <w:marBottom w:val="0"/>
      <w:divBdr>
        <w:top w:val="none" w:sz="0" w:space="0" w:color="auto"/>
        <w:left w:val="none" w:sz="0" w:space="0" w:color="auto"/>
        <w:bottom w:val="none" w:sz="0" w:space="0" w:color="auto"/>
        <w:right w:val="none" w:sz="0" w:space="0" w:color="auto"/>
      </w:divBdr>
      <w:divsChild>
        <w:div w:id="2040279805">
          <w:marLeft w:val="0"/>
          <w:marRight w:val="0"/>
          <w:marTop w:val="0"/>
          <w:marBottom w:val="0"/>
          <w:divBdr>
            <w:top w:val="none" w:sz="0" w:space="0" w:color="auto"/>
            <w:left w:val="none" w:sz="0" w:space="0" w:color="auto"/>
            <w:bottom w:val="none" w:sz="0" w:space="0" w:color="auto"/>
            <w:right w:val="none" w:sz="0" w:space="0" w:color="auto"/>
          </w:divBdr>
        </w:div>
      </w:divsChild>
    </w:div>
    <w:div w:id="663701098">
      <w:marLeft w:val="0"/>
      <w:marRight w:val="0"/>
      <w:marTop w:val="0"/>
      <w:marBottom w:val="240"/>
      <w:divBdr>
        <w:top w:val="none" w:sz="0" w:space="0" w:color="auto"/>
        <w:left w:val="none" w:sz="0" w:space="0" w:color="auto"/>
        <w:bottom w:val="none" w:sz="0" w:space="0" w:color="auto"/>
        <w:right w:val="none" w:sz="0" w:space="0" w:color="auto"/>
      </w:divBdr>
    </w:div>
    <w:div w:id="671178595">
      <w:marLeft w:val="0"/>
      <w:marRight w:val="0"/>
      <w:marTop w:val="0"/>
      <w:marBottom w:val="240"/>
      <w:divBdr>
        <w:top w:val="none" w:sz="0" w:space="0" w:color="auto"/>
        <w:left w:val="none" w:sz="0" w:space="0" w:color="auto"/>
        <w:bottom w:val="none" w:sz="0" w:space="0" w:color="auto"/>
        <w:right w:val="none" w:sz="0" w:space="0" w:color="auto"/>
      </w:divBdr>
    </w:div>
    <w:div w:id="672954833">
      <w:marLeft w:val="0"/>
      <w:marRight w:val="0"/>
      <w:marTop w:val="0"/>
      <w:marBottom w:val="240"/>
      <w:divBdr>
        <w:top w:val="none" w:sz="0" w:space="0" w:color="auto"/>
        <w:left w:val="none" w:sz="0" w:space="0" w:color="auto"/>
        <w:bottom w:val="none" w:sz="0" w:space="0" w:color="auto"/>
        <w:right w:val="none" w:sz="0" w:space="0" w:color="auto"/>
      </w:divBdr>
    </w:div>
    <w:div w:id="674117096">
      <w:marLeft w:val="0"/>
      <w:marRight w:val="0"/>
      <w:marTop w:val="0"/>
      <w:marBottom w:val="0"/>
      <w:divBdr>
        <w:top w:val="none" w:sz="0" w:space="0" w:color="auto"/>
        <w:left w:val="none" w:sz="0" w:space="0" w:color="auto"/>
        <w:bottom w:val="none" w:sz="0" w:space="0" w:color="auto"/>
        <w:right w:val="none" w:sz="0" w:space="0" w:color="auto"/>
      </w:divBdr>
    </w:div>
    <w:div w:id="676074318">
      <w:marLeft w:val="0"/>
      <w:marRight w:val="0"/>
      <w:marTop w:val="0"/>
      <w:marBottom w:val="240"/>
      <w:divBdr>
        <w:top w:val="none" w:sz="0" w:space="0" w:color="auto"/>
        <w:left w:val="none" w:sz="0" w:space="0" w:color="auto"/>
        <w:bottom w:val="none" w:sz="0" w:space="0" w:color="auto"/>
        <w:right w:val="none" w:sz="0" w:space="0" w:color="auto"/>
      </w:divBdr>
    </w:div>
    <w:div w:id="676151934">
      <w:marLeft w:val="0"/>
      <w:marRight w:val="0"/>
      <w:marTop w:val="240"/>
      <w:marBottom w:val="240"/>
      <w:divBdr>
        <w:top w:val="none" w:sz="0" w:space="0" w:color="auto"/>
        <w:left w:val="none" w:sz="0" w:space="0" w:color="auto"/>
        <w:bottom w:val="none" w:sz="0" w:space="0" w:color="auto"/>
        <w:right w:val="none" w:sz="0" w:space="0" w:color="auto"/>
      </w:divBdr>
    </w:div>
    <w:div w:id="676344206">
      <w:marLeft w:val="0"/>
      <w:marRight w:val="0"/>
      <w:marTop w:val="0"/>
      <w:marBottom w:val="0"/>
      <w:divBdr>
        <w:top w:val="none" w:sz="0" w:space="0" w:color="auto"/>
        <w:left w:val="none" w:sz="0" w:space="0" w:color="auto"/>
        <w:bottom w:val="none" w:sz="0" w:space="0" w:color="auto"/>
        <w:right w:val="none" w:sz="0" w:space="0" w:color="auto"/>
      </w:divBdr>
    </w:div>
    <w:div w:id="678196467">
      <w:marLeft w:val="0"/>
      <w:marRight w:val="0"/>
      <w:marTop w:val="260"/>
      <w:marBottom w:val="0"/>
      <w:divBdr>
        <w:top w:val="none" w:sz="0" w:space="0" w:color="auto"/>
        <w:left w:val="none" w:sz="0" w:space="0" w:color="auto"/>
        <w:bottom w:val="none" w:sz="0" w:space="0" w:color="auto"/>
        <w:right w:val="none" w:sz="0" w:space="0" w:color="auto"/>
      </w:divBdr>
    </w:div>
    <w:div w:id="679702599">
      <w:marLeft w:val="0"/>
      <w:marRight w:val="0"/>
      <w:marTop w:val="0"/>
      <w:marBottom w:val="120"/>
      <w:divBdr>
        <w:top w:val="none" w:sz="0" w:space="0" w:color="auto"/>
        <w:left w:val="none" w:sz="0" w:space="0" w:color="auto"/>
        <w:bottom w:val="none" w:sz="0" w:space="0" w:color="auto"/>
        <w:right w:val="none" w:sz="0" w:space="0" w:color="auto"/>
      </w:divBdr>
    </w:div>
    <w:div w:id="681661445">
      <w:marLeft w:val="0"/>
      <w:marRight w:val="0"/>
      <w:marTop w:val="0"/>
      <w:marBottom w:val="240"/>
      <w:divBdr>
        <w:top w:val="none" w:sz="0" w:space="0" w:color="auto"/>
        <w:left w:val="none" w:sz="0" w:space="0" w:color="auto"/>
        <w:bottom w:val="none" w:sz="0" w:space="0" w:color="auto"/>
        <w:right w:val="none" w:sz="0" w:space="0" w:color="auto"/>
      </w:divBdr>
    </w:div>
    <w:div w:id="684399548">
      <w:marLeft w:val="0"/>
      <w:marRight w:val="0"/>
      <w:marTop w:val="0"/>
      <w:marBottom w:val="0"/>
      <w:divBdr>
        <w:top w:val="none" w:sz="0" w:space="0" w:color="auto"/>
        <w:left w:val="none" w:sz="0" w:space="0" w:color="auto"/>
        <w:bottom w:val="none" w:sz="0" w:space="0" w:color="auto"/>
        <w:right w:val="none" w:sz="0" w:space="0" w:color="auto"/>
      </w:divBdr>
      <w:divsChild>
        <w:div w:id="388040936">
          <w:marLeft w:val="0"/>
          <w:marRight w:val="0"/>
          <w:marTop w:val="0"/>
          <w:marBottom w:val="0"/>
          <w:divBdr>
            <w:top w:val="none" w:sz="0" w:space="0" w:color="auto"/>
            <w:left w:val="none" w:sz="0" w:space="0" w:color="auto"/>
            <w:bottom w:val="none" w:sz="0" w:space="0" w:color="auto"/>
            <w:right w:val="none" w:sz="0" w:space="0" w:color="auto"/>
          </w:divBdr>
        </w:div>
      </w:divsChild>
    </w:div>
    <w:div w:id="687020625">
      <w:marLeft w:val="0"/>
      <w:marRight w:val="0"/>
      <w:marTop w:val="0"/>
      <w:marBottom w:val="120"/>
      <w:divBdr>
        <w:top w:val="none" w:sz="0" w:space="0" w:color="auto"/>
        <w:left w:val="none" w:sz="0" w:space="0" w:color="auto"/>
        <w:bottom w:val="none" w:sz="0" w:space="0" w:color="auto"/>
        <w:right w:val="none" w:sz="0" w:space="0" w:color="auto"/>
      </w:divBdr>
      <w:divsChild>
        <w:div w:id="1401437562">
          <w:marLeft w:val="0"/>
          <w:marRight w:val="0"/>
          <w:marTop w:val="0"/>
          <w:marBottom w:val="0"/>
          <w:divBdr>
            <w:top w:val="none" w:sz="0" w:space="0" w:color="auto"/>
            <w:left w:val="none" w:sz="0" w:space="0" w:color="auto"/>
            <w:bottom w:val="none" w:sz="0" w:space="0" w:color="auto"/>
            <w:right w:val="none" w:sz="0" w:space="0" w:color="auto"/>
          </w:divBdr>
        </w:div>
      </w:divsChild>
    </w:div>
    <w:div w:id="687029434">
      <w:marLeft w:val="0"/>
      <w:marRight w:val="0"/>
      <w:marTop w:val="0"/>
      <w:marBottom w:val="240"/>
      <w:divBdr>
        <w:top w:val="none" w:sz="0" w:space="0" w:color="auto"/>
        <w:left w:val="none" w:sz="0" w:space="0" w:color="auto"/>
        <w:bottom w:val="none" w:sz="0" w:space="0" w:color="auto"/>
        <w:right w:val="none" w:sz="0" w:space="0" w:color="auto"/>
      </w:divBdr>
    </w:div>
    <w:div w:id="687145605">
      <w:marLeft w:val="0"/>
      <w:marRight w:val="0"/>
      <w:marTop w:val="0"/>
      <w:marBottom w:val="120"/>
      <w:divBdr>
        <w:top w:val="none" w:sz="0" w:space="0" w:color="auto"/>
        <w:left w:val="none" w:sz="0" w:space="0" w:color="auto"/>
        <w:bottom w:val="none" w:sz="0" w:space="0" w:color="auto"/>
        <w:right w:val="none" w:sz="0" w:space="0" w:color="auto"/>
      </w:divBdr>
    </w:div>
    <w:div w:id="688870166">
      <w:marLeft w:val="0"/>
      <w:marRight w:val="0"/>
      <w:marTop w:val="0"/>
      <w:marBottom w:val="60"/>
      <w:divBdr>
        <w:top w:val="none" w:sz="0" w:space="0" w:color="auto"/>
        <w:left w:val="none" w:sz="0" w:space="0" w:color="auto"/>
        <w:bottom w:val="none" w:sz="0" w:space="0" w:color="auto"/>
        <w:right w:val="none" w:sz="0" w:space="0" w:color="auto"/>
      </w:divBdr>
    </w:div>
    <w:div w:id="693191429">
      <w:marLeft w:val="0"/>
      <w:marRight w:val="0"/>
      <w:marTop w:val="0"/>
      <w:marBottom w:val="240"/>
      <w:divBdr>
        <w:top w:val="none" w:sz="0" w:space="0" w:color="auto"/>
        <w:left w:val="none" w:sz="0" w:space="0" w:color="auto"/>
        <w:bottom w:val="none" w:sz="0" w:space="0" w:color="auto"/>
        <w:right w:val="none" w:sz="0" w:space="0" w:color="auto"/>
      </w:divBdr>
    </w:div>
    <w:div w:id="699548964">
      <w:marLeft w:val="0"/>
      <w:marRight w:val="0"/>
      <w:marTop w:val="0"/>
      <w:marBottom w:val="240"/>
      <w:divBdr>
        <w:top w:val="none" w:sz="0" w:space="0" w:color="auto"/>
        <w:left w:val="none" w:sz="0" w:space="0" w:color="auto"/>
        <w:bottom w:val="none" w:sz="0" w:space="0" w:color="auto"/>
        <w:right w:val="none" w:sz="0" w:space="0" w:color="auto"/>
      </w:divBdr>
    </w:div>
    <w:div w:id="702441057">
      <w:marLeft w:val="0"/>
      <w:marRight w:val="0"/>
      <w:marTop w:val="0"/>
      <w:marBottom w:val="240"/>
      <w:divBdr>
        <w:top w:val="none" w:sz="0" w:space="0" w:color="auto"/>
        <w:left w:val="none" w:sz="0" w:space="0" w:color="auto"/>
        <w:bottom w:val="none" w:sz="0" w:space="0" w:color="auto"/>
        <w:right w:val="none" w:sz="0" w:space="0" w:color="auto"/>
      </w:divBdr>
    </w:div>
    <w:div w:id="706636280">
      <w:marLeft w:val="0"/>
      <w:marRight w:val="0"/>
      <w:marTop w:val="0"/>
      <w:marBottom w:val="60"/>
      <w:divBdr>
        <w:top w:val="none" w:sz="0" w:space="0" w:color="auto"/>
        <w:left w:val="none" w:sz="0" w:space="0" w:color="auto"/>
        <w:bottom w:val="none" w:sz="0" w:space="0" w:color="auto"/>
        <w:right w:val="none" w:sz="0" w:space="0" w:color="auto"/>
      </w:divBdr>
    </w:div>
    <w:div w:id="708266109">
      <w:marLeft w:val="0"/>
      <w:marRight w:val="0"/>
      <w:marTop w:val="0"/>
      <w:marBottom w:val="120"/>
      <w:divBdr>
        <w:top w:val="none" w:sz="0" w:space="0" w:color="auto"/>
        <w:left w:val="none" w:sz="0" w:space="0" w:color="auto"/>
        <w:bottom w:val="none" w:sz="0" w:space="0" w:color="auto"/>
        <w:right w:val="none" w:sz="0" w:space="0" w:color="auto"/>
      </w:divBdr>
      <w:divsChild>
        <w:div w:id="158809755">
          <w:marLeft w:val="0"/>
          <w:marRight w:val="0"/>
          <w:marTop w:val="0"/>
          <w:marBottom w:val="0"/>
          <w:divBdr>
            <w:top w:val="none" w:sz="0" w:space="0" w:color="auto"/>
            <w:left w:val="none" w:sz="0" w:space="0" w:color="auto"/>
            <w:bottom w:val="none" w:sz="0" w:space="0" w:color="auto"/>
            <w:right w:val="none" w:sz="0" w:space="0" w:color="auto"/>
          </w:divBdr>
        </w:div>
        <w:div w:id="1395470721">
          <w:marLeft w:val="0"/>
          <w:marRight w:val="0"/>
          <w:marTop w:val="0"/>
          <w:marBottom w:val="0"/>
          <w:divBdr>
            <w:top w:val="none" w:sz="0" w:space="0" w:color="auto"/>
            <w:left w:val="none" w:sz="0" w:space="0" w:color="auto"/>
            <w:bottom w:val="none" w:sz="0" w:space="0" w:color="auto"/>
            <w:right w:val="none" w:sz="0" w:space="0" w:color="auto"/>
          </w:divBdr>
        </w:div>
        <w:div w:id="1175607032">
          <w:marLeft w:val="0"/>
          <w:marRight w:val="0"/>
          <w:marTop w:val="0"/>
          <w:marBottom w:val="0"/>
          <w:divBdr>
            <w:top w:val="none" w:sz="0" w:space="0" w:color="auto"/>
            <w:left w:val="none" w:sz="0" w:space="0" w:color="auto"/>
            <w:bottom w:val="none" w:sz="0" w:space="0" w:color="auto"/>
            <w:right w:val="none" w:sz="0" w:space="0" w:color="auto"/>
          </w:divBdr>
        </w:div>
        <w:div w:id="228462702">
          <w:marLeft w:val="0"/>
          <w:marRight w:val="0"/>
          <w:marTop w:val="0"/>
          <w:marBottom w:val="0"/>
          <w:divBdr>
            <w:top w:val="none" w:sz="0" w:space="0" w:color="auto"/>
            <w:left w:val="none" w:sz="0" w:space="0" w:color="auto"/>
            <w:bottom w:val="none" w:sz="0" w:space="0" w:color="auto"/>
            <w:right w:val="none" w:sz="0" w:space="0" w:color="auto"/>
          </w:divBdr>
        </w:div>
        <w:div w:id="1677029797">
          <w:marLeft w:val="0"/>
          <w:marRight w:val="0"/>
          <w:marTop w:val="0"/>
          <w:marBottom w:val="0"/>
          <w:divBdr>
            <w:top w:val="none" w:sz="0" w:space="0" w:color="auto"/>
            <w:left w:val="none" w:sz="0" w:space="0" w:color="auto"/>
            <w:bottom w:val="none" w:sz="0" w:space="0" w:color="auto"/>
            <w:right w:val="none" w:sz="0" w:space="0" w:color="auto"/>
          </w:divBdr>
        </w:div>
        <w:div w:id="2055814985">
          <w:marLeft w:val="0"/>
          <w:marRight w:val="0"/>
          <w:marTop w:val="0"/>
          <w:marBottom w:val="0"/>
          <w:divBdr>
            <w:top w:val="none" w:sz="0" w:space="0" w:color="auto"/>
            <w:left w:val="none" w:sz="0" w:space="0" w:color="auto"/>
            <w:bottom w:val="none" w:sz="0" w:space="0" w:color="auto"/>
            <w:right w:val="none" w:sz="0" w:space="0" w:color="auto"/>
          </w:divBdr>
        </w:div>
        <w:div w:id="1667784727">
          <w:marLeft w:val="0"/>
          <w:marRight w:val="0"/>
          <w:marTop w:val="0"/>
          <w:marBottom w:val="0"/>
          <w:divBdr>
            <w:top w:val="none" w:sz="0" w:space="0" w:color="auto"/>
            <w:left w:val="none" w:sz="0" w:space="0" w:color="auto"/>
            <w:bottom w:val="none" w:sz="0" w:space="0" w:color="auto"/>
            <w:right w:val="none" w:sz="0" w:space="0" w:color="auto"/>
          </w:divBdr>
        </w:div>
        <w:div w:id="2142066251">
          <w:marLeft w:val="0"/>
          <w:marRight w:val="0"/>
          <w:marTop w:val="0"/>
          <w:marBottom w:val="0"/>
          <w:divBdr>
            <w:top w:val="none" w:sz="0" w:space="0" w:color="auto"/>
            <w:left w:val="none" w:sz="0" w:space="0" w:color="auto"/>
            <w:bottom w:val="none" w:sz="0" w:space="0" w:color="auto"/>
            <w:right w:val="none" w:sz="0" w:space="0" w:color="auto"/>
          </w:divBdr>
        </w:div>
        <w:div w:id="651059539">
          <w:marLeft w:val="0"/>
          <w:marRight w:val="0"/>
          <w:marTop w:val="0"/>
          <w:marBottom w:val="0"/>
          <w:divBdr>
            <w:top w:val="none" w:sz="0" w:space="0" w:color="auto"/>
            <w:left w:val="none" w:sz="0" w:space="0" w:color="auto"/>
            <w:bottom w:val="none" w:sz="0" w:space="0" w:color="auto"/>
            <w:right w:val="none" w:sz="0" w:space="0" w:color="auto"/>
          </w:divBdr>
        </w:div>
        <w:div w:id="1476601487">
          <w:marLeft w:val="0"/>
          <w:marRight w:val="0"/>
          <w:marTop w:val="0"/>
          <w:marBottom w:val="0"/>
          <w:divBdr>
            <w:top w:val="none" w:sz="0" w:space="0" w:color="auto"/>
            <w:left w:val="none" w:sz="0" w:space="0" w:color="auto"/>
            <w:bottom w:val="none" w:sz="0" w:space="0" w:color="auto"/>
            <w:right w:val="none" w:sz="0" w:space="0" w:color="auto"/>
          </w:divBdr>
        </w:div>
        <w:div w:id="1331716769">
          <w:marLeft w:val="0"/>
          <w:marRight w:val="0"/>
          <w:marTop w:val="0"/>
          <w:marBottom w:val="0"/>
          <w:divBdr>
            <w:top w:val="none" w:sz="0" w:space="0" w:color="auto"/>
            <w:left w:val="none" w:sz="0" w:space="0" w:color="auto"/>
            <w:bottom w:val="none" w:sz="0" w:space="0" w:color="auto"/>
            <w:right w:val="none" w:sz="0" w:space="0" w:color="auto"/>
          </w:divBdr>
        </w:div>
        <w:div w:id="1447654731">
          <w:marLeft w:val="0"/>
          <w:marRight w:val="0"/>
          <w:marTop w:val="0"/>
          <w:marBottom w:val="0"/>
          <w:divBdr>
            <w:top w:val="none" w:sz="0" w:space="0" w:color="auto"/>
            <w:left w:val="none" w:sz="0" w:space="0" w:color="auto"/>
            <w:bottom w:val="none" w:sz="0" w:space="0" w:color="auto"/>
            <w:right w:val="none" w:sz="0" w:space="0" w:color="auto"/>
          </w:divBdr>
        </w:div>
        <w:div w:id="1646543212">
          <w:marLeft w:val="0"/>
          <w:marRight w:val="0"/>
          <w:marTop w:val="0"/>
          <w:marBottom w:val="0"/>
          <w:divBdr>
            <w:top w:val="none" w:sz="0" w:space="0" w:color="auto"/>
            <w:left w:val="none" w:sz="0" w:space="0" w:color="auto"/>
            <w:bottom w:val="none" w:sz="0" w:space="0" w:color="auto"/>
            <w:right w:val="none" w:sz="0" w:space="0" w:color="auto"/>
          </w:divBdr>
        </w:div>
        <w:div w:id="1856336167">
          <w:marLeft w:val="0"/>
          <w:marRight w:val="0"/>
          <w:marTop w:val="0"/>
          <w:marBottom w:val="0"/>
          <w:divBdr>
            <w:top w:val="none" w:sz="0" w:space="0" w:color="auto"/>
            <w:left w:val="none" w:sz="0" w:space="0" w:color="auto"/>
            <w:bottom w:val="none" w:sz="0" w:space="0" w:color="auto"/>
            <w:right w:val="none" w:sz="0" w:space="0" w:color="auto"/>
          </w:divBdr>
        </w:div>
      </w:divsChild>
    </w:div>
    <w:div w:id="708917002">
      <w:marLeft w:val="0"/>
      <w:marRight w:val="0"/>
      <w:marTop w:val="0"/>
      <w:marBottom w:val="240"/>
      <w:divBdr>
        <w:top w:val="none" w:sz="0" w:space="0" w:color="auto"/>
        <w:left w:val="none" w:sz="0" w:space="0" w:color="auto"/>
        <w:bottom w:val="none" w:sz="0" w:space="0" w:color="auto"/>
        <w:right w:val="none" w:sz="0" w:space="0" w:color="auto"/>
      </w:divBdr>
    </w:div>
    <w:div w:id="713844779">
      <w:marLeft w:val="0"/>
      <w:marRight w:val="0"/>
      <w:marTop w:val="0"/>
      <w:marBottom w:val="240"/>
      <w:divBdr>
        <w:top w:val="none" w:sz="0" w:space="0" w:color="auto"/>
        <w:left w:val="none" w:sz="0" w:space="0" w:color="auto"/>
        <w:bottom w:val="none" w:sz="0" w:space="0" w:color="auto"/>
        <w:right w:val="none" w:sz="0" w:space="0" w:color="auto"/>
      </w:divBdr>
    </w:div>
    <w:div w:id="713844887">
      <w:marLeft w:val="0"/>
      <w:marRight w:val="0"/>
      <w:marTop w:val="0"/>
      <w:marBottom w:val="0"/>
      <w:divBdr>
        <w:top w:val="none" w:sz="0" w:space="0" w:color="auto"/>
        <w:left w:val="none" w:sz="0" w:space="0" w:color="auto"/>
        <w:bottom w:val="none" w:sz="0" w:space="0" w:color="auto"/>
        <w:right w:val="none" w:sz="0" w:space="0" w:color="auto"/>
      </w:divBdr>
    </w:div>
    <w:div w:id="714307433">
      <w:marLeft w:val="0"/>
      <w:marRight w:val="0"/>
      <w:marTop w:val="0"/>
      <w:marBottom w:val="240"/>
      <w:divBdr>
        <w:top w:val="none" w:sz="0" w:space="0" w:color="auto"/>
        <w:left w:val="none" w:sz="0" w:space="0" w:color="auto"/>
        <w:bottom w:val="none" w:sz="0" w:space="0" w:color="auto"/>
        <w:right w:val="none" w:sz="0" w:space="0" w:color="auto"/>
      </w:divBdr>
    </w:div>
    <w:div w:id="717895572">
      <w:marLeft w:val="0"/>
      <w:marRight w:val="0"/>
      <w:marTop w:val="0"/>
      <w:marBottom w:val="0"/>
      <w:divBdr>
        <w:top w:val="none" w:sz="0" w:space="0" w:color="auto"/>
        <w:left w:val="none" w:sz="0" w:space="0" w:color="auto"/>
        <w:bottom w:val="none" w:sz="0" w:space="0" w:color="auto"/>
        <w:right w:val="none" w:sz="0" w:space="0" w:color="auto"/>
      </w:divBdr>
      <w:divsChild>
        <w:div w:id="1168716538">
          <w:marLeft w:val="0"/>
          <w:marRight w:val="0"/>
          <w:marTop w:val="0"/>
          <w:marBottom w:val="0"/>
          <w:divBdr>
            <w:top w:val="none" w:sz="0" w:space="0" w:color="auto"/>
            <w:left w:val="none" w:sz="0" w:space="0" w:color="auto"/>
            <w:bottom w:val="none" w:sz="0" w:space="0" w:color="auto"/>
            <w:right w:val="none" w:sz="0" w:space="0" w:color="auto"/>
          </w:divBdr>
        </w:div>
      </w:divsChild>
    </w:div>
    <w:div w:id="718170349">
      <w:marLeft w:val="0"/>
      <w:marRight w:val="0"/>
      <w:marTop w:val="0"/>
      <w:marBottom w:val="240"/>
      <w:divBdr>
        <w:top w:val="none" w:sz="0" w:space="0" w:color="auto"/>
        <w:left w:val="none" w:sz="0" w:space="0" w:color="auto"/>
        <w:bottom w:val="none" w:sz="0" w:space="0" w:color="auto"/>
        <w:right w:val="none" w:sz="0" w:space="0" w:color="auto"/>
      </w:divBdr>
    </w:div>
    <w:div w:id="722171472">
      <w:marLeft w:val="0"/>
      <w:marRight w:val="0"/>
      <w:marTop w:val="0"/>
      <w:marBottom w:val="80"/>
      <w:divBdr>
        <w:top w:val="none" w:sz="0" w:space="0" w:color="auto"/>
        <w:left w:val="none" w:sz="0" w:space="0" w:color="auto"/>
        <w:bottom w:val="none" w:sz="0" w:space="0" w:color="auto"/>
        <w:right w:val="none" w:sz="0" w:space="0" w:color="auto"/>
      </w:divBdr>
    </w:div>
    <w:div w:id="723023641">
      <w:marLeft w:val="0"/>
      <w:marRight w:val="0"/>
      <w:marTop w:val="0"/>
      <w:marBottom w:val="0"/>
      <w:divBdr>
        <w:top w:val="none" w:sz="0" w:space="0" w:color="auto"/>
        <w:left w:val="none" w:sz="0" w:space="0" w:color="auto"/>
        <w:bottom w:val="none" w:sz="0" w:space="0" w:color="auto"/>
        <w:right w:val="none" w:sz="0" w:space="0" w:color="auto"/>
      </w:divBdr>
      <w:divsChild>
        <w:div w:id="760182346">
          <w:marLeft w:val="0"/>
          <w:marRight w:val="0"/>
          <w:marTop w:val="0"/>
          <w:marBottom w:val="0"/>
          <w:divBdr>
            <w:top w:val="none" w:sz="0" w:space="0" w:color="auto"/>
            <w:left w:val="none" w:sz="0" w:space="0" w:color="auto"/>
            <w:bottom w:val="none" w:sz="0" w:space="0" w:color="auto"/>
            <w:right w:val="none" w:sz="0" w:space="0" w:color="auto"/>
          </w:divBdr>
        </w:div>
      </w:divsChild>
    </w:div>
    <w:div w:id="726150372">
      <w:marLeft w:val="0"/>
      <w:marRight w:val="0"/>
      <w:marTop w:val="0"/>
      <w:marBottom w:val="0"/>
      <w:divBdr>
        <w:top w:val="none" w:sz="0" w:space="0" w:color="auto"/>
        <w:left w:val="none" w:sz="0" w:space="0" w:color="auto"/>
        <w:bottom w:val="none" w:sz="0" w:space="0" w:color="auto"/>
        <w:right w:val="none" w:sz="0" w:space="0" w:color="auto"/>
      </w:divBdr>
      <w:divsChild>
        <w:div w:id="1670792742">
          <w:marLeft w:val="0"/>
          <w:marRight w:val="0"/>
          <w:marTop w:val="0"/>
          <w:marBottom w:val="0"/>
          <w:divBdr>
            <w:top w:val="none" w:sz="0" w:space="0" w:color="auto"/>
            <w:left w:val="none" w:sz="0" w:space="0" w:color="auto"/>
            <w:bottom w:val="none" w:sz="0" w:space="0" w:color="auto"/>
            <w:right w:val="none" w:sz="0" w:space="0" w:color="auto"/>
          </w:divBdr>
        </w:div>
      </w:divsChild>
    </w:div>
    <w:div w:id="728576780">
      <w:marLeft w:val="0"/>
      <w:marRight w:val="0"/>
      <w:marTop w:val="0"/>
      <w:marBottom w:val="240"/>
      <w:divBdr>
        <w:top w:val="none" w:sz="0" w:space="0" w:color="auto"/>
        <w:left w:val="none" w:sz="0" w:space="0" w:color="auto"/>
        <w:bottom w:val="none" w:sz="0" w:space="0" w:color="auto"/>
        <w:right w:val="none" w:sz="0" w:space="0" w:color="auto"/>
      </w:divBdr>
    </w:div>
    <w:div w:id="730495828">
      <w:marLeft w:val="0"/>
      <w:marRight w:val="0"/>
      <w:marTop w:val="0"/>
      <w:marBottom w:val="120"/>
      <w:divBdr>
        <w:top w:val="none" w:sz="0" w:space="0" w:color="auto"/>
        <w:left w:val="none" w:sz="0" w:space="0" w:color="auto"/>
        <w:bottom w:val="none" w:sz="0" w:space="0" w:color="auto"/>
        <w:right w:val="none" w:sz="0" w:space="0" w:color="auto"/>
      </w:divBdr>
    </w:div>
    <w:div w:id="732967615">
      <w:marLeft w:val="0"/>
      <w:marRight w:val="0"/>
      <w:marTop w:val="0"/>
      <w:marBottom w:val="0"/>
      <w:divBdr>
        <w:top w:val="none" w:sz="0" w:space="0" w:color="auto"/>
        <w:left w:val="none" w:sz="0" w:space="0" w:color="auto"/>
        <w:bottom w:val="none" w:sz="0" w:space="0" w:color="auto"/>
        <w:right w:val="none" w:sz="0" w:space="0" w:color="auto"/>
      </w:divBdr>
      <w:divsChild>
        <w:div w:id="372458929">
          <w:marLeft w:val="0"/>
          <w:marRight w:val="0"/>
          <w:marTop w:val="0"/>
          <w:marBottom w:val="0"/>
          <w:divBdr>
            <w:top w:val="none" w:sz="0" w:space="0" w:color="auto"/>
            <w:left w:val="none" w:sz="0" w:space="0" w:color="auto"/>
            <w:bottom w:val="none" w:sz="0" w:space="0" w:color="auto"/>
            <w:right w:val="none" w:sz="0" w:space="0" w:color="auto"/>
          </w:divBdr>
        </w:div>
      </w:divsChild>
    </w:div>
    <w:div w:id="739061476">
      <w:marLeft w:val="0"/>
      <w:marRight w:val="0"/>
      <w:marTop w:val="0"/>
      <w:marBottom w:val="180"/>
      <w:divBdr>
        <w:top w:val="none" w:sz="0" w:space="0" w:color="auto"/>
        <w:left w:val="none" w:sz="0" w:space="0" w:color="auto"/>
        <w:bottom w:val="none" w:sz="0" w:space="0" w:color="auto"/>
        <w:right w:val="none" w:sz="0" w:space="0" w:color="auto"/>
      </w:divBdr>
    </w:div>
    <w:div w:id="743338921">
      <w:marLeft w:val="0"/>
      <w:marRight w:val="0"/>
      <w:marTop w:val="0"/>
      <w:marBottom w:val="240"/>
      <w:divBdr>
        <w:top w:val="none" w:sz="0" w:space="0" w:color="auto"/>
        <w:left w:val="none" w:sz="0" w:space="0" w:color="auto"/>
        <w:bottom w:val="none" w:sz="0" w:space="0" w:color="auto"/>
        <w:right w:val="none" w:sz="0" w:space="0" w:color="auto"/>
      </w:divBdr>
    </w:div>
    <w:div w:id="743836480">
      <w:marLeft w:val="0"/>
      <w:marRight w:val="0"/>
      <w:marTop w:val="0"/>
      <w:marBottom w:val="120"/>
      <w:divBdr>
        <w:top w:val="none" w:sz="0" w:space="0" w:color="auto"/>
        <w:left w:val="none" w:sz="0" w:space="0" w:color="auto"/>
        <w:bottom w:val="none" w:sz="0" w:space="0" w:color="auto"/>
        <w:right w:val="none" w:sz="0" w:space="0" w:color="auto"/>
      </w:divBdr>
    </w:div>
    <w:div w:id="745958304">
      <w:marLeft w:val="0"/>
      <w:marRight w:val="0"/>
      <w:marTop w:val="0"/>
      <w:marBottom w:val="240"/>
      <w:divBdr>
        <w:top w:val="none" w:sz="0" w:space="0" w:color="auto"/>
        <w:left w:val="none" w:sz="0" w:space="0" w:color="auto"/>
        <w:bottom w:val="none" w:sz="0" w:space="0" w:color="auto"/>
        <w:right w:val="none" w:sz="0" w:space="0" w:color="auto"/>
      </w:divBdr>
    </w:div>
    <w:div w:id="751239375">
      <w:marLeft w:val="0"/>
      <w:marRight w:val="0"/>
      <w:marTop w:val="0"/>
      <w:marBottom w:val="0"/>
      <w:divBdr>
        <w:top w:val="none" w:sz="0" w:space="0" w:color="auto"/>
        <w:left w:val="none" w:sz="0" w:space="0" w:color="auto"/>
        <w:bottom w:val="none" w:sz="0" w:space="0" w:color="auto"/>
        <w:right w:val="none" w:sz="0" w:space="0" w:color="auto"/>
      </w:divBdr>
    </w:div>
    <w:div w:id="753824223">
      <w:marLeft w:val="0"/>
      <w:marRight w:val="0"/>
      <w:marTop w:val="0"/>
      <w:marBottom w:val="240"/>
      <w:divBdr>
        <w:top w:val="none" w:sz="0" w:space="0" w:color="auto"/>
        <w:left w:val="none" w:sz="0" w:space="0" w:color="auto"/>
        <w:bottom w:val="none" w:sz="0" w:space="0" w:color="auto"/>
        <w:right w:val="none" w:sz="0" w:space="0" w:color="auto"/>
      </w:divBdr>
    </w:div>
    <w:div w:id="759106903">
      <w:marLeft w:val="0"/>
      <w:marRight w:val="0"/>
      <w:marTop w:val="0"/>
      <w:marBottom w:val="0"/>
      <w:divBdr>
        <w:top w:val="none" w:sz="0" w:space="0" w:color="auto"/>
        <w:left w:val="none" w:sz="0" w:space="0" w:color="auto"/>
        <w:bottom w:val="none" w:sz="0" w:space="0" w:color="auto"/>
        <w:right w:val="none" w:sz="0" w:space="0" w:color="auto"/>
      </w:divBdr>
    </w:div>
    <w:div w:id="761343562">
      <w:marLeft w:val="0"/>
      <w:marRight w:val="0"/>
      <w:marTop w:val="0"/>
      <w:marBottom w:val="120"/>
      <w:divBdr>
        <w:top w:val="none" w:sz="0" w:space="0" w:color="auto"/>
        <w:left w:val="none" w:sz="0" w:space="0" w:color="auto"/>
        <w:bottom w:val="none" w:sz="0" w:space="0" w:color="auto"/>
        <w:right w:val="none" w:sz="0" w:space="0" w:color="auto"/>
      </w:divBdr>
    </w:div>
    <w:div w:id="762531580">
      <w:marLeft w:val="0"/>
      <w:marRight w:val="0"/>
      <w:marTop w:val="0"/>
      <w:marBottom w:val="0"/>
      <w:divBdr>
        <w:top w:val="none" w:sz="0" w:space="0" w:color="auto"/>
        <w:left w:val="none" w:sz="0" w:space="0" w:color="auto"/>
        <w:bottom w:val="none" w:sz="0" w:space="0" w:color="auto"/>
        <w:right w:val="none" w:sz="0" w:space="0" w:color="auto"/>
      </w:divBdr>
      <w:divsChild>
        <w:div w:id="665010735">
          <w:marLeft w:val="0"/>
          <w:marRight w:val="0"/>
          <w:marTop w:val="0"/>
          <w:marBottom w:val="0"/>
          <w:divBdr>
            <w:top w:val="none" w:sz="0" w:space="0" w:color="auto"/>
            <w:left w:val="none" w:sz="0" w:space="0" w:color="auto"/>
            <w:bottom w:val="none" w:sz="0" w:space="0" w:color="auto"/>
            <w:right w:val="none" w:sz="0" w:space="0" w:color="auto"/>
          </w:divBdr>
        </w:div>
      </w:divsChild>
    </w:div>
    <w:div w:id="769207136">
      <w:marLeft w:val="0"/>
      <w:marRight w:val="0"/>
      <w:marTop w:val="0"/>
      <w:marBottom w:val="120"/>
      <w:divBdr>
        <w:top w:val="none" w:sz="0" w:space="0" w:color="auto"/>
        <w:left w:val="none" w:sz="0" w:space="0" w:color="auto"/>
        <w:bottom w:val="none" w:sz="0" w:space="0" w:color="auto"/>
        <w:right w:val="none" w:sz="0" w:space="0" w:color="auto"/>
      </w:divBdr>
    </w:div>
    <w:div w:id="772163707">
      <w:marLeft w:val="0"/>
      <w:marRight w:val="0"/>
      <w:marTop w:val="0"/>
      <w:marBottom w:val="0"/>
      <w:divBdr>
        <w:top w:val="none" w:sz="0" w:space="0" w:color="auto"/>
        <w:left w:val="none" w:sz="0" w:space="0" w:color="auto"/>
        <w:bottom w:val="none" w:sz="0" w:space="0" w:color="auto"/>
        <w:right w:val="none" w:sz="0" w:space="0" w:color="auto"/>
      </w:divBdr>
      <w:divsChild>
        <w:div w:id="2055347723">
          <w:marLeft w:val="0"/>
          <w:marRight w:val="0"/>
          <w:marTop w:val="0"/>
          <w:marBottom w:val="0"/>
          <w:divBdr>
            <w:top w:val="none" w:sz="0" w:space="0" w:color="auto"/>
            <w:left w:val="none" w:sz="0" w:space="0" w:color="auto"/>
            <w:bottom w:val="none" w:sz="0" w:space="0" w:color="auto"/>
            <w:right w:val="none" w:sz="0" w:space="0" w:color="auto"/>
          </w:divBdr>
        </w:div>
      </w:divsChild>
    </w:div>
    <w:div w:id="775709070">
      <w:marLeft w:val="0"/>
      <w:marRight w:val="0"/>
      <w:marTop w:val="0"/>
      <w:marBottom w:val="240"/>
      <w:divBdr>
        <w:top w:val="none" w:sz="0" w:space="0" w:color="auto"/>
        <w:left w:val="none" w:sz="0" w:space="0" w:color="auto"/>
        <w:bottom w:val="none" w:sz="0" w:space="0" w:color="auto"/>
        <w:right w:val="none" w:sz="0" w:space="0" w:color="auto"/>
      </w:divBdr>
    </w:div>
    <w:div w:id="779299604">
      <w:marLeft w:val="0"/>
      <w:marRight w:val="0"/>
      <w:marTop w:val="0"/>
      <w:marBottom w:val="240"/>
      <w:divBdr>
        <w:top w:val="none" w:sz="0" w:space="0" w:color="auto"/>
        <w:left w:val="none" w:sz="0" w:space="0" w:color="auto"/>
        <w:bottom w:val="none" w:sz="0" w:space="0" w:color="auto"/>
        <w:right w:val="none" w:sz="0" w:space="0" w:color="auto"/>
      </w:divBdr>
    </w:div>
    <w:div w:id="784423214">
      <w:marLeft w:val="0"/>
      <w:marRight w:val="0"/>
      <w:marTop w:val="0"/>
      <w:marBottom w:val="240"/>
      <w:divBdr>
        <w:top w:val="none" w:sz="0" w:space="0" w:color="auto"/>
        <w:left w:val="none" w:sz="0" w:space="0" w:color="auto"/>
        <w:bottom w:val="none" w:sz="0" w:space="0" w:color="auto"/>
        <w:right w:val="none" w:sz="0" w:space="0" w:color="auto"/>
      </w:divBdr>
    </w:div>
    <w:div w:id="785589273">
      <w:marLeft w:val="0"/>
      <w:marRight w:val="0"/>
      <w:marTop w:val="0"/>
      <w:marBottom w:val="0"/>
      <w:divBdr>
        <w:top w:val="none" w:sz="0" w:space="0" w:color="auto"/>
        <w:left w:val="none" w:sz="0" w:space="0" w:color="auto"/>
        <w:bottom w:val="none" w:sz="0" w:space="0" w:color="auto"/>
        <w:right w:val="none" w:sz="0" w:space="0" w:color="auto"/>
      </w:divBdr>
      <w:divsChild>
        <w:div w:id="254361726">
          <w:marLeft w:val="0"/>
          <w:marRight w:val="0"/>
          <w:marTop w:val="0"/>
          <w:marBottom w:val="0"/>
          <w:divBdr>
            <w:top w:val="none" w:sz="0" w:space="0" w:color="auto"/>
            <w:left w:val="none" w:sz="0" w:space="0" w:color="auto"/>
            <w:bottom w:val="none" w:sz="0" w:space="0" w:color="auto"/>
            <w:right w:val="none" w:sz="0" w:space="0" w:color="auto"/>
          </w:divBdr>
        </w:div>
      </w:divsChild>
    </w:div>
    <w:div w:id="789709695">
      <w:marLeft w:val="0"/>
      <w:marRight w:val="0"/>
      <w:marTop w:val="0"/>
      <w:marBottom w:val="60"/>
      <w:divBdr>
        <w:top w:val="none" w:sz="0" w:space="0" w:color="auto"/>
        <w:left w:val="none" w:sz="0" w:space="0" w:color="auto"/>
        <w:bottom w:val="none" w:sz="0" w:space="0" w:color="auto"/>
        <w:right w:val="none" w:sz="0" w:space="0" w:color="auto"/>
      </w:divBdr>
    </w:div>
    <w:div w:id="790561014">
      <w:marLeft w:val="0"/>
      <w:marRight w:val="0"/>
      <w:marTop w:val="0"/>
      <w:marBottom w:val="0"/>
      <w:divBdr>
        <w:top w:val="none" w:sz="0" w:space="0" w:color="auto"/>
        <w:left w:val="none" w:sz="0" w:space="0" w:color="auto"/>
        <w:bottom w:val="none" w:sz="0" w:space="0" w:color="auto"/>
        <w:right w:val="none" w:sz="0" w:space="0" w:color="auto"/>
      </w:divBdr>
    </w:div>
    <w:div w:id="793326477">
      <w:marLeft w:val="0"/>
      <w:marRight w:val="0"/>
      <w:marTop w:val="0"/>
      <w:marBottom w:val="0"/>
      <w:divBdr>
        <w:top w:val="none" w:sz="0" w:space="0" w:color="auto"/>
        <w:left w:val="none" w:sz="0" w:space="0" w:color="auto"/>
        <w:bottom w:val="none" w:sz="0" w:space="0" w:color="auto"/>
        <w:right w:val="none" w:sz="0" w:space="0" w:color="auto"/>
      </w:divBdr>
      <w:divsChild>
        <w:div w:id="1378889856">
          <w:marLeft w:val="0"/>
          <w:marRight w:val="0"/>
          <w:marTop w:val="0"/>
          <w:marBottom w:val="0"/>
          <w:divBdr>
            <w:top w:val="none" w:sz="0" w:space="0" w:color="auto"/>
            <w:left w:val="none" w:sz="0" w:space="0" w:color="auto"/>
            <w:bottom w:val="none" w:sz="0" w:space="0" w:color="auto"/>
            <w:right w:val="none" w:sz="0" w:space="0" w:color="auto"/>
          </w:divBdr>
        </w:div>
      </w:divsChild>
    </w:div>
    <w:div w:id="799226783">
      <w:marLeft w:val="0"/>
      <w:marRight w:val="0"/>
      <w:marTop w:val="0"/>
      <w:marBottom w:val="240"/>
      <w:divBdr>
        <w:top w:val="none" w:sz="0" w:space="0" w:color="auto"/>
        <w:left w:val="none" w:sz="0" w:space="0" w:color="auto"/>
        <w:bottom w:val="none" w:sz="0" w:space="0" w:color="auto"/>
        <w:right w:val="none" w:sz="0" w:space="0" w:color="auto"/>
      </w:divBdr>
    </w:div>
    <w:div w:id="800684591">
      <w:marLeft w:val="0"/>
      <w:marRight w:val="0"/>
      <w:marTop w:val="0"/>
      <w:marBottom w:val="60"/>
      <w:divBdr>
        <w:top w:val="none" w:sz="0" w:space="0" w:color="auto"/>
        <w:left w:val="none" w:sz="0" w:space="0" w:color="auto"/>
        <w:bottom w:val="none" w:sz="0" w:space="0" w:color="auto"/>
        <w:right w:val="none" w:sz="0" w:space="0" w:color="auto"/>
      </w:divBdr>
    </w:div>
    <w:div w:id="806437851">
      <w:marLeft w:val="0"/>
      <w:marRight w:val="0"/>
      <w:marTop w:val="240"/>
      <w:marBottom w:val="120"/>
      <w:divBdr>
        <w:top w:val="none" w:sz="0" w:space="0" w:color="auto"/>
        <w:left w:val="none" w:sz="0" w:space="0" w:color="auto"/>
        <w:bottom w:val="none" w:sz="0" w:space="0" w:color="auto"/>
        <w:right w:val="none" w:sz="0" w:space="0" w:color="auto"/>
      </w:divBdr>
    </w:div>
    <w:div w:id="808716571">
      <w:marLeft w:val="0"/>
      <w:marRight w:val="0"/>
      <w:marTop w:val="0"/>
      <w:marBottom w:val="240"/>
      <w:divBdr>
        <w:top w:val="none" w:sz="0" w:space="0" w:color="auto"/>
        <w:left w:val="none" w:sz="0" w:space="0" w:color="auto"/>
        <w:bottom w:val="none" w:sz="0" w:space="0" w:color="auto"/>
        <w:right w:val="none" w:sz="0" w:space="0" w:color="auto"/>
      </w:divBdr>
    </w:div>
    <w:div w:id="812526803">
      <w:marLeft w:val="0"/>
      <w:marRight w:val="0"/>
      <w:marTop w:val="0"/>
      <w:marBottom w:val="0"/>
      <w:divBdr>
        <w:top w:val="none" w:sz="0" w:space="0" w:color="auto"/>
        <w:left w:val="none" w:sz="0" w:space="0" w:color="auto"/>
        <w:bottom w:val="none" w:sz="0" w:space="0" w:color="auto"/>
        <w:right w:val="none" w:sz="0" w:space="0" w:color="auto"/>
      </w:divBdr>
    </w:div>
    <w:div w:id="818228034">
      <w:marLeft w:val="0"/>
      <w:marRight w:val="0"/>
      <w:marTop w:val="0"/>
      <w:marBottom w:val="240"/>
      <w:divBdr>
        <w:top w:val="none" w:sz="0" w:space="0" w:color="auto"/>
        <w:left w:val="none" w:sz="0" w:space="0" w:color="auto"/>
        <w:bottom w:val="none" w:sz="0" w:space="0" w:color="auto"/>
        <w:right w:val="none" w:sz="0" w:space="0" w:color="auto"/>
      </w:divBdr>
    </w:div>
    <w:div w:id="829760426">
      <w:marLeft w:val="0"/>
      <w:marRight w:val="0"/>
      <w:marTop w:val="0"/>
      <w:marBottom w:val="0"/>
      <w:divBdr>
        <w:top w:val="none" w:sz="0" w:space="0" w:color="auto"/>
        <w:left w:val="none" w:sz="0" w:space="0" w:color="auto"/>
        <w:bottom w:val="none" w:sz="0" w:space="0" w:color="auto"/>
        <w:right w:val="none" w:sz="0" w:space="0" w:color="auto"/>
      </w:divBdr>
      <w:divsChild>
        <w:div w:id="969555723">
          <w:marLeft w:val="0"/>
          <w:marRight w:val="0"/>
          <w:marTop w:val="0"/>
          <w:marBottom w:val="0"/>
          <w:divBdr>
            <w:top w:val="none" w:sz="0" w:space="0" w:color="auto"/>
            <w:left w:val="none" w:sz="0" w:space="0" w:color="auto"/>
            <w:bottom w:val="none" w:sz="0" w:space="0" w:color="auto"/>
            <w:right w:val="none" w:sz="0" w:space="0" w:color="auto"/>
          </w:divBdr>
        </w:div>
      </w:divsChild>
    </w:div>
    <w:div w:id="831868759">
      <w:marLeft w:val="0"/>
      <w:marRight w:val="0"/>
      <w:marTop w:val="0"/>
      <w:marBottom w:val="240"/>
      <w:divBdr>
        <w:top w:val="none" w:sz="0" w:space="0" w:color="auto"/>
        <w:left w:val="none" w:sz="0" w:space="0" w:color="auto"/>
        <w:bottom w:val="none" w:sz="0" w:space="0" w:color="auto"/>
        <w:right w:val="none" w:sz="0" w:space="0" w:color="auto"/>
      </w:divBdr>
    </w:div>
    <w:div w:id="839736522">
      <w:marLeft w:val="0"/>
      <w:marRight w:val="0"/>
      <w:marTop w:val="0"/>
      <w:marBottom w:val="240"/>
      <w:divBdr>
        <w:top w:val="none" w:sz="0" w:space="0" w:color="auto"/>
        <w:left w:val="none" w:sz="0" w:space="0" w:color="auto"/>
        <w:bottom w:val="none" w:sz="0" w:space="0" w:color="auto"/>
        <w:right w:val="none" w:sz="0" w:space="0" w:color="auto"/>
      </w:divBdr>
    </w:div>
    <w:div w:id="844322884">
      <w:marLeft w:val="0"/>
      <w:marRight w:val="0"/>
      <w:marTop w:val="0"/>
      <w:marBottom w:val="60"/>
      <w:divBdr>
        <w:top w:val="none" w:sz="0" w:space="0" w:color="auto"/>
        <w:left w:val="none" w:sz="0" w:space="0" w:color="auto"/>
        <w:bottom w:val="none" w:sz="0" w:space="0" w:color="auto"/>
        <w:right w:val="none" w:sz="0" w:space="0" w:color="auto"/>
      </w:divBdr>
    </w:div>
    <w:div w:id="845749041">
      <w:marLeft w:val="0"/>
      <w:marRight w:val="0"/>
      <w:marTop w:val="0"/>
      <w:marBottom w:val="0"/>
      <w:divBdr>
        <w:top w:val="none" w:sz="0" w:space="0" w:color="auto"/>
        <w:left w:val="none" w:sz="0" w:space="0" w:color="auto"/>
        <w:bottom w:val="none" w:sz="0" w:space="0" w:color="auto"/>
        <w:right w:val="none" w:sz="0" w:space="0" w:color="auto"/>
      </w:divBdr>
      <w:divsChild>
        <w:div w:id="709495917">
          <w:marLeft w:val="0"/>
          <w:marRight w:val="0"/>
          <w:marTop w:val="0"/>
          <w:marBottom w:val="0"/>
          <w:divBdr>
            <w:top w:val="none" w:sz="0" w:space="0" w:color="auto"/>
            <w:left w:val="none" w:sz="0" w:space="0" w:color="auto"/>
            <w:bottom w:val="none" w:sz="0" w:space="0" w:color="auto"/>
            <w:right w:val="none" w:sz="0" w:space="0" w:color="auto"/>
          </w:divBdr>
        </w:div>
      </w:divsChild>
    </w:div>
    <w:div w:id="847214422">
      <w:marLeft w:val="0"/>
      <w:marRight w:val="0"/>
      <w:marTop w:val="0"/>
      <w:marBottom w:val="120"/>
      <w:divBdr>
        <w:top w:val="none" w:sz="0" w:space="0" w:color="auto"/>
        <w:left w:val="none" w:sz="0" w:space="0" w:color="auto"/>
        <w:bottom w:val="none" w:sz="0" w:space="0" w:color="auto"/>
        <w:right w:val="none" w:sz="0" w:space="0" w:color="auto"/>
      </w:divBdr>
    </w:div>
    <w:div w:id="847327746">
      <w:marLeft w:val="0"/>
      <w:marRight w:val="0"/>
      <w:marTop w:val="0"/>
      <w:marBottom w:val="0"/>
      <w:divBdr>
        <w:top w:val="none" w:sz="0" w:space="0" w:color="auto"/>
        <w:left w:val="none" w:sz="0" w:space="0" w:color="auto"/>
        <w:bottom w:val="none" w:sz="0" w:space="0" w:color="auto"/>
        <w:right w:val="none" w:sz="0" w:space="0" w:color="auto"/>
      </w:divBdr>
      <w:divsChild>
        <w:div w:id="2118716228">
          <w:marLeft w:val="0"/>
          <w:marRight w:val="0"/>
          <w:marTop w:val="0"/>
          <w:marBottom w:val="0"/>
          <w:divBdr>
            <w:top w:val="none" w:sz="0" w:space="0" w:color="auto"/>
            <w:left w:val="none" w:sz="0" w:space="0" w:color="auto"/>
            <w:bottom w:val="none" w:sz="0" w:space="0" w:color="auto"/>
            <w:right w:val="none" w:sz="0" w:space="0" w:color="auto"/>
          </w:divBdr>
        </w:div>
      </w:divsChild>
    </w:div>
    <w:div w:id="849297252">
      <w:marLeft w:val="0"/>
      <w:marRight w:val="0"/>
      <w:marTop w:val="0"/>
      <w:marBottom w:val="0"/>
      <w:divBdr>
        <w:top w:val="none" w:sz="0" w:space="0" w:color="auto"/>
        <w:left w:val="none" w:sz="0" w:space="0" w:color="auto"/>
        <w:bottom w:val="none" w:sz="0" w:space="0" w:color="auto"/>
        <w:right w:val="none" w:sz="0" w:space="0" w:color="auto"/>
      </w:divBdr>
      <w:divsChild>
        <w:div w:id="1541238102">
          <w:marLeft w:val="0"/>
          <w:marRight w:val="0"/>
          <w:marTop w:val="0"/>
          <w:marBottom w:val="0"/>
          <w:divBdr>
            <w:top w:val="none" w:sz="0" w:space="0" w:color="auto"/>
            <w:left w:val="none" w:sz="0" w:space="0" w:color="auto"/>
            <w:bottom w:val="none" w:sz="0" w:space="0" w:color="auto"/>
            <w:right w:val="none" w:sz="0" w:space="0" w:color="auto"/>
          </w:divBdr>
        </w:div>
      </w:divsChild>
    </w:div>
    <w:div w:id="857233806">
      <w:marLeft w:val="0"/>
      <w:marRight w:val="0"/>
      <w:marTop w:val="0"/>
      <w:marBottom w:val="240"/>
      <w:divBdr>
        <w:top w:val="none" w:sz="0" w:space="0" w:color="auto"/>
        <w:left w:val="none" w:sz="0" w:space="0" w:color="auto"/>
        <w:bottom w:val="none" w:sz="0" w:space="0" w:color="auto"/>
        <w:right w:val="none" w:sz="0" w:space="0" w:color="auto"/>
      </w:divBdr>
    </w:div>
    <w:div w:id="859781594">
      <w:marLeft w:val="0"/>
      <w:marRight w:val="0"/>
      <w:marTop w:val="0"/>
      <w:marBottom w:val="80"/>
      <w:divBdr>
        <w:top w:val="none" w:sz="0" w:space="0" w:color="auto"/>
        <w:left w:val="none" w:sz="0" w:space="0" w:color="auto"/>
        <w:bottom w:val="none" w:sz="0" w:space="0" w:color="auto"/>
        <w:right w:val="none" w:sz="0" w:space="0" w:color="auto"/>
      </w:divBdr>
    </w:div>
    <w:div w:id="860508224">
      <w:marLeft w:val="0"/>
      <w:marRight w:val="0"/>
      <w:marTop w:val="0"/>
      <w:marBottom w:val="0"/>
      <w:divBdr>
        <w:top w:val="none" w:sz="0" w:space="0" w:color="auto"/>
        <w:left w:val="none" w:sz="0" w:space="0" w:color="auto"/>
        <w:bottom w:val="none" w:sz="0" w:space="0" w:color="auto"/>
        <w:right w:val="none" w:sz="0" w:space="0" w:color="auto"/>
      </w:divBdr>
      <w:divsChild>
        <w:div w:id="755903402">
          <w:marLeft w:val="0"/>
          <w:marRight w:val="0"/>
          <w:marTop w:val="0"/>
          <w:marBottom w:val="0"/>
          <w:divBdr>
            <w:top w:val="none" w:sz="0" w:space="0" w:color="auto"/>
            <w:left w:val="none" w:sz="0" w:space="0" w:color="auto"/>
            <w:bottom w:val="none" w:sz="0" w:space="0" w:color="auto"/>
            <w:right w:val="none" w:sz="0" w:space="0" w:color="auto"/>
          </w:divBdr>
        </w:div>
      </w:divsChild>
    </w:div>
    <w:div w:id="860628754">
      <w:marLeft w:val="0"/>
      <w:marRight w:val="0"/>
      <w:marTop w:val="0"/>
      <w:marBottom w:val="240"/>
      <w:divBdr>
        <w:top w:val="none" w:sz="0" w:space="0" w:color="auto"/>
        <w:left w:val="none" w:sz="0" w:space="0" w:color="auto"/>
        <w:bottom w:val="none" w:sz="0" w:space="0" w:color="auto"/>
        <w:right w:val="none" w:sz="0" w:space="0" w:color="auto"/>
      </w:divBdr>
    </w:div>
    <w:div w:id="860751414">
      <w:marLeft w:val="0"/>
      <w:marRight w:val="0"/>
      <w:marTop w:val="0"/>
      <w:marBottom w:val="0"/>
      <w:divBdr>
        <w:top w:val="none" w:sz="0" w:space="0" w:color="auto"/>
        <w:left w:val="none" w:sz="0" w:space="0" w:color="auto"/>
        <w:bottom w:val="none" w:sz="0" w:space="0" w:color="auto"/>
        <w:right w:val="none" w:sz="0" w:space="0" w:color="auto"/>
      </w:divBdr>
      <w:divsChild>
        <w:div w:id="861357049">
          <w:marLeft w:val="0"/>
          <w:marRight w:val="0"/>
          <w:marTop w:val="0"/>
          <w:marBottom w:val="0"/>
          <w:divBdr>
            <w:top w:val="none" w:sz="0" w:space="0" w:color="auto"/>
            <w:left w:val="none" w:sz="0" w:space="0" w:color="auto"/>
            <w:bottom w:val="none" w:sz="0" w:space="0" w:color="auto"/>
            <w:right w:val="none" w:sz="0" w:space="0" w:color="auto"/>
          </w:divBdr>
        </w:div>
      </w:divsChild>
    </w:div>
    <w:div w:id="861476536">
      <w:marLeft w:val="0"/>
      <w:marRight w:val="0"/>
      <w:marTop w:val="0"/>
      <w:marBottom w:val="0"/>
      <w:divBdr>
        <w:top w:val="none" w:sz="0" w:space="0" w:color="auto"/>
        <w:left w:val="none" w:sz="0" w:space="0" w:color="auto"/>
        <w:bottom w:val="none" w:sz="0" w:space="0" w:color="auto"/>
        <w:right w:val="none" w:sz="0" w:space="0" w:color="auto"/>
      </w:divBdr>
    </w:div>
    <w:div w:id="862985399">
      <w:marLeft w:val="0"/>
      <w:marRight w:val="0"/>
      <w:marTop w:val="0"/>
      <w:marBottom w:val="240"/>
      <w:divBdr>
        <w:top w:val="none" w:sz="0" w:space="0" w:color="auto"/>
        <w:left w:val="none" w:sz="0" w:space="0" w:color="auto"/>
        <w:bottom w:val="none" w:sz="0" w:space="0" w:color="auto"/>
        <w:right w:val="none" w:sz="0" w:space="0" w:color="auto"/>
      </w:divBdr>
    </w:div>
    <w:div w:id="864901556">
      <w:marLeft w:val="0"/>
      <w:marRight w:val="0"/>
      <w:marTop w:val="0"/>
      <w:marBottom w:val="240"/>
      <w:divBdr>
        <w:top w:val="none" w:sz="0" w:space="0" w:color="auto"/>
        <w:left w:val="none" w:sz="0" w:space="0" w:color="auto"/>
        <w:bottom w:val="none" w:sz="0" w:space="0" w:color="auto"/>
        <w:right w:val="none" w:sz="0" w:space="0" w:color="auto"/>
      </w:divBdr>
    </w:div>
    <w:div w:id="866332615">
      <w:marLeft w:val="0"/>
      <w:marRight w:val="0"/>
      <w:marTop w:val="0"/>
      <w:marBottom w:val="240"/>
      <w:divBdr>
        <w:top w:val="none" w:sz="0" w:space="0" w:color="auto"/>
        <w:left w:val="none" w:sz="0" w:space="0" w:color="auto"/>
        <w:bottom w:val="none" w:sz="0" w:space="0" w:color="auto"/>
        <w:right w:val="none" w:sz="0" w:space="0" w:color="auto"/>
      </w:divBdr>
    </w:div>
    <w:div w:id="867525905">
      <w:marLeft w:val="0"/>
      <w:marRight w:val="0"/>
      <w:marTop w:val="0"/>
      <w:marBottom w:val="0"/>
      <w:divBdr>
        <w:top w:val="none" w:sz="0" w:space="0" w:color="auto"/>
        <w:left w:val="none" w:sz="0" w:space="0" w:color="auto"/>
        <w:bottom w:val="none" w:sz="0" w:space="0" w:color="auto"/>
        <w:right w:val="none" w:sz="0" w:space="0" w:color="auto"/>
      </w:divBdr>
      <w:divsChild>
        <w:div w:id="313067178">
          <w:marLeft w:val="0"/>
          <w:marRight w:val="0"/>
          <w:marTop w:val="0"/>
          <w:marBottom w:val="0"/>
          <w:divBdr>
            <w:top w:val="none" w:sz="0" w:space="0" w:color="auto"/>
            <w:left w:val="none" w:sz="0" w:space="0" w:color="auto"/>
            <w:bottom w:val="none" w:sz="0" w:space="0" w:color="auto"/>
            <w:right w:val="none" w:sz="0" w:space="0" w:color="auto"/>
          </w:divBdr>
        </w:div>
      </w:divsChild>
    </w:div>
    <w:div w:id="877088174">
      <w:marLeft w:val="0"/>
      <w:marRight w:val="0"/>
      <w:marTop w:val="0"/>
      <w:marBottom w:val="240"/>
      <w:divBdr>
        <w:top w:val="none" w:sz="0" w:space="0" w:color="auto"/>
        <w:left w:val="none" w:sz="0" w:space="0" w:color="auto"/>
        <w:bottom w:val="none" w:sz="0" w:space="0" w:color="auto"/>
        <w:right w:val="none" w:sz="0" w:space="0" w:color="auto"/>
      </w:divBdr>
    </w:div>
    <w:div w:id="877668947">
      <w:marLeft w:val="0"/>
      <w:marRight w:val="0"/>
      <w:marTop w:val="0"/>
      <w:marBottom w:val="120"/>
      <w:divBdr>
        <w:top w:val="none" w:sz="0" w:space="0" w:color="auto"/>
        <w:left w:val="none" w:sz="0" w:space="0" w:color="auto"/>
        <w:bottom w:val="none" w:sz="0" w:space="0" w:color="auto"/>
        <w:right w:val="none" w:sz="0" w:space="0" w:color="auto"/>
      </w:divBdr>
    </w:div>
    <w:div w:id="878935258">
      <w:marLeft w:val="0"/>
      <w:marRight w:val="0"/>
      <w:marTop w:val="0"/>
      <w:marBottom w:val="0"/>
      <w:divBdr>
        <w:top w:val="none" w:sz="0" w:space="0" w:color="auto"/>
        <w:left w:val="none" w:sz="0" w:space="0" w:color="auto"/>
        <w:bottom w:val="none" w:sz="0" w:space="0" w:color="auto"/>
        <w:right w:val="none" w:sz="0" w:space="0" w:color="auto"/>
      </w:divBdr>
      <w:divsChild>
        <w:div w:id="1297562886">
          <w:marLeft w:val="0"/>
          <w:marRight w:val="0"/>
          <w:marTop w:val="0"/>
          <w:marBottom w:val="0"/>
          <w:divBdr>
            <w:top w:val="none" w:sz="0" w:space="0" w:color="auto"/>
            <w:left w:val="none" w:sz="0" w:space="0" w:color="auto"/>
            <w:bottom w:val="none" w:sz="0" w:space="0" w:color="auto"/>
            <w:right w:val="none" w:sz="0" w:space="0" w:color="auto"/>
          </w:divBdr>
        </w:div>
      </w:divsChild>
    </w:div>
    <w:div w:id="881747918">
      <w:marLeft w:val="0"/>
      <w:marRight w:val="0"/>
      <w:marTop w:val="0"/>
      <w:marBottom w:val="240"/>
      <w:divBdr>
        <w:top w:val="none" w:sz="0" w:space="0" w:color="auto"/>
        <w:left w:val="none" w:sz="0" w:space="0" w:color="auto"/>
        <w:bottom w:val="none" w:sz="0" w:space="0" w:color="auto"/>
        <w:right w:val="none" w:sz="0" w:space="0" w:color="auto"/>
      </w:divBdr>
    </w:div>
    <w:div w:id="882446324">
      <w:marLeft w:val="0"/>
      <w:marRight w:val="0"/>
      <w:marTop w:val="0"/>
      <w:marBottom w:val="240"/>
      <w:divBdr>
        <w:top w:val="none" w:sz="0" w:space="0" w:color="auto"/>
        <w:left w:val="none" w:sz="0" w:space="0" w:color="auto"/>
        <w:bottom w:val="none" w:sz="0" w:space="0" w:color="auto"/>
        <w:right w:val="none" w:sz="0" w:space="0" w:color="auto"/>
      </w:divBdr>
    </w:div>
    <w:div w:id="882978764">
      <w:marLeft w:val="0"/>
      <w:marRight w:val="0"/>
      <w:marTop w:val="0"/>
      <w:marBottom w:val="0"/>
      <w:divBdr>
        <w:top w:val="none" w:sz="0" w:space="0" w:color="auto"/>
        <w:left w:val="none" w:sz="0" w:space="0" w:color="auto"/>
        <w:bottom w:val="none" w:sz="0" w:space="0" w:color="auto"/>
        <w:right w:val="none" w:sz="0" w:space="0" w:color="auto"/>
      </w:divBdr>
      <w:divsChild>
        <w:div w:id="399518744">
          <w:marLeft w:val="0"/>
          <w:marRight w:val="0"/>
          <w:marTop w:val="0"/>
          <w:marBottom w:val="0"/>
          <w:divBdr>
            <w:top w:val="none" w:sz="0" w:space="0" w:color="auto"/>
            <w:left w:val="none" w:sz="0" w:space="0" w:color="auto"/>
            <w:bottom w:val="none" w:sz="0" w:space="0" w:color="auto"/>
            <w:right w:val="none" w:sz="0" w:space="0" w:color="auto"/>
          </w:divBdr>
        </w:div>
      </w:divsChild>
    </w:div>
    <w:div w:id="883566827">
      <w:marLeft w:val="0"/>
      <w:marRight w:val="0"/>
      <w:marTop w:val="0"/>
      <w:marBottom w:val="0"/>
      <w:divBdr>
        <w:top w:val="none" w:sz="0" w:space="0" w:color="auto"/>
        <w:left w:val="none" w:sz="0" w:space="0" w:color="auto"/>
        <w:bottom w:val="none" w:sz="0" w:space="0" w:color="auto"/>
        <w:right w:val="none" w:sz="0" w:space="0" w:color="auto"/>
      </w:divBdr>
      <w:divsChild>
        <w:div w:id="77485807">
          <w:marLeft w:val="0"/>
          <w:marRight w:val="0"/>
          <w:marTop w:val="0"/>
          <w:marBottom w:val="0"/>
          <w:divBdr>
            <w:top w:val="none" w:sz="0" w:space="0" w:color="auto"/>
            <w:left w:val="none" w:sz="0" w:space="0" w:color="auto"/>
            <w:bottom w:val="none" w:sz="0" w:space="0" w:color="auto"/>
            <w:right w:val="none" w:sz="0" w:space="0" w:color="auto"/>
          </w:divBdr>
        </w:div>
      </w:divsChild>
    </w:div>
    <w:div w:id="889725033">
      <w:marLeft w:val="0"/>
      <w:marRight w:val="0"/>
      <w:marTop w:val="0"/>
      <w:marBottom w:val="240"/>
      <w:divBdr>
        <w:top w:val="none" w:sz="0" w:space="0" w:color="auto"/>
        <w:left w:val="none" w:sz="0" w:space="0" w:color="auto"/>
        <w:bottom w:val="none" w:sz="0" w:space="0" w:color="auto"/>
        <w:right w:val="none" w:sz="0" w:space="0" w:color="auto"/>
      </w:divBdr>
    </w:div>
    <w:div w:id="890922655">
      <w:marLeft w:val="0"/>
      <w:marRight w:val="0"/>
      <w:marTop w:val="0"/>
      <w:marBottom w:val="240"/>
      <w:divBdr>
        <w:top w:val="none" w:sz="0" w:space="0" w:color="auto"/>
        <w:left w:val="none" w:sz="0" w:space="0" w:color="auto"/>
        <w:bottom w:val="none" w:sz="0" w:space="0" w:color="auto"/>
        <w:right w:val="none" w:sz="0" w:space="0" w:color="auto"/>
      </w:divBdr>
    </w:div>
    <w:div w:id="892620196">
      <w:marLeft w:val="0"/>
      <w:marRight w:val="0"/>
      <w:marTop w:val="0"/>
      <w:marBottom w:val="240"/>
      <w:divBdr>
        <w:top w:val="none" w:sz="0" w:space="0" w:color="auto"/>
        <w:left w:val="none" w:sz="0" w:space="0" w:color="auto"/>
        <w:bottom w:val="none" w:sz="0" w:space="0" w:color="auto"/>
        <w:right w:val="none" w:sz="0" w:space="0" w:color="auto"/>
      </w:divBdr>
    </w:div>
    <w:div w:id="897933605">
      <w:marLeft w:val="0"/>
      <w:marRight w:val="0"/>
      <w:marTop w:val="0"/>
      <w:marBottom w:val="0"/>
      <w:divBdr>
        <w:top w:val="none" w:sz="0" w:space="0" w:color="auto"/>
        <w:left w:val="none" w:sz="0" w:space="0" w:color="auto"/>
        <w:bottom w:val="none" w:sz="0" w:space="0" w:color="auto"/>
        <w:right w:val="none" w:sz="0" w:space="0" w:color="auto"/>
      </w:divBdr>
      <w:divsChild>
        <w:div w:id="182402677">
          <w:marLeft w:val="0"/>
          <w:marRight w:val="0"/>
          <w:marTop w:val="0"/>
          <w:marBottom w:val="0"/>
          <w:divBdr>
            <w:top w:val="none" w:sz="0" w:space="0" w:color="auto"/>
            <w:left w:val="none" w:sz="0" w:space="0" w:color="auto"/>
            <w:bottom w:val="none" w:sz="0" w:space="0" w:color="auto"/>
            <w:right w:val="none" w:sz="0" w:space="0" w:color="auto"/>
          </w:divBdr>
        </w:div>
      </w:divsChild>
    </w:div>
    <w:div w:id="901328971">
      <w:marLeft w:val="0"/>
      <w:marRight w:val="0"/>
      <w:marTop w:val="0"/>
      <w:marBottom w:val="240"/>
      <w:divBdr>
        <w:top w:val="none" w:sz="0" w:space="0" w:color="auto"/>
        <w:left w:val="none" w:sz="0" w:space="0" w:color="auto"/>
        <w:bottom w:val="none" w:sz="0" w:space="0" w:color="auto"/>
        <w:right w:val="none" w:sz="0" w:space="0" w:color="auto"/>
      </w:divBdr>
    </w:div>
    <w:div w:id="905339382">
      <w:marLeft w:val="0"/>
      <w:marRight w:val="0"/>
      <w:marTop w:val="0"/>
      <w:marBottom w:val="0"/>
      <w:divBdr>
        <w:top w:val="none" w:sz="0" w:space="0" w:color="auto"/>
        <w:left w:val="none" w:sz="0" w:space="0" w:color="auto"/>
        <w:bottom w:val="none" w:sz="0" w:space="0" w:color="auto"/>
        <w:right w:val="none" w:sz="0" w:space="0" w:color="auto"/>
      </w:divBdr>
      <w:divsChild>
        <w:div w:id="911161729">
          <w:marLeft w:val="0"/>
          <w:marRight w:val="0"/>
          <w:marTop w:val="0"/>
          <w:marBottom w:val="0"/>
          <w:divBdr>
            <w:top w:val="none" w:sz="0" w:space="0" w:color="auto"/>
            <w:left w:val="none" w:sz="0" w:space="0" w:color="auto"/>
            <w:bottom w:val="none" w:sz="0" w:space="0" w:color="auto"/>
            <w:right w:val="none" w:sz="0" w:space="0" w:color="auto"/>
          </w:divBdr>
        </w:div>
      </w:divsChild>
    </w:div>
    <w:div w:id="906380206">
      <w:marLeft w:val="0"/>
      <w:marRight w:val="0"/>
      <w:marTop w:val="0"/>
      <w:marBottom w:val="60"/>
      <w:divBdr>
        <w:top w:val="none" w:sz="0" w:space="0" w:color="auto"/>
        <w:left w:val="none" w:sz="0" w:space="0" w:color="auto"/>
        <w:bottom w:val="none" w:sz="0" w:space="0" w:color="auto"/>
        <w:right w:val="none" w:sz="0" w:space="0" w:color="auto"/>
      </w:divBdr>
    </w:div>
    <w:div w:id="907303617">
      <w:marLeft w:val="0"/>
      <w:marRight w:val="0"/>
      <w:marTop w:val="0"/>
      <w:marBottom w:val="120"/>
      <w:divBdr>
        <w:top w:val="none" w:sz="0" w:space="0" w:color="auto"/>
        <w:left w:val="none" w:sz="0" w:space="0" w:color="auto"/>
        <w:bottom w:val="none" w:sz="0" w:space="0" w:color="auto"/>
        <w:right w:val="none" w:sz="0" w:space="0" w:color="auto"/>
      </w:divBdr>
    </w:div>
    <w:div w:id="908656916">
      <w:marLeft w:val="0"/>
      <w:marRight w:val="0"/>
      <w:marTop w:val="0"/>
      <w:marBottom w:val="0"/>
      <w:divBdr>
        <w:top w:val="none" w:sz="0" w:space="0" w:color="auto"/>
        <w:left w:val="none" w:sz="0" w:space="0" w:color="auto"/>
        <w:bottom w:val="none" w:sz="0" w:space="0" w:color="auto"/>
        <w:right w:val="none" w:sz="0" w:space="0" w:color="auto"/>
      </w:divBdr>
      <w:divsChild>
        <w:div w:id="2138913647">
          <w:marLeft w:val="0"/>
          <w:marRight w:val="0"/>
          <w:marTop w:val="0"/>
          <w:marBottom w:val="0"/>
          <w:divBdr>
            <w:top w:val="none" w:sz="0" w:space="0" w:color="auto"/>
            <w:left w:val="none" w:sz="0" w:space="0" w:color="auto"/>
            <w:bottom w:val="none" w:sz="0" w:space="0" w:color="auto"/>
            <w:right w:val="none" w:sz="0" w:space="0" w:color="auto"/>
          </w:divBdr>
        </w:div>
      </w:divsChild>
    </w:div>
    <w:div w:id="912815443">
      <w:marLeft w:val="0"/>
      <w:marRight w:val="0"/>
      <w:marTop w:val="0"/>
      <w:marBottom w:val="0"/>
      <w:divBdr>
        <w:top w:val="none" w:sz="0" w:space="0" w:color="auto"/>
        <w:left w:val="none" w:sz="0" w:space="0" w:color="auto"/>
        <w:bottom w:val="none" w:sz="0" w:space="0" w:color="auto"/>
        <w:right w:val="none" w:sz="0" w:space="0" w:color="auto"/>
      </w:divBdr>
      <w:divsChild>
        <w:div w:id="1344816151">
          <w:marLeft w:val="0"/>
          <w:marRight w:val="0"/>
          <w:marTop w:val="0"/>
          <w:marBottom w:val="0"/>
          <w:divBdr>
            <w:top w:val="none" w:sz="0" w:space="0" w:color="auto"/>
            <w:left w:val="none" w:sz="0" w:space="0" w:color="auto"/>
            <w:bottom w:val="none" w:sz="0" w:space="0" w:color="auto"/>
            <w:right w:val="none" w:sz="0" w:space="0" w:color="auto"/>
          </w:divBdr>
        </w:div>
      </w:divsChild>
    </w:div>
    <w:div w:id="913902114">
      <w:marLeft w:val="0"/>
      <w:marRight w:val="0"/>
      <w:marTop w:val="0"/>
      <w:marBottom w:val="0"/>
      <w:divBdr>
        <w:top w:val="none" w:sz="0" w:space="0" w:color="auto"/>
        <w:left w:val="none" w:sz="0" w:space="0" w:color="auto"/>
        <w:bottom w:val="none" w:sz="0" w:space="0" w:color="auto"/>
        <w:right w:val="none" w:sz="0" w:space="0" w:color="auto"/>
      </w:divBdr>
      <w:divsChild>
        <w:div w:id="1129856226">
          <w:marLeft w:val="0"/>
          <w:marRight w:val="0"/>
          <w:marTop w:val="0"/>
          <w:marBottom w:val="0"/>
          <w:divBdr>
            <w:top w:val="none" w:sz="0" w:space="0" w:color="auto"/>
            <w:left w:val="none" w:sz="0" w:space="0" w:color="auto"/>
            <w:bottom w:val="none" w:sz="0" w:space="0" w:color="auto"/>
            <w:right w:val="none" w:sz="0" w:space="0" w:color="auto"/>
          </w:divBdr>
        </w:div>
      </w:divsChild>
    </w:div>
    <w:div w:id="917791988">
      <w:marLeft w:val="0"/>
      <w:marRight w:val="0"/>
      <w:marTop w:val="0"/>
      <w:marBottom w:val="120"/>
      <w:divBdr>
        <w:top w:val="none" w:sz="0" w:space="0" w:color="auto"/>
        <w:left w:val="none" w:sz="0" w:space="0" w:color="auto"/>
        <w:bottom w:val="none" w:sz="0" w:space="0" w:color="auto"/>
        <w:right w:val="none" w:sz="0" w:space="0" w:color="auto"/>
      </w:divBdr>
    </w:div>
    <w:div w:id="925303677">
      <w:marLeft w:val="0"/>
      <w:marRight w:val="0"/>
      <w:marTop w:val="0"/>
      <w:marBottom w:val="240"/>
      <w:divBdr>
        <w:top w:val="none" w:sz="0" w:space="0" w:color="auto"/>
        <w:left w:val="none" w:sz="0" w:space="0" w:color="auto"/>
        <w:bottom w:val="none" w:sz="0" w:space="0" w:color="auto"/>
        <w:right w:val="none" w:sz="0" w:space="0" w:color="auto"/>
      </w:divBdr>
    </w:div>
    <w:div w:id="926888161">
      <w:marLeft w:val="0"/>
      <w:marRight w:val="0"/>
      <w:marTop w:val="0"/>
      <w:marBottom w:val="240"/>
      <w:divBdr>
        <w:top w:val="none" w:sz="0" w:space="0" w:color="auto"/>
        <w:left w:val="none" w:sz="0" w:space="0" w:color="auto"/>
        <w:bottom w:val="none" w:sz="0" w:space="0" w:color="auto"/>
        <w:right w:val="none" w:sz="0" w:space="0" w:color="auto"/>
      </w:divBdr>
    </w:div>
    <w:div w:id="932322495">
      <w:marLeft w:val="0"/>
      <w:marRight w:val="0"/>
      <w:marTop w:val="0"/>
      <w:marBottom w:val="60"/>
      <w:divBdr>
        <w:top w:val="none" w:sz="0" w:space="0" w:color="auto"/>
        <w:left w:val="none" w:sz="0" w:space="0" w:color="auto"/>
        <w:bottom w:val="none" w:sz="0" w:space="0" w:color="auto"/>
        <w:right w:val="none" w:sz="0" w:space="0" w:color="auto"/>
      </w:divBdr>
    </w:div>
    <w:div w:id="932400855">
      <w:marLeft w:val="0"/>
      <w:marRight w:val="0"/>
      <w:marTop w:val="0"/>
      <w:marBottom w:val="0"/>
      <w:divBdr>
        <w:top w:val="none" w:sz="0" w:space="0" w:color="auto"/>
        <w:left w:val="none" w:sz="0" w:space="0" w:color="auto"/>
        <w:bottom w:val="none" w:sz="0" w:space="0" w:color="auto"/>
        <w:right w:val="none" w:sz="0" w:space="0" w:color="auto"/>
      </w:divBdr>
      <w:divsChild>
        <w:div w:id="418406622">
          <w:marLeft w:val="0"/>
          <w:marRight w:val="0"/>
          <w:marTop w:val="0"/>
          <w:marBottom w:val="0"/>
          <w:divBdr>
            <w:top w:val="none" w:sz="0" w:space="0" w:color="auto"/>
            <w:left w:val="none" w:sz="0" w:space="0" w:color="auto"/>
            <w:bottom w:val="none" w:sz="0" w:space="0" w:color="auto"/>
            <w:right w:val="none" w:sz="0" w:space="0" w:color="auto"/>
          </w:divBdr>
        </w:div>
      </w:divsChild>
    </w:div>
    <w:div w:id="934746452">
      <w:marLeft w:val="0"/>
      <w:marRight w:val="0"/>
      <w:marTop w:val="0"/>
      <w:marBottom w:val="0"/>
      <w:divBdr>
        <w:top w:val="none" w:sz="0" w:space="0" w:color="auto"/>
        <w:left w:val="none" w:sz="0" w:space="0" w:color="auto"/>
        <w:bottom w:val="none" w:sz="0" w:space="0" w:color="auto"/>
        <w:right w:val="none" w:sz="0" w:space="0" w:color="auto"/>
      </w:divBdr>
      <w:divsChild>
        <w:div w:id="1469935692">
          <w:marLeft w:val="0"/>
          <w:marRight w:val="0"/>
          <w:marTop w:val="0"/>
          <w:marBottom w:val="0"/>
          <w:divBdr>
            <w:top w:val="none" w:sz="0" w:space="0" w:color="auto"/>
            <w:left w:val="none" w:sz="0" w:space="0" w:color="auto"/>
            <w:bottom w:val="none" w:sz="0" w:space="0" w:color="auto"/>
            <w:right w:val="none" w:sz="0" w:space="0" w:color="auto"/>
          </w:divBdr>
        </w:div>
      </w:divsChild>
    </w:div>
    <w:div w:id="935208381">
      <w:marLeft w:val="0"/>
      <w:marRight w:val="0"/>
      <w:marTop w:val="240"/>
      <w:marBottom w:val="240"/>
      <w:divBdr>
        <w:top w:val="none" w:sz="0" w:space="0" w:color="auto"/>
        <w:left w:val="none" w:sz="0" w:space="0" w:color="auto"/>
        <w:bottom w:val="none" w:sz="0" w:space="0" w:color="auto"/>
        <w:right w:val="none" w:sz="0" w:space="0" w:color="auto"/>
      </w:divBdr>
    </w:div>
    <w:div w:id="936600711">
      <w:marLeft w:val="0"/>
      <w:marRight w:val="0"/>
      <w:marTop w:val="0"/>
      <w:marBottom w:val="0"/>
      <w:divBdr>
        <w:top w:val="none" w:sz="0" w:space="0" w:color="auto"/>
        <w:left w:val="none" w:sz="0" w:space="0" w:color="auto"/>
        <w:bottom w:val="none" w:sz="0" w:space="0" w:color="auto"/>
        <w:right w:val="none" w:sz="0" w:space="0" w:color="auto"/>
      </w:divBdr>
      <w:divsChild>
        <w:div w:id="365757021">
          <w:marLeft w:val="0"/>
          <w:marRight w:val="0"/>
          <w:marTop w:val="0"/>
          <w:marBottom w:val="0"/>
          <w:divBdr>
            <w:top w:val="none" w:sz="0" w:space="0" w:color="auto"/>
            <w:left w:val="none" w:sz="0" w:space="0" w:color="auto"/>
            <w:bottom w:val="none" w:sz="0" w:space="0" w:color="auto"/>
            <w:right w:val="none" w:sz="0" w:space="0" w:color="auto"/>
          </w:divBdr>
        </w:div>
      </w:divsChild>
    </w:div>
    <w:div w:id="948008394">
      <w:marLeft w:val="0"/>
      <w:marRight w:val="0"/>
      <w:marTop w:val="0"/>
      <w:marBottom w:val="60"/>
      <w:divBdr>
        <w:top w:val="none" w:sz="0" w:space="0" w:color="auto"/>
        <w:left w:val="none" w:sz="0" w:space="0" w:color="auto"/>
        <w:bottom w:val="none" w:sz="0" w:space="0" w:color="auto"/>
        <w:right w:val="none" w:sz="0" w:space="0" w:color="auto"/>
      </w:divBdr>
    </w:div>
    <w:div w:id="949505370">
      <w:marLeft w:val="0"/>
      <w:marRight w:val="0"/>
      <w:marTop w:val="0"/>
      <w:marBottom w:val="240"/>
      <w:divBdr>
        <w:top w:val="none" w:sz="0" w:space="0" w:color="auto"/>
        <w:left w:val="none" w:sz="0" w:space="0" w:color="auto"/>
        <w:bottom w:val="none" w:sz="0" w:space="0" w:color="auto"/>
        <w:right w:val="none" w:sz="0" w:space="0" w:color="auto"/>
      </w:divBdr>
    </w:div>
    <w:div w:id="950817413">
      <w:marLeft w:val="0"/>
      <w:marRight w:val="0"/>
      <w:marTop w:val="0"/>
      <w:marBottom w:val="0"/>
      <w:divBdr>
        <w:top w:val="none" w:sz="0" w:space="0" w:color="auto"/>
        <w:left w:val="none" w:sz="0" w:space="0" w:color="auto"/>
        <w:bottom w:val="none" w:sz="0" w:space="0" w:color="auto"/>
        <w:right w:val="none" w:sz="0" w:space="0" w:color="auto"/>
      </w:divBdr>
    </w:div>
    <w:div w:id="951058883">
      <w:marLeft w:val="0"/>
      <w:marRight w:val="0"/>
      <w:marTop w:val="0"/>
      <w:marBottom w:val="240"/>
      <w:divBdr>
        <w:top w:val="none" w:sz="0" w:space="0" w:color="auto"/>
        <w:left w:val="none" w:sz="0" w:space="0" w:color="auto"/>
        <w:bottom w:val="none" w:sz="0" w:space="0" w:color="auto"/>
        <w:right w:val="none" w:sz="0" w:space="0" w:color="auto"/>
      </w:divBdr>
    </w:div>
    <w:div w:id="953639508">
      <w:marLeft w:val="0"/>
      <w:marRight w:val="0"/>
      <w:marTop w:val="0"/>
      <w:marBottom w:val="0"/>
      <w:divBdr>
        <w:top w:val="none" w:sz="0" w:space="0" w:color="auto"/>
        <w:left w:val="none" w:sz="0" w:space="0" w:color="auto"/>
        <w:bottom w:val="none" w:sz="0" w:space="0" w:color="auto"/>
        <w:right w:val="none" w:sz="0" w:space="0" w:color="auto"/>
      </w:divBdr>
      <w:divsChild>
        <w:div w:id="1650359112">
          <w:marLeft w:val="0"/>
          <w:marRight w:val="0"/>
          <w:marTop w:val="0"/>
          <w:marBottom w:val="0"/>
          <w:divBdr>
            <w:top w:val="none" w:sz="0" w:space="0" w:color="auto"/>
            <w:left w:val="none" w:sz="0" w:space="0" w:color="auto"/>
            <w:bottom w:val="none" w:sz="0" w:space="0" w:color="auto"/>
            <w:right w:val="none" w:sz="0" w:space="0" w:color="auto"/>
          </w:divBdr>
        </w:div>
      </w:divsChild>
    </w:div>
    <w:div w:id="960696097">
      <w:marLeft w:val="0"/>
      <w:marRight w:val="0"/>
      <w:marTop w:val="0"/>
      <w:marBottom w:val="240"/>
      <w:divBdr>
        <w:top w:val="none" w:sz="0" w:space="0" w:color="auto"/>
        <w:left w:val="none" w:sz="0" w:space="0" w:color="auto"/>
        <w:bottom w:val="none" w:sz="0" w:space="0" w:color="auto"/>
        <w:right w:val="none" w:sz="0" w:space="0" w:color="auto"/>
      </w:divBdr>
    </w:div>
    <w:div w:id="965509005">
      <w:marLeft w:val="0"/>
      <w:marRight w:val="0"/>
      <w:marTop w:val="0"/>
      <w:marBottom w:val="0"/>
      <w:divBdr>
        <w:top w:val="none" w:sz="0" w:space="0" w:color="auto"/>
        <w:left w:val="none" w:sz="0" w:space="0" w:color="auto"/>
        <w:bottom w:val="none" w:sz="0" w:space="0" w:color="auto"/>
        <w:right w:val="none" w:sz="0" w:space="0" w:color="auto"/>
      </w:divBdr>
    </w:div>
    <w:div w:id="966590974">
      <w:marLeft w:val="0"/>
      <w:marRight w:val="0"/>
      <w:marTop w:val="0"/>
      <w:marBottom w:val="60"/>
      <w:divBdr>
        <w:top w:val="none" w:sz="0" w:space="0" w:color="auto"/>
        <w:left w:val="none" w:sz="0" w:space="0" w:color="auto"/>
        <w:bottom w:val="none" w:sz="0" w:space="0" w:color="auto"/>
        <w:right w:val="none" w:sz="0" w:space="0" w:color="auto"/>
      </w:divBdr>
    </w:div>
    <w:div w:id="966593399">
      <w:marLeft w:val="0"/>
      <w:marRight w:val="0"/>
      <w:marTop w:val="0"/>
      <w:marBottom w:val="240"/>
      <w:divBdr>
        <w:top w:val="none" w:sz="0" w:space="0" w:color="auto"/>
        <w:left w:val="none" w:sz="0" w:space="0" w:color="auto"/>
        <w:bottom w:val="none" w:sz="0" w:space="0" w:color="auto"/>
        <w:right w:val="none" w:sz="0" w:space="0" w:color="auto"/>
      </w:divBdr>
    </w:div>
    <w:div w:id="968974859">
      <w:marLeft w:val="0"/>
      <w:marRight w:val="0"/>
      <w:marTop w:val="0"/>
      <w:marBottom w:val="240"/>
      <w:divBdr>
        <w:top w:val="none" w:sz="0" w:space="0" w:color="auto"/>
        <w:left w:val="none" w:sz="0" w:space="0" w:color="auto"/>
        <w:bottom w:val="none" w:sz="0" w:space="0" w:color="auto"/>
        <w:right w:val="none" w:sz="0" w:space="0" w:color="auto"/>
      </w:divBdr>
    </w:div>
    <w:div w:id="971641758">
      <w:marLeft w:val="0"/>
      <w:marRight w:val="0"/>
      <w:marTop w:val="0"/>
      <w:marBottom w:val="0"/>
      <w:divBdr>
        <w:top w:val="none" w:sz="0" w:space="0" w:color="auto"/>
        <w:left w:val="none" w:sz="0" w:space="0" w:color="auto"/>
        <w:bottom w:val="none" w:sz="0" w:space="0" w:color="auto"/>
        <w:right w:val="none" w:sz="0" w:space="0" w:color="auto"/>
      </w:divBdr>
      <w:divsChild>
        <w:div w:id="2007785257">
          <w:marLeft w:val="0"/>
          <w:marRight w:val="0"/>
          <w:marTop w:val="0"/>
          <w:marBottom w:val="0"/>
          <w:divBdr>
            <w:top w:val="none" w:sz="0" w:space="0" w:color="auto"/>
            <w:left w:val="none" w:sz="0" w:space="0" w:color="auto"/>
            <w:bottom w:val="none" w:sz="0" w:space="0" w:color="auto"/>
            <w:right w:val="none" w:sz="0" w:space="0" w:color="auto"/>
          </w:divBdr>
        </w:div>
      </w:divsChild>
    </w:div>
    <w:div w:id="980422833">
      <w:marLeft w:val="0"/>
      <w:marRight w:val="0"/>
      <w:marTop w:val="0"/>
      <w:marBottom w:val="60"/>
      <w:divBdr>
        <w:top w:val="none" w:sz="0" w:space="0" w:color="auto"/>
        <w:left w:val="none" w:sz="0" w:space="0" w:color="auto"/>
        <w:bottom w:val="none" w:sz="0" w:space="0" w:color="auto"/>
        <w:right w:val="none" w:sz="0" w:space="0" w:color="auto"/>
      </w:divBdr>
    </w:div>
    <w:div w:id="983006671">
      <w:marLeft w:val="0"/>
      <w:marRight w:val="0"/>
      <w:marTop w:val="0"/>
      <w:marBottom w:val="80"/>
      <w:divBdr>
        <w:top w:val="none" w:sz="0" w:space="0" w:color="auto"/>
        <w:left w:val="none" w:sz="0" w:space="0" w:color="auto"/>
        <w:bottom w:val="none" w:sz="0" w:space="0" w:color="auto"/>
        <w:right w:val="none" w:sz="0" w:space="0" w:color="auto"/>
      </w:divBdr>
    </w:div>
    <w:div w:id="985939408">
      <w:marLeft w:val="0"/>
      <w:marRight w:val="0"/>
      <w:marTop w:val="0"/>
      <w:marBottom w:val="0"/>
      <w:divBdr>
        <w:top w:val="none" w:sz="0" w:space="0" w:color="auto"/>
        <w:left w:val="none" w:sz="0" w:space="0" w:color="auto"/>
        <w:bottom w:val="none" w:sz="0" w:space="0" w:color="auto"/>
        <w:right w:val="none" w:sz="0" w:space="0" w:color="auto"/>
      </w:divBdr>
      <w:divsChild>
        <w:div w:id="1373532389">
          <w:marLeft w:val="0"/>
          <w:marRight w:val="0"/>
          <w:marTop w:val="0"/>
          <w:marBottom w:val="0"/>
          <w:divBdr>
            <w:top w:val="none" w:sz="0" w:space="0" w:color="auto"/>
            <w:left w:val="none" w:sz="0" w:space="0" w:color="auto"/>
            <w:bottom w:val="none" w:sz="0" w:space="0" w:color="auto"/>
            <w:right w:val="none" w:sz="0" w:space="0" w:color="auto"/>
          </w:divBdr>
        </w:div>
      </w:divsChild>
    </w:div>
    <w:div w:id="991250775">
      <w:marLeft w:val="0"/>
      <w:marRight w:val="0"/>
      <w:marTop w:val="240"/>
      <w:marBottom w:val="0"/>
      <w:divBdr>
        <w:top w:val="none" w:sz="0" w:space="0" w:color="auto"/>
        <w:left w:val="none" w:sz="0" w:space="0" w:color="auto"/>
        <w:bottom w:val="none" w:sz="0" w:space="0" w:color="auto"/>
        <w:right w:val="none" w:sz="0" w:space="0" w:color="auto"/>
      </w:divBdr>
    </w:div>
    <w:div w:id="992880321">
      <w:marLeft w:val="0"/>
      <w:marRight w:val="0"/>
      <w:marTop w:val="0"/>
      <w:marBottom w:val="0"/>
      <w:divBdr>
        <w:top w:val="none" w:sz="0" w:space="0" w:color="auto"/>
        <w:left w:val="none" w:sz="0" w:space="0" w:color="auto"/>
        <w:bottom w:val="none" w:sz="0" w:space="0" w:color="auto"/>
        <w:right w:val="none" w:sz="0" w:space="0" w:color="auto"/>
      </w:divBdr>
      <w:divsChild>
        <w:div w:id="1429306545">
          <w:marLeft w:val="0"/>
          <w:marRight w:val="0"/>
          <w:marTop w:val="0"/>
          <w:marBottom w:val="0"/>
          <w:divBdr>
            <w:top w:val="none" w:sz="0" w:space="0" w:color="auto"/>
            <w:left w:val="none" w:sz="0" w:space="0" w:color="auto"/>
            <w:bottom w:val="none" w:sz="0" w:space="0" w:color="auto"/>
            <w:right w:val="none" w:sz="0" w:space="0" w:color="auto"/>
          </w:divBdr>
        </w:div>
      </w:divsChild>
    </w:div>
    <w:div w:id="993922038">
      <w:marLeft w:val="0"/>
      <w:marRight w:val="0"/>
      <w:marTop w:val="0"/>
      <w:marBottom w:val="0"/>
      <w:divBdr>
        <w:top w:val="none" w:sz="0" w:space="0" w:color="auto"/>
        <w:left w:val="none" w:sz="0" w:space="0" w:color="auto"/>
        <w:bottom w:val="none" w:sz="0" w:space="0" w:color="auto"/>
        <w:right w:val="none" w:sz="0" w:space="0" w:color="auto"/>
      </w:divBdr>
      <w:divsChild>
        <w:div w:id="332148107">
          <w:marLeft w:val="0"/>
          <w:marRight w:val="0"/>
          <w:marTop w:val="0"/>
          <w:marBottom w:val="0"/>
          <w:divBdr>
            <w:top w:val="none" w:sz="0" w:space="0" w:color="auto"/>
            <w:left w:val="none" w:sz="0" w:space="0" w:color="auto"/>
            <w:bottom w:val="none" w:sz="0" w:space="0" w:color="auto"/>
            <w:right w:val="none" w:sz="0" w:space="0" w:color="auto"/>
          </w:divBdr>
        </w:div>
      </w:divsChild>
    </w:div>
    <w:div w:id="993949478">
      <w:marLeft w:val="0"/>
      <w:marRight w:val="0"/>
      <w:marTop w:val="240"/>
      <w:marBottom w:val="240"/>
      <w:divBdr>
        <w:top w:val="none" w:sz="0" w:space="0" w:color="auto"/>
        <w:left w:val="none" w:sz="0" w:space="0" w:color="auto"/>
        <w:bottom w:val="none" w:sz="0" w:space="0" w:color="auto"/>
        <w:right w:val="none" w:sz="0" w:space="0" w:color="auto"/>
      </w:divBdr>
    </w:div>
    <w:div w:id="995039265">
      <w:marLeft w:val="0"/>
      <w:marRight w:val="0"/>
      <w:marTop w:val="0"/>
      <w:marBottom w:val="0"/>
      <w:divBdr>
        <w:top w:val="none" w:sz="0" w:space="0" w:color="auto"/>
        <w:left w:val="none" w:sz="0" w:space="0" w:color="auto"/>
        <w:bottom w:val="none" w:sz="0" w:space="0" w:color="auto"/>
        <w:right w:val="none" w:sz="0" w:space="0" w:color="auto"/>
      </w:divBdr>
      <w:divsChild>
        <w:div w:id="4750506">
          <w:marLeft w:val="0"/>
          <w:marRight w:val="0"/>
          <w:marTop w:val="0"/>
          <w:marBottom w:val="0"/>
          <w:divBdr>
            <w:top w:val="none" w:sz="0" w:space="0" w:color="auto"/>
            <w:left w:val="none" w:sz="0" w:space="0" w:color="auto"/>
            <w:bottom w:val="none" w:sz="0" w:space="0" w:color="auto"/>
            <w:right w:val="none" w:sz="0" w:space="0" w:color="auto"/>
          </w:divBdr>
        </w:div>
      </w:divsChild>
    </w:div>
    <w:div w:id="995304647">
      <w:marLeft w:val="0"/>
      <w:marRight w:val="0"/>
      <w:marTop w:val="0"/>
      <w:marBottom w:val="60"/>
      <w:divBdr>
        <w:top w:val="none" w:sz="0" w:space="0" w:color="auto"/>
        <w:left w:val="none" w:sz="0" w:space="0" w:color="auto"/>
        <w:bottom w:val="none" w:sz="0" w:space="0" w:color="auto"/>
        <w:right w:val="none" w:sz="0" w:space="0" w:color="auto"/>
      </w:divBdr>
    </w:div>
    <w:div w:id="998078623">
      <w:marLeft w:val="0"/>
      <w:marRight w:val="0"/>
      <w:marTop w:val="0"/>
      <w:marBottom w:val="0"/>
      <w:divBdr>
        <w:top w:val="none" w:sz="0" w:space="0" w:color="auto"/>
        <w:left w:val="none" w:sz="0" w:space="0" w:color="auto"/>
        <w:bottom w:val="none" w:sz="0" w:space="0" w:color="auto"/>
        <w:right w:val="none" w:sz="0" w:space="0" w:color="auto"/>
      </w:divBdr>
    </w:div>
    <w:div w:id="999045103">
      <w:marLeft w:val="0"/>
      <w:marRight w:val="0"/>
      <w:marTop w:val="0"/>
      <w:marBottom w:val="240"/>
      <w:divBdr>
        <w:top w:val="none" w:sz="0" w:space="0" w:color="auto"/>
        <w:left w:val="none" w:sz="0" w:space="0" w:color="auto"/>
        <w:bottom w:val="none" w:sz="0" w:space="0" w:color="auto"/>
        <w:right w:val="none" w:sz="0" w:space="0" w:color="auto"/>
      </w:divBdr>
    </w:div>
    <w:div w:id="999775143">
      <w:marLeft w:val="0"/>
      <w:marRight w:val="0"/>
      <w:marTop w:val="0"/>
      <w:marBottom w:val="0"/>
      <w:divBdr>
        <w:top w:val="none" w:sz="0" w:space="0" w:color="auto"/>
        <w:left w:val="none" w:sz="0" w:space="0" w:color="auto"/>
        <w:bottom w:val="none" w:sz="0" w:space="0" w:color="auto"/>
        <w:right w:val="none" w:sz="0" w:space="0" w:color="auto"/>
      </w:divBdr>
      <w:divsChild>
        <w:div w:id="291715975">
          <w:marLeft w:val="0"/>
          <w:marRight w:val="0"/>
          <w:marTop w:val="0"/>
          <w:marBottom w:val="0"/>
          <w:divBdr>
            <w:top w:val="none" w:sz="0" w:space="0" w:color="auto"/>
            <w:left w:val="none" w:sz="0" w:space="0" w:color="auto"/>
            <w:bottom w:val="none" w:sz="0" w:space="0" w:color="auto"/>
            <w:right w:val="none" w:sz="0" w:space="0" w:color="auto"/>
          </w:divBdr>
        </w:div>
      </w:divsChild>
    </w:div>
    <w:div w:id="1000041958">
      <w:marLeft w:val="0"/>
      <w:marRight w:val="0"/>
      <w:marTop w:val="0"/>
      <w:marBottom w:val="240"/>
      <w:divBdr>
        <w:top w:val="none" w:sz="0" w:space="0" w:color="auto"/>
        <w:left w:val="none" w:sz="0" w:space="0" w:color="auto"/>
        <w:bottom w:val="none" w:sz="0" w:space="0" w:color="auto"/>
        <w:right w:val="none" w:sz="0" w:space="0" w:color="auto"/>
      </w:divBdr>
    </w:div>
    <w:div w:id="1005479465">
      <w:marLeft w:val="0"/>
      <w:marRight w:val="0"/>
      <w:marTop w:val="0"/>
      <w:marBottom w:val="0"/>
      <w:divBdr>
        <w:top w:val="none" w:sz="0" w:space="0" w:color="auto"/>
        <w:left w:val="none" w:sz="0" w:space="0" w:color="auto"/>
        <w:bottom w:val="none" w:sz="0" w:space="0" w:color="auto"/>
        <w:right w:val="none" w:sz="0" w:space="0" w:color="auto"/>
      </w:divBdr>
    </w:div>
    <w:div w:id="1006900468">
      <w:marLeft w:val="0"/>
      <w:marRight w:val="0"/>
      <w:marTop w:val="0"/>
      <w:marBottom w:val="0"/>
      <w:divBdr>
        <w:top w:val="none" w:sz="0" w:space="0" w:color="auto"/>
        <w:left w:val="none" w:sz="0" w:space="0" w:color="auto"/>
        <w:bottom w:val="none" w:sz="0" w:space="0" w:color="auto"/>
        <w:right w:val="none" w:sz="0" w:space="0" w:color="auto"/>
      </w:divBdr>
      <w:divsChild>
        <w:div w:id="1979260868">
          <w:marLeft w:val="0"/>
          <w:marRight w:val="0"/>
          <w:marTop w:val="0"/>
          <w:marBottom w:val="0"/>
          <w:divBdr>
            <w:top w:val="none" w:sz="0" w:space="0" w:color="auto"/>
            <w:left w:val="none" w:sz="0" w:space="0" w:color="auto"/>
            <w:bottom w:val="none" w:sz="0" w:space="0" w:color="auto"/>
            <w:right w:val="none" w:sz="0" w:space="0" w:color="auto"/>
          </w:divBdr>
        </w:div>
      </w:divsChild>
    </w:div>
    <w:div w:id="1006979212">
      <w:marLeft w:val="0"/>
      <w:marRight w:val="0"/>
      <w:marTop w:val="0"/>
      <w:marBottom w:val="240"/>
      <w:divBdr>
        <w:top w:val="none" w:sz="0" w:space="0" w:color="auto"/>
        <w:left w:val="none" w:sz="0" w:space="0" w:color="auto"/>
        <w:bottom w:val="none" w:sz="0" w:space="0" w:color="auto"/>
        <w:right w:val="none" w:sz="0" w:space="0" w:color="auto"/>
      </w:divBdr>
    </w:div>
    <w:div w:id="1008404889">
      <w:marLeft w:val="0"/>
      <w:marRight w:val="0"/>
      <w:marTop w:val="0"/>
      <w:marBottom w:val="60"/>
      <w:divBdr>
        <w:top w:val="none" w:sz="0" w:space="0" w:color="auto"/>
        <w:left w:val="none" w:sz="0" w:space="0" w:color="auto"/>
        <w:bottom w:val="none" w:sz="0" w:space="0" w:color="auto"/>
        <w:right w:val="none" w:sz="0" w:space="0" w:color="auto"/>
      </w:divBdr>
    </w:div>
    <w:div w:id="1010139131">
      <w:marLeft w:val="0"/>
      <w:marRight w:val="0"/>
      <w:marTop w:val="0"/>
      <w:marBottom w:val="60"/>
      <w:divBdr>
        <w:top w:val="none" w:sz="0" w:space="0" w:color="auto"/>
        <w:left w:val="none" w:sz="0" w:space="0" w:color="auto"/>
        <w:bottom w:val="none" w:sz="0" w:space="0" w:color="auto"/>
        <w:right w:val="none" w:sz="0" w:space="0" w:color="auto"/>
      </w:divBdr>
    </w:div>
    <w:div w:id="1010369677">
      <w:marLeft w:val="0"/>
      <w:marRight w:val="0"/>
      <w:marTop w:val="0"/>
      <w:marBottom w:val="240"/>
      <w:divBdr>
        <w:top w:val="none" w:sz="0" w:space="0" w:color="auto"/>
        <w:left w:val="none" w:sz="0" w:space="0" w:color="auto"/>
        <w:bottom w:val="none" w:sz="0" w:space="0" w:color="auto"/>
        <w:right w:val="none" w:sz="0" w:space="0" w:color="auto"/>
      </w:divBdr>
    </w:div>
    <w:div w:id="1012997381">
      <w:marLeft w:val="0"/>
      <w:marRight w:val="0"/>
      <w:marTop w:val="0"/>
      <w:marBottom w:val="60"/>
      <w:divBdr>
        <w:top w:val="none" w:sz="0" w:space="0" w:color="auto"/>
        <w:left w:val="none" w:sz="0" w:space="0" w:color="auto"/>
        <w:bottom w:val="none" w:sz="0" w:space="0" w:color="auto"/>
        <w:right w:val="none" w:sz="0" w:space="0" w:color="auto"/>
      </w:divBdr>
    </w:div>
    <w:div w:id="1015421039">
      <w:marLeft w:val="0"/>
      <w:marRight w:val="0"/>
      <w:marTop w:val="0"/>
      <w:marBottom w:val="240"/>
      <w:divBdr>
        <w:top w:val="none" w:sz="0" w:space="0" w:color="auto"/>
        <w:left w:val="none" w:sz="0" w:space="0" w:color="auto"/>
        <w:bottom w:val="none" w:sz="0" w:space="0" w:color="auto"/>
        <w:right w:val="none" w:sz="0" w:space="0" w:color="auto"/>
      </w:divBdr>
    </w:div>
    <w:div w:id="1017461008">
      <w:marLeft w:val="0"/>
      <w:marRight w:val="0"/>
      <w:marTop w:val="0"/>
      <w:marBottom w:val="240"/>
      <w:divBdr>
        <w:top w:val="none" w:sz="0" w:space="0" w:color="auto"/>
        <w:left w:val="none" w:sz="0" w:space="0" w:color="auto"/>
        <w:bottom w:val="none" w:sz="0" w:space="0" w:color="auto"/>
        <w:right w:val="none" w:sz="0" w:space="0" w:color="auto"/>
      </w:divBdr>
    </w:div>
    <w:div w:id="1019282580">
      <w:marLeft w:val="0"/>
      <w:marRight w:val="0"/>
      <w:marTop w:val="0"/>
      <w:marBottom w:val="0"/>
      <w:divBdr>
        <w:top w:val="none" w:sz="0" w:space="0" w:color="auto"/>
        <w:left w:val="none" w:sz="0" w:space="0" w:color="auto"/>
        <w:bottom w:val="none" w:sz="0" w:space="0" w:color="auto"/>
        <w:right w:val="none" w:sz="0" w:space="0" w:color="auto"/>
      </w:divBdr>
      <w:divsChild>
        <w:div w:id="1784878340">
          <w:marLeft w:val="0"/>
          <w:marRight w:val="0"/>
          <w:marTop w:val="0"/>
          <w:marBottom w:val="0"/>
          <w:divBdr>
            <w:top w:val="none" w:sz="0" w:space="0" w:color="auto"/>
            <w:left w:val="none" w:sz="0" w:space="0" w:color="auto"/>
            <w:bottom w:val="none" w:sz="0" w:space="0" w:color="auto"/>
            <w:right w:val="none" w:sz="0" w:space="0" w:color="auto"/>
          </w:divBdr>
        </w:div>
      </w:divsChild>
    </w:div>
    <w:div w:id="1023242197">
      <w:marLeft w:val="0"/>
      <w:marRight w:val="0"/>
      <w:marTop w:val="200"/>
      <w:marBottom w:val="0"/>
      <w:divBdr>
        <w:top w:val="none" w:sz="0" w:space="0" w:color="auto"/>
        <w:left w:val="none" w:sz="0" w:space="0" w:color="auto"/>
        <w:bottom w:val="none" w:sz="0" w:space="0" w:color="auto"/>
        <w:right w:val="none" w:sz="0" w:space="0" w:color="auto"/>
      </w:divBdr>
    </w:div>
    <w:div w:id="1025060524">
      <w:marLeft w:val="0"/>
      <w:marRight w:val="0"/>
      <w:marTop w:val="0"/>
      <w:marBottom w:val="120"/>
      <w:divBdr>
        <w:top w:val="none" w:sz="0" w:space="0" w:color="auto"/>
        <w:left w:val="none" w:sz="0" w:space="0" w:color="auto"/>
        <w:bottom w:val="none" w:sz="0" w:space="0" w:color="auto"/>
        <w:right w:val="none" w:sz="0" w:space="0" w:color="auto"/>
      </w:divBdr>
    </w:div>
    <w:div w:id="1025449613">
      <w:marLeft w:val="0"/>
      <w:marRight w:val="0"/>
      <w:marTop w:val="0"/>
      <w:marBottom w:val="0"/>
      <w:divBdr>
        <w:top w:val="none" w:sz="0" w:space="0" w:color="auto"/>
        <w:left w:val="none" w:sz="0" w:space="0" w:color="auto"/>
        <w:bottom w:val="none" w:sz="0" w:space="0" w:color="auto"/>
        <w:right w:val="none" w:sz="0" w:space="0" w:color="auto"/>
      </w:divBdr>
      <w:divsChild>
        <w:div w:id="1554386162">
          <w:marLeft w:val="0"/>
          <w:marRight w:val="0"/>
          <w:marTop w:val="0"/>
          <w:marBottom w:val="0"/>
          <w:divBdr>
            <w:top w:val="none" w:sz="0" w:space="0" w:color="auto"/>
            <w:left w:val="none" w:sz="0" w:space="0" w:color="auto"/>
            <w:bottom w:val="none" w:sz="0" w:space="0" w:color="auto"/>
            <w:right w:val="none" w:sz="0" w:space="0" w:color="auto"/>
          </w:divBdr>
        </w:div>
      </w:divsChild>
    </w:div>
    <w:div w:id="1027751375">
      <w:marLeft w:val="0"/>
      <w:marRight w:val="0"/>
      <w:marTop w:val="0"/>
      <w:marBottom w:val="0"/>
      <w:divBdr>
        <w:top w:val="none" w:sz="0" w:space="0" w:color="auto"/>
        <w:left w:val="none" w:sz="0" w:space="0" w:color="auto"/>
        <w:bottom w:val="none" w:sz="0" w:space="0" w:color="auto"/>
        <w:right w:val="none" w:sz="0" w:space="0" w:color="auto"/>
      </w:divBdr>
    </w:div>
    <w:div w:id="1028489044">
      <w:marLeft w:val="0"/>
      <w:marRight w:val="0"/>
      <w:marTop w:val="0"/>
      <w:marBottom w:val="0"/>
      <w:divBdr>
        <w:top w:val="none" w:sz="0" w:space="0" w:color="auto"/>
        <w:left w:val="none" w:sz="0" w:space="0" w:color="auto"/>
        <w:bottom w:val="none" w:sz="0" w:space="0" w:color="auto"/>
        <w:right w:val="none" w:sz="0" w:space="0" w:color="auto"/>
      </w:divBdr>
      <w:divsChild>
        <w:div w:id="1009481731">
          <w:marLeft w:val="0"/>
          <w:marRight w:val="0"/>
          <w:marTop w:val="0"/>
          <w:marBottom w:val="0"/>
          <w:divBdr>
            <w:top w:val="none" w:sz="0" w:space="0" w:color="auto"/>
            <w:left w:val="none" w:sz="0" w:space="0" w:color="auto"/>
            <w:bottom w:val="none" w:sz="0" w:space="0" w:color="auto"/>
            <w:right w:val="none" w:sz="0" w:space="0" w:color="auto"/>
          </w:divBdr>
        </w:div>
      </w:divsChild>
    </w:div>
    <w:div w:id="1036276006">
      <w:marLeft w:val="0"/>
      <w:marRight w:val="0"/>
      <w:marTop w:val="0"/>
      <w:marBottom w:val="240"/>
      <w:divBdr>
        <w:top w:val="none" w:sz="0" w:space="0" w:color="auto"/>
        <w:left w:val="none" w:sz="0" w:space="0" w:color="auto"/>
        <w:bottom w:val="none" w:sz="0" w:space="0" w:color="auto"/>
        <w:right w:val="none" w:sz="0" w:space="0" w:color="auto"/>
      </w:divBdr>
    </w:div>
    <w:div w:id="1037125390">
      <w:marLeft w:val="0"/>
      <w:marRight w:val="0"/>
      <w:marTop w:val="0"/>
      <w:marBottom w:val="0"/>
      <w:divBdr>
        <w:top w:val="none" w:sz="0" w:space="0" w:color="auto"/>
        <w:left w:val="none" w:sz="0" w:space="0" w:color="auto"/>
        <w:bottom w:val="none" w:sz="0" w:space="0" w:color="auto"/>
        <w:right w:val="none" w:sz="0" w:space="0" w:color="auto"/>
      </w:divBdr>
      <w:divsChild>
        <w:div w:id="1773934689">
          <w:marLeft w:val="0"/>
          <w:marRight w:val="0"/>
          <w:marTop w:val="0"/>
          <w:marBottom w:val="0"/>
          <w:divBdr>
            <w:top w:val="none" w:sz="0" w:space="0" w:color="auto"/>
            <w:left w:val="none" w:sz="0" w:space="0" w:color="auto"/>
            <w:bottom w:val="none" w:sz="0" w:space="0" w:color="auto"/>
            <w:right w:val="none" w:sz="0" w:space="0" w:color="auto"/>
          </w:divBdr>
        </w:div>
      </w:divsChild>
    </w:div>
    <w:div w:id="1043946448">
      <w:marLeft w:val="0"/>
      <w:marRight w:val="0"/>
      <w:marTop w:val="0"/>
      <w:marBottom w:val="0"/>
      <w:divBdr>
        <w:top w:val="none" w:sz="0" w:space="0" w:color="auto"/>
        <w:left w:val="none" w:sz="0" w:space="0" w:color="auto"/>
        <w:bottom w:val="none" w:sz="0" w:space="0" w:color="auto"/>
        <w:right w:val="none" w:sz="0" w:space="0" w:color="auto"/>
      </w:divBdr>
      <w:divsChild>
        <w:div w:id="462499685">
          <w:marLeft w:val="0"/>
          <w:marRight w:val="0"/>
          <w:marTop w:val="0"/>
          <w:marBottom w:val="0"/>
          <w:divBdr>
            <w:top w:val="none" w:sz="0" w:space="0" w:color="auto"/>
            <w:left w:val="none" w:sz="0" w:space="0" w:color="auto"/>
            <w:bottom w:val="none" w:sz="0" w:space="0" w:color="auto"/>
            <w:right w:val="none" w:sz="0" w:space="0" w:color="auto"/>
          </w:divBdr>
        </w:div>
      </w:divsChild>
    </w:div>
    <w:div w:id="1047491234">
      <w:marLeft w:val="0"/>
      <w:marRight w:val="0"/>
      <w:marTop w:val="0"/>
      <w:marBottom w:val="0"/>
      <w:divBdr>
        <w:top w:val="none" w:sz="0" w:space="0" w:color="auto"/>
        <w:left w:val="none" w:sz="0" w:space="0" w:color="auto"/>
        <w:bottom w:val="none" w:sz="0" w:space="0" w:color="auto"/>
        <w:right w:val="none" w:sz="0" w:space="0" w:color="auto"/>
      </w:divBdr>
    </w:div>
    <w:div w:id="1048146632">
      <w:marLeft w:val="0"/>
      <w:marRight w:val="0"/>
      <w:marTop w:val="0"/>
      <w:marBottom w:val="0"/>
      <w:divBdr>
        <w:top w:val="none" w:sz="0" w:space="0" w:color="auto"/>
        <w:left w:val="none" w:sz="0" w:space="0" w:color="auto"/>
        <w:bottom w:val="none" w:sz="0" w:space="0" w:color="auto"/>
        <w:right w:val="none" w:sz="0" w:space="0" w:color="auto"/>
      </w:divBdr>
      <w:divsChild>
        <w:div w:id="727147258">
          <w:marLeft w:val="0"/>
          <w:marRight w:val="0"/>
          <w:marTop w:val="0"/>
          <w:marBottom w:val="0"/>
          <w:divBdr>
            <w:top w:val="none" w:sz="0" w:space="0" w:color="auto"/>
            <w:left w:val="none" w:sz="0" w:space="0" w:color="auto"/>
            <w:bottom w:val="none" w:sz="0" w:space="0" w:color="auto"/>
            <w:right w:val="none" w:sz="0" w:space="0" w:color="auto"/>
          </w:divBdr>
        </w:div>
      </w:divsChild>
    </w:div>
    <w:div w:id="1051346153">
      <w:marLeft w:val="0"/>
      <w:marRight w:val="0"/>
      <w:marTop w:val="0"/>
      <w:marBottom w:val="0"/>
      <w:divBdr>
        <w:top w:val="none" w:sz="0" w:space="0" w:color="auto"/>
        <w:left w:val="none" w:sz="0" w:space="0" w:color="auto"/>
        <w:bottom w:val="none" w:sz="0" w:space="0" w:color="auto"/>
        <w:right w:val="none" w:sz="0" w:space="0" w:color="auto"/>
      </w:divBdr>
    </w:div>
    <w:div w:id="1052922742">
      <w:marLeft w:val="0"/>
      <w:marRight w:val="0"/>
      <w:marTop w:val="0"/>
      <w:marBottom w:val="240"/>
      <w:divBdr>
        <w:top w:val="none" w:sz="0" w:space="0" w:color="auto"/>
        <w:left w:val="none" w:sz="0" w:space="0" w:color="auto"/>
        <w:bottom w:val="none" w:sz="0" w:space="0" w:color="auto"/>
        <w:right w:val="none" w:sz="0" w:space="0" w:color="auto"/>
      </w:divBdr>
    </w:div>
    <w:div w:id="1058019357">
      <w:marLeft w:val="0"/>
      <w:marRight w:val="0"/>
      <w:marTop w:val="0"/>
      <w:marBottom w:val="120"/>
      <w:divBdr>
        <w:top w:val="none" w:sz="0" w:space="0" w:color="auto"/>
        <w:left w:val="none" w:sz="0" w:space="0" w:color="auto"/>
        <w:bottom w:val="none" w:sz="0" w:space="0" w:color="auto"/>
        <w:right w:val="none" w:sz="0" w:space="0" w:color="auto"/>
      </w:divBdr>
    </w:div>
    <w:div w:id="1059133542">
      <w:marLeft w:val="0"/>
      <w:marRight w:val="0"/>
      <w:marTop w:val="0"/>
      <w:marBottom w:val="60"/>
      <w:divBdr>
        <w:top w:val="none" w:sz="0" w:space="0" w:color="auto"/>
        <w:left w:val="none" w:sz="0" w:space="0" w:color="auto"/>
        <w:bottom w:val="none" w:sz="0" w:space="0" w:color="auto"/>
        <w:right w:val="none" w:sz="0" w:space="0" w:color="auto"/>
      </w:divBdr>
    </w:div>
    <w:div w:id="1060863720">
      <w:marLeft w:val="0"/>
      <w:marRight w:val="0"/>
      <w:marTop w:val="0"/>
      <w:marBottom w:val="240"/>
      <w:divBdr>
        <w:top w:val="none" w:sz="0" w:space="0" w:color="auto"/>
        <w:left w:val="none" w:sz="0" w:space="0" w:color="auto"/>
        <w:bottom w:val="none" w:sz="0" w:space="0" w:color="auto"/>
        <w:right w:val="none" w:sz="0" w:space="0" w:color="auto"/>
      </w:divBdr>
    </w:div>
    <w:div w:id="1060977822">
      <w:marLeft w:val="0"/>
      <w:marRight w:val="0"/>
      <w:marTop w:val="0"/>
      <w:marBottom w:val="0"/>
      <w:divBdr>
        <w:top w:val="none" w:sz="0" w:space="0" w:color="auto"/>
        <w:left w:val="none" w:sz="0" w:space="0" w:color="auto"/>
        <w:bottom w:val="none" w:sz="0" w:space="0" w:color="auto"/>
        <w:right w:val="none" w:sz="0" w:space="0" w:color="auto"/>
      </w:divBdr>
      <w:divsChild>
        <w:div w:id="422411234">
          <w:marLeft w:val="0"/>
          <w:marRight w:val="0"/>
          <w:marTop w:val="0"/>
          <w:marBottom w:val="0"/>
          <w:divBdr>
            <w:top w:val="none" w:sz="0" w:space="0" w:color="auto"/>
            <w:left w:val="none" w:sz="0" w:space="0" w:color="auto"/>
            <w:bottom w:val="none" w:sz="0" w:space="0" w:color="auto"/>
            <w:right w:val="none" w:sz="0" w:space="0" w:color="auto"/>
          </w:divBdr>
        </w:div>
      </w:divsChild>
    </w:div>
    <w:div w:id="1061175571">
      <w:marLeft w:val="0"/>
      <w:marRight w:val="0"/>
      <w:marTop w:val="0"/>
      <w:marBottom w:val="0"/>
      <w:divBdr>
        <w:top w:val="none" w:sz="0" w:space="0" w:color="auto"/>
        <w:left w:val="none" w:sz="0" w:space="0" w:color="auto"/>
        <w:bottom w:val="none" w:sz="0" w:space="0" w:color="auto"/>
        <w:right w:val="none" w:sz="0" w:space="0" w:color="auto"/>
      </w:divBdr>
    </w:div>
    <w:div w:id="1066610021">
      <w:marLeft w:val="0"/>
      <w:marRight w:val="0"/>
      <w:marTop w:val="0"/>
      <w:marBottom w:val="120"/>
      <w:divBdr>
        <w:top w:val="none" w:sz="0" w:space="0" w:color="auto"/>
        <w:left w:val="none" w:sz="0" w:space="0" w:color="auto"/>
        <w:bottom w:val="none" w:sz="0" w:space="0" w:color="auto"/>
        <w:right w:val="none" w:sz="0" w:space="0" w:color="auto"/>
      </w:divBdr>
    </w:div>
    <w:div w:id="1069307744">
      <w:marLeft w:val="0"/>
      <w:marRight w:val="0"/>
      <w:marTop w:val="0"/>
      <w:marBottom w:val="60"/>
      <w:divBdr>
        <w:top w:val="none" w:sz="0" w:space="0" w:color="auto"/>
        <w:left w:val="none" w:sz="0" w:space="0" w:color="auto"/>
        <w:bottom w:val="none" w:sz="0" w:space="0" w:color="auto"/>
        <w:right w:val="none" w:sz="0" w:space="0" w:color="auto"/>
      </w:divBdr>
    </w:div>
    <w:div w:id="1069426537">
      <w:marLeft w:val="0"/>
      <w:marRight w:val="0"/>
      <w:marTop w:val="0"/>
      <w:marBottom w:val="240"/>
      <w:divBdr>
        <w:top w:val="none" w:sz="0" w:space="0" w:color="auto"/>
        <w:left w:val="none" w:sz="0" w:space="0" w:color="auto"/>
        <w:bottom w:val="none" w:sz="0" w:space="0" w:color="auto"/>
        <w:right w:val="none" w:sz="0" w:space="0" w:color="auto"/>
      </w:divBdr>
    </w:div>
    <w:div w:id="1069811307">
      <w:marLeft w:val="0"/>
      <w:marRight w:val="0"/>
      <w:marTop w:val="0"/>
      <w:marBottom w:val="0"/>
      <w:divBdr>
        <w:top w:val="none" w:sz="0" w:space="0" w:color="auto"/>
        <w:left w:val="none" w:sz="0" w:space="0" w:color="auto"/>
        <w:bottom w:val="none" w:sz="0" w:space="0" w:color="auto"/>
        <w:right w:val="none" w:sz="0" w:space="0" w:color="auto"/>
      </w:divBdr>
      <w:divsChild>
        <w:div w:id="1013842499">
          <w:marLeft w:val="0"/>
          <w:marRight w:val="0"/>
          <w:marTop w:val="0"/>
          <w:marBottom w:val="0"/>
          <w:divBdr>
            <w:top w:val="none" w:sz="0" w:space="0" w:color="auto"/>
            <w:left w:val="none" w:sz="0" w:space="0" w:color="auto"/>
            <w:bottom w:val="none" w:sz="0" w:space="0" w:color="auto"/>
            <w:right w:val="none" w:sz="0" w:space="0" w:color="auto"/>
          </w:divBdr>
        </w:div>
      </w:divsChild>
    </w:div>
    <w:div w:id="1070269090">
      <w:marLeft w:val="0"/>
      <w:marRight w:val="0"/>
      <w:marTop w:val="200"/>
      <w:marBottom w:val="240"/>
      <w:divBdr>
        <w:top w:val="none" w:sz="0" w:space="0" w:color="auto"/>
        <w:left w:val="none" w:sz="0" w:space="0" w:color="auto"/>
        <w:bottom w:val="none" w:sz="0" w:space="0" w:color="auto"/>
        <w:right w:val="none" w:sz="0" w:space="0" w:color="auto"/>
      </w:divBdr>
    </w:div>
    <w:div w:id="1073117247">
      <w:marLeft w:val="0"/>
      <w:marRight w:val="0"/>
      <w:marTop w:val="0"/>
      <w:marBottom w:val="0"/>
      <w:divBdr>
        <w:top w:val="none" w:sz="0" w:space="0" w:color="auto"/>
        <w:left w:val="none" w:sz="0" w:space="0" w:color="auto"/>
        <w:bottom w:val="none" w:sz="0" w:space="0" w:color="auto"/>
        <w:right w:val="none" w:sz="0" w:space="0" w:color="auto"/>
      </w:divBdr>
    </w:div>
    <w:div w:id="1074888399">
      <w:marLeft w:val="0"/>
      <w:marRight w:val="0"/>
      <w:marTop w:val="0"/>
      <w:marBottom w:val="240"/>
      <w:divBdr>
        <w:top w:val="none" w:sz="0" w:space="0" w:color="auto"/>
        <w:left w:val="none" w:sz="0" w:space="0" w:color="auto"/>
        <w:bottom w:val="none" w:sz="0" w:space="0" w:color="auto"/>
        <w:right w:val="none" w:sz="0" w:space="0" w:color="auto"/>
      </w:divBdr>
    </w:div>
    <w:div w:id="1075083705">
      <w:marLeft w:val="0"/>
      <w:marRight w:val="0"/>
      <w:marTop w:val="0"/>
      <w:marBottom w:val="240"/>
      <w:divBdr>
        <w:top w:val="none" w:sz="0" w:space="0" w:color="auto"/>
        <w:left w:val="none" w:sz="0" w:space="0" w:color="auto"/>
        <w:bottom w:val="none" w:sz="0" w:space="0" w:color="auto"/>
        <w:right w:val="none" w:sz="0" w:space="0" w:color="auto"/>
      </w:divBdr>
    </w:div>
    <w:div w:id="1080717764">
      <w:marLeft w:val="0"/>
      <w:marRight w:val="0"/>
      <w:marTop w:val="0"/>
      <w:marBottom w:val="240"/>
      <w:divBdr>
        <w:top w:val="none" w:sz="0" w:space="0" w:color="auto"/>
        <w:left w:val="none" w:sz="0" w:space="0" w:color="auto"/>
        <w:bottom w:val="none" w:sz="0" w:space="0" w:color="auto"/>
        <w:right w:val="none" w:sz="0" w:space="0" w:color="auto"/>
      </w:divBdr>
    </w:div>
    <w:div w:id="1083916666">
      <w:marLeft w:val="0"/>
      <w:marRight w:val="0"/>
      <w:marTop w:val="0"/>
      <w:marBottom w:val="0"/>
      <w:divBdr>
        <w:top w:val="none" w:sz="0" w:space="0" w:color="auto"/>
        <w:left w:val="none" w:sz="0" w:space="0" w:color="auto"/>
        <w:bottom w:val="none" w:sz="0" w:space="0" w:color="auto"/>
        <w:right w:val="none" w:sz="0" w:space="0" w:color="auto"/>
      </w:divBdr>
    </w:div>
    <w:div w:id="1088188551">
      <w:marLeft w:val="0"/>
      <w:marRight w:val="0"/>
      <w:marTop w:val="0"/>
      <w:marBottom w:val="0"/>
      <w:divBdr>
        <w:top w:val="none" w:sz="0" w:space="0" w:color="auto"/>
        <w:left w:val="none" w:sz="0" w:space="0" w:color="auto"/>
        <w:bottom w:val="none" w:sz="0" w:space="0" w:color="auto"/>
        <w:right w:val="none" w:sz="0" w:space="0" w:color="auto"/>
      </w:divBdr>
    </w:div>
    <w:div w:id="1090349343">
      <w:marLeft w:val="0"/>
      <w:marRight w:val="0"/>
      <w:marTop w:val="0"/>
      <w:marBottom w:val="240"/>
      <w:divBdr>
        <w:top w:val="none" w:sz="0" w:space="0" w:color="auto"/>
        <w:left w:val="none" w:sz="0" w:space="0" w:color="auto"/>
        <w:bottom w:val="none" w:sz="0" w:space="0" w:color="auto"/>
        <w:right w:val="none" w:sz="0" w:space="0" w:color="auto"/>
      </w:divBdr>
    </w:div>
    <w:div w:id="1092622493">
      <w:marLeft w:val="0"/>
      <w:marRight w:val="0"/>
      <w:marTop w:val="0"/>
      <w:marBottom w:val="240"/>
      <w:divBdr>
        <w:top w:val="none" w:sz="0" w:space="0" w:color="auto"/>
        <w:left w:val="none" w:sz="0" w:space="0" w:color="auto"/>
        <w:bottom w:val="none" w:sz="0" w:space="0" w:color="auto"/>
        <w:right w:val="none" w:sz="0" w:space="0" w:color="auto"/>
      </w:divBdr>
    </w:div>
    <w:div w:id="1099061508">
      <w:marLeft w:val="0"/>
      <w:marRight w:val="0"/>
      <w:marTop w:val="0"/>
      <w:marBottom w:val="0"/>
      <w:divBdr>
        <w:top w:val="none" w:sz="0" w:space="0" w:color="auto"/>
        <w:left w:val="none" w:sz="0" w:space="0" w:color="auto"/>
        <w:bottom w:val="none" w:sz="0" w:space="0" w:color="auto"/>
        <w:right w:val="none" w:sz="0" w:space="0" w:color="auto"/>
      </w:divBdr>
    </w:div>
    <w:div w:id="1100100118">
      <w:marLeft w:val="0"/>
      <w:marRight w:val="0"/>
      <w:marTop w:val="0"/>
      <w:marBottom w:val="240"/>
      <w:divBdr>
        <w:top w:val="none" w:sz="0" w:space="0" w:color="auto"/>
        <w:left w:val="none" w:sz="0" w:space="0" w:color="auto"/>
        <w:bottom w:val="none" w:sz="0" w:space="0" w:color="auto"/>
        <w:right w:val="none" w:sz="0" w:space="0" w:color="auto"/>
      </w:divBdr>
    </w:div>
    <w:div w:id="1104304417">
      <w:marLeft w:val="0"/>
      <w:marRight w:val="0"/>
      <w:marTop w:val="0"/>
      <w:marBottom w:val="0"/>
      <w:divBdr>
        <w:top w:val="none" w:sz="0" w:space="0" w:color="auto"/>
        <w:left w:val="none" w:sz="0" w:space="0" w:color="auto"/>
        <w:bottom w:val="none" w:sz="0" w:space="0" w:color="auto"/>
        <w:right w:val="none" w:sz="0" w:space="0" w:color="auto"/>
      </w:divBdr>
      <w:divsChild>
        <w:div w:id="1019309008">
          <w:marLeft w:val="0"/>
          <w:marRight w:val="0"/>
          <w:marTop w:val="0"/>
          <w:marBottom w:val="0"/>
          <w:divBdr>
            <w:top w:val="none" w:sz="0" w:space="0" w:color="auto"/>
            <w:left w:val="none" w:sz="0" w:space="0" w:color="auto"/>
            <w:bottom w:val="none" w:sz="0" w:space="0" w:color="auto"/>
            <w:right w:val="none" w:sz="0" w:space="0" w:color="auto"/>
          </w:divBdr>
        </w:div>
      </w:divsChild>
    </w:div>
    <w:div w:id="1104613286">
      <w:marLeft w:val="0"/>
      <w:marRight w:val="0"/>
      <w:marTop w:val="0"/>
      <w:marBottom w:val="0"/>
      <w:divBdr>
        <w:top w:val="none" w:sz="0" w:space="0" w:color="auto"/>
        <w:left w:val="none" w:sz="0" w:space="0" w:color="auto"/>
        <w:bottom w:val="none" w:sz="0" w:space="0" w:color="auto"/>
        <w:right w:val="none" w:sz="0" w:space="0" w:color="auto"/>
      </w:divBdr>
    </w:div>
    <w:div w:id="1105462745">
      <w:marLeft w:val="0"/>
      <w:marRight w:val="0"/>
      <w:marTop w:val="0"/>
      <w:marBottom w:val="0"/>
      <w:divBdr>
        <w:top w:val="none" w:sz="0" w:space="0" w:color="auto"/>
        <w:left w:val="none" w:sz="0" w:space="0" w:color="auto"/>
        <w:bottom w:val="none" w:sz="0" w:space="0" w:color="auto"/>
        <w:right w:val="none" w:sz="0" w:space="0" w:color="auto"/>
      </w:divBdr>
      <w:divsChild>
        <w:div w:id="1521355538">
          <w:marLeft w:val="0"/>
          <w:marRight w:val="0"/>
          <w:marTop w:val="0"/>
          <w:marBottom w:val="0"/>
          <w:divBdr>
            <w:top w:val="none" w:sz="0" w:space="0" w:color="auto"/>
            <w:left w:val="none" w:sz="0" w:space="0" w:color="auto"/>
            <w:bottom w:val="none" w:sz="0" w:space="0" w:color="auto"/>
            <w:right w:val="none" w:sz="0" w:space="0" w:color="auto"/>
          </w:divBdr>
        </w:div>
      </w:divsChild>
    </w:div>
    <w:div w:id="1105615970">
      <w:marLeft w:val="0"/>
      <w:marRight w:val="0"/>
      <w:marTop w:val="0"/>
      <w:marBottom w:val="240"/>
      <w:divBdr>
        <w:top w:val="none" w:sz="0" w:space="0" w:color="auto"/>
        <w:left w:val="none" w:sz="0" w:space="0" w:color="auto"/>
        <w:bottom w:val="none" w:sz="0" w:space="0" w:color="auto"/>
        <w:right w:val="none" w:sz="0" w:space="0" w:color="auto"/>
      </w:divBdr>
    </w:div>
    <w:div w:id="1112090960">
      <w:marLeft w:val="0"/>
      <w:marRight w:val="0"/>
      <w:marTop w:val="240"/>
      <w:marBottom w:val="0"/>
      <w:divBdr>
        <w:top w:val="none" w:sz="0" w:space="0" w:color="auto"/>
        <w:left w:val="none" w:sz="0" w:space="0" w:color="auto"/>
        <w:bottom w:val="none" w:sz="0" w:space="0" w:color="auto"/>
        <w:right w:val="none" w:sz="0" w:space="0" w:color="auto"/>
      </w:divBdr>
    </w:div>
    <w:div w:id="1115059262">
      <w:marLeft w:val="0"/>
      <w:marRight w:val="0"/>
      <w:marTop w:val="0"/>
      <w:marBottom w:val="120"/>
      <w:divBdr>
        <w:top w:val="none" w:sz="0" w:space="0" w:color="auto"/>
        <w:left w:val="none" w:sz="0" w:space="0" w:color="auto"/>
        <w:bottom w:val="none" w:sz="0" w:space="0" w:color="auto"/>
        <w:right w:val="none" w:sz="0" w:space="0" w:color="auto"/>
      </w:divBdr>
    </w:div>
    <w:div w:id="1129276300">
      <w:marLeft w:val="0"/>
      <w:marRight w:val="0"/>
      <w:marTop w:val="0"/>
      <w:marBottom w:val="0"/>
      <w:divBdr>
        <w:top w:val="none" w:sz="0" w:space="0" w:color="auto"/>
        <w:left w:val="none" w:sz="0" w:space="0" w:color="auto"/>
        <w:bottom w:val="none" w:sz="0" w:space="0" w:color="auto"/>
        <w:right w:val="none" w:sz="0" w:space="0" w:color="auto"/>
      </w:divBdr>
      <w:divsChild>
        <w:div w:id="2082946911">
          <w:marLeft w:val="0"/>
          <w:marRight w:val="0"/>
          <w:marTop w:val="0"/>
          <w:marBottom w:val="0"/>
          <w:divBdr>
            <w:top w:val="none" w:sz="0" w:space="0" w:color="auto"/>
            <w:left w:val="none" w:sz="0" w:space="0" w:color="auto"/>
            <w:bottom w:val="none" w:sz="0" w:space="0" w:color="auto"/>
            <w:right w:val="none" w:sz="0" w:space="0" w:color="auto"/>
          </w:divBdr>
        </w:div>
      </w:divsChild>
    </w:div>
    <w:div w:id="1129321916">
      <w:marLeft w:val="0"/>
      <w:marRight w:val="0"/>
      <w:marTop w:val="0"/>
      <w:marBottom w:val="240"/>
      <w:divBdr>
        <w:top w:val="none" w:sz="0" w:space="0" w:color="auto"/>
        <w:left w:val="none" w:sz="0" w:space="0" w:color="auto"/>
        <w:bottom w:val="none" w:sz="0" w:space="0" w:color="auto"/>
        <w:right w:val="none" w:sz="0" w:space="0" w:color="auto"/>
      </w:divBdr>
    </w:div>
    <w:div w:id="1132164573">
      <w:marLeft w:val="0"/>
      <w:marRight w:val="0"/>
      <w:marTop w:val="0"/>
      <w:marBottom w:val="60"/>
      <w:divBdr>
        <w:top w:val="none" w:sz="0" w:space="0" w:color="auto"/>
        <w:left w:val="none" w:sz="0" w:space="0" w:color="auto"/>
        <w:bottom w:val="none" w:sz="0" w:space="0" w:color="auto"/>
        <w:right w:val="none" w:sz="0" w:space="0" w:color="auto"/>
      </w:divBdr>
    </w:div>
    <w:div w:id="1132290723">
      <w:marLeft w:val="0"/>
      <w:marRight w:val="0"/>
      <w:marTop w:val="20"/>
      <w:marBottom w:val="240"/>
      <w:divBdr>
        <w:top w:val="none" w:sz="0" w:space="0" w:color="auto"/>
        <w:left w:val="none" w:sz="0" w:space="0" w:color="auto"/>
        <w:bottom w:val="none" w:sz="0" w:space="0" w:color="auto"/>
        <w:right w:val="none" w:sz="0" w:space="0" w:color="auto"/>
      </w:divBdr>
    </w:div>
    <w:div w:id="1135366133">
      <w:marLeft w:val="0"/>
      <w:marRight w:val="0"/>
      <w:marTop w:val="0"/>
      <w:marBottom w:val="120"/>
      <w:divBdr>
        <w:top w:val="none" w:sz="0" w:space="0" w:color="auto"/>
        <w:left w:val="none" w:sz="0" w:space="0" w:color="auto"/>
        <w:bottom w:val="none" w:sz="0" w:space="0" w:color="auto"/>
        <w:right w:val="none" w:sz="0" w:space="0" w:color="auto"/>
      </w:divBdr>
      <w:divsChild>
        <w:div w:id="36902170">
          <w:marLeft w:val="0"/>
          <w:marRight w:val="0"/>
          <w:marTop w:val="0"/>
          <w:marBottom w:val="0"/>
          <w:divBdr>
            <w:top w:val="none" w:sz="0" w:space="0" w:color="auto"/>
            <w:left w:val="none" w:sz="0" w:space="0" w:color="auto"/>
            <w:bottom w:val="none" w:sz="0" w:space="0" w:color="auto"/>
            <w:right w:val="none" w:sz="0" w:space="0" w:color="auto"/>
          </w:divBdr>
        </w:div>
        <w:div w:id="633415054">
          <w:marLeft w:val="0"/>
          <w:marRight w:val="0"/>
          <w:marTop w:val="0"/>
          <w:marBottom w:val="0"/>
          <w:divBdr>
            <w:top w:val="none" w:sz="0" w:space="0" w:color="auto"/>
            <w:left w:val="none" w:sz="0" w:space="0" w:color="auto"/>
            <w:bottom w:val="none" w:sz="0" w:space="0" w:color="auto"/>
            <w:right w:val="none" w:sz="0" w:space="0" w:color="auto"/>
          </w:divBdr>
        </w:div>
        <w:div w:id="1130125664">
          <w:marLeft w:val="0"/>
          <w:marRight w:val="0"/>
          <w:marTop w:val="0"/>
          <w:marBottom w:val="0"/>
          <w:divBdr>
            <w:top w:val="none" w:sz="0" w:space="0" w:color="auto"/>
            <w:left w:val="none" w:sz="0" w:space="0" w:color="auto"/>
            <w:bottom w:val="none" w:sz="0" w:space="0" w:color="auto"/>
            <w:right w:val="none" w:sz="0" w:space="0" w:color="auto"/>
          </w:divBdr>
        </w:div>
        <w:div w:id="1786998987">
          <w:marLeft w:val="0"/>
          <w:marRight w:val="0"/>
          <w:marTop w:val="0"/>
          <w:marBottom w:val="0"/>
          <w:divBdr>
            <w:top w:val="none" w:sz="0" w:space="0" w:color="auto"/>
            <w:left w:val="none" w:sz="0" w:space="0" w:color="auto"/>
            <w:bottom w:val="none" w:sz="0" w:space="0" w:color="auto"/>
            <w:right w:val="none" w:sz="0" w:space="0" w:color="auto"/>
          </w:divBdr>
        </w:div>
        <w:div w:id="1351569075">
          <w:marLeft w:val="0"/>
          <w:marRight w:val="0"/>
          <w:marTop w:val="0"/>
          <w:marBottom w:val="0"/>
          <w:divBdr>
            <w:top w:val="none" w:sz="0" w:space="0" w:color="auto"/>
            <w:left w:val="none" w:sz="0" w:space="0" w:color="auto"/>
            <w:bottom w:val="none" w:sz="0" w:space="0" w:color="auto"/>
            <w:right w:val="none" w:sz="0" w:space="0" w:color="auto"/>
          </w:divBdr>
        </w:div>
        <w:div w:id="1067072135">
          <w:marLeft w:val="0"/>
          <w:marRight w:val="0"/>
          <w:marTop w:val="0"/>
          <w:marBottom w:val="0"/>
          <w:divBdr>
            <w:top w:val="none" w:sz="0" w:space="0" w:color="auto"/>
            <w:left w:val="none" w:sz="0" w:space="0" w:color="auto"/>
            <w:bottom w:val="none" w:sz="0" w:space="0" w:color="auto"/>
            <w:right w:val="none" w:sz="0" w:space="0" w:color="auto"/>
          </w:divBdr>
        </w:div>
        <w:div w:id="1685204645">
          <w:marLeft w:val="0"/>
          <w:marRight w:val="0"/>
          <w:marTop w:val="0"/>
          <w:marBottom w:val="0"/>
          <w:divBdr>
            <w:top w:val="none" w:sz="0" w:space="0" w:color="auto"/>
            <w:left w:val="none" w:sz="0" w:space="0" w:color="auto"/>
            <w:bottom w:val="none" w:sz="0" w:space="0" w:color="auto"/>
            <w:right w:val="none" w:sz="0" w:space="0" w:color="auto"/>
          </w:divBdr>
        </w:div>
        <w:div w:id="2119332650">
          <w:marLeft w:val="0"/>
          <w:marRight w:val="0"/>
          <w:marTop w:val="0"/>
          <w:marBottom w:val="0"/>
          <w:divBdr>
            <w:top w:val="none" w:sz="0" w:space="0" w:color="auto"/>
            <w:left w:val="none" w:sz="0" w:space="0" w:color="auto"/>
            <w:bottom w:val="none" w:sz="0" w:space="0" w:color="auto"/>
            <w:right w:val="none" w:sz="0" w:space="0" w:color="auto"/>
          </w:divBdr>
        </w:div>
        <w:div w:id="832650475">
          <w:marLeft w:val="0"/>
          <w:marRight w:val="0"/>
          <w:marTop w:val="0"/>
          <w:marBottom w:val="0"/>
          <w:divBdr>
            <w:top w:val="none" w:sz="0" w:space="0" w:color="auto"/>
            <w:left w:val="none" w:sz="0" w:space="0" w:color="auto"/>
            <w:bottom w:val="none" w:sz="0" w:space="0" w:color="auto"/>
            <w:right w:val="none" w:sz="0" w:space="0" w:color="auto"/>
          </w:divBdr>
        </w:div>
        <w:div w:id="224529808">
          <w:marLeft w:val="0"/>
          <w:marRight w:val="0"/>
          <w:marTop w:val="0"/>
          <w:marBottom w:val="0"/>
          <w:divBdr>
            <w:top w:val="none" w:sz="0" w:space="0" w:color="auto"/>
            <w:left w:val="none" w:sz="0" w:space="0" w:color="auto"/>
            <w:bottom w:val="none" w:sz="0" w:space="0" w:color="auto"/>
            <w:right w:val="none" w:sz="0" w:space="0" w:color="auto"/>
          </w:divBdr>
        </w:div>
        <w:div w:id="1322006876">
          <w:marLeft w:val="0"/>
          <w:marRight w:val="0"/>
          <w:marTop w:val="0"/>
          <w:marBottom w:val="0"/>
          <w:divBdr>
            <w:top w:val="none" w:sz="0" w:space="0" w:color="auto"/>
            <w:left w:val="none" w:sz="0" w:space="0" w:color="auto"/>
            <w:bottom w:val="none" w:sz="0" w:space="0" w:color="auto"/>
            <w:right w:val="none" w:sz="0" w:space="0" w:color="auto"/>
          </w:divBdr>
        </w:div>
        <w:div w:id="387922271">
          <w:marLeft w:val="0"/>
          <w:marRight w:val="0"/>
          <w:marTop w:val="0"/>
          <w:marBottom w:val="0"/>
          <w:divBdr>
            <w:top w:val="none" w:sz="0" w:space="0" w:color="auto"/>
            <w:left w:val="none" w:sz="0" w:space="0" w:color="auto"/>
            <w:bottom w:val="none" w:sz="0" w:space="0" w:color="auto"/>
            <w:right w:val="none" w:sz="0" w:space="0" w:color="auto"/>
          </w:divBdr>
        </w:div>
        <w:div w:id="329603367">
          <w:marLeft w:val="0"/>
          <w:marRight w:val="0"/>
          <w:marTop w:val="0"/>
          <w:marBottom w:val="0"/>
          <w:divBdr>
            <w:top w:val="none" w:sz="0" w:space="0" w:color="auto"/>
            <w:left w:val="none" w:sz="0" w:space="0" w:color="auto"/>
            <w:bottom w:val="none" w:sz="0" w:space="0" w:color="auto"/>
            <w:right w:val="none" w:sz="0" w:space="0" w:color="auto"/>
          </w:divBdr>
        </w:div>
        <w:div w:id="1659729602">
          <w:marLeft w:val="0"/>
          <w:marRight w:val="0"/>
          <w:marTop w:val="40"/>
          <w:marBottom w:val="40"/>
          <w:divBdr>
            <w:top w:val="none" w:sz="0" w:space="0" w:color="auto"/>
            <w:left w:val="none" w:sz="0" w:space="0" w:color="auto"/>
            <w:bottom w:val="none" w:sz="0" w:space="0" w:color="auto"/>
            <w:right w:val="none" w:sz="0" w:space="0" w:color="auto"/>
          </w:divBdr>
        </w:div>
        <w:div w:id="570504806">
          <w:marLeft w:val="0"/>
          <w:marRight w:val="0"/>
          <w:marTop w:val="0"/>
          <w:marBottom w:val="0"/>
          <w:divBdr>
            <w:top w:val="none" w:sz="0" w:space="0" w:color="auto"/>
            <w:left w:val="none" w:sz="0" w:space="0" w:color="auto"/>
            <w:bottom w:val="none" w:sz="0" w:space="0" w:color="auto"/>
            <w:right w:val="none" w:sz="0" w:space="0" w:color="auto"/>
          </w:divBdr>
        </w:div>
        <w:div w:id="130170763">
          <w:marLeft w:val="0"/>
          <w:marRight w:val="0"/>
          <w:marTop w:val="40"/>
          <w:marBottom w:val="40"/>
          <w:divBdr>
            <w:top w:val="none" w:sz="0" w:space="0" w:color="auto"/>
            <w:left w:val="none" w:sz="0" w:space="0" w:color="auto"/>
            <w:bottom w:val="none" w:sz="0" w:space="0" w:color="auto"/>
            <w:right w:val="none" w:sz="0" w:space="0" w:color="auto"/>
          </w:divBdr>
        </w:div>
        <w:div w:id="1646809403">
          <w:marLeft w:val="0"/>
          <w:marRight w:val="0"/>
          <w:marTop w:val="0"/>
          <w:marBottom w:val="0"/>
          <w:divBdr>
            <w:top w:val="none" w:sz="0" w:space="0" w:color="auto"/>
            <w:left w:val="none" w:sz="0" w:space="0" w:color="auto"/>
            <w:bottom w:val="none" w:sz="0" w:space="0" w:color="auto"/>
            <w:right w:val="none" w:sz="0" w:space="0" w:color="auto"/>
          </w:divBdr>
        </w:div>
        <w:div w:id="1972981554">
          <w:marLeft w:val="0"/>
          <w:marRight w:val="0"/>
          <w:marTop w:val="0"/>
          <w:marBottom w:val="0"/>
          <w:divBdr>
            <w:top w:val="none" w:sz="0" w:space="0" w:color="auto"/>
            <w:left w:val="none" w:sz="0" w:space="0" w:color="auto"/>
            <w:bottom w:val="none" w:sz="0" w:space="0" w:color="auto"/>
            <w:right w:val="none" w:sz="0" w:space="0" w:color="auto"/>
          </w:divBdr>
        </w:div>
        <w:div w:id="1116944916">
          <w:marLeft w:val="0"/>
          <w:marRight w:val="0"/>
          <w:marTop w:val="40"/>
          <w:marBottom w:val="40"/>
          <w:divBdr>
            <w:top w:val="none" w:sz="0" w:space="0" w:color="auto"/>
            <w:left w:val="none" w:sz="0" w:space="0" w:color="auto"/>
            <w:bottom w:val="none" w:sz="0" w:space="0" w:color="auto"/>
            <w:right w:val="none" w:sz="0" w:space="0" w:color="auto"/>
          </w:divBdr>
        </w:div>
        <w:div w:id="606079571">
          <w:marLeft w:val="0"/>
          <w:marRight w:val="0"/>
          <w:marTop w:val="0"/>
          <w:marBottom w:val="0"/>
          <w:divBdr>
            <w:top w:val="none" w:sz="0" w:space="0" w:color="auto"/>
            <w:left w:val="none" w:sz="0" w:space="0" w:color="auto"/>
            <w:bottom w:val="none" w:sz="0" w:space="0" w:color="auto"/>
            <w:right w:val="none" w:sz="0" w:space="0" w:color="auto"/>
          </w:divBdr>
        </w:div>
        <w:div w:id="643196803">
          <w:marLeft w:val="0"/>
          <w:marRight w:val="0"/>
          <w:marTop w:val="0"/>
          <w:marBottom w:val="0"/>
          <w:divBdr>
            <w:top w:val="none" w:sz="0" w:space="0" w:color="auto"/>
            <w:left w:val="none" w:sz="0" w:space="0" w:color="auto"/>
            <w:bottom w:val="none" w:sz="0" w:space="0" w:color="auto"/>
            <w:right w:val="none" w:sz="0" w:space="0" w:color="auto"/>
          </w:divBdr>
        </w:div>
        <w:div w:id="625162076">
          <w:marLeft w:val="0"/>
          <w:marRight w:val="0"/>
          <w:marTop w:val="0"/>
          <w:marBottom w:val="0"/>
          <w:divBdr>
            <w:top w:val="none" w:sz="0" w:space="0" w:color="auto"/>
            <w:left w:val="none" w:sz="0" w:space="0" w:color="auto"/>
            <w:bottom w:val="none" w:sz="0" w:space="0" w:color="auto"/>
            <w:right w:val="none" w:sz="0" w:space="0" w:color="auto"/>
          </w:divBdr>
        </w:div>
        <w:div w:id="1769500895">
          <w:marLeft w:val="0"/>
          <w:marRight w:val="0"/>
          <w:marTop w:val="0"/>
          <w:marBottom w:val="0"/>
          <w:divBdr>
            <w:top w:val="none" w:sz="0" w:space="0" w:color="auto"/>
            <w:left w:val="none" w:sz="0" w:space="0" w:color="auto"/>
            <w:bottom w:val="none" w:sz="0" w:space="0" w:color="auto"/>
            <w:right w:val="none" w:sz="0" w:space="0" w:color="auto"/>
          </w:divBdr>
        </w:div>
        <w:div w:id="1001010837">
          <w:marLeft w:val="0"/>
          <w:marRight w:val="0"/>
          <w:marTop w:val="0"/>
          <w:marBottom w:val="0"/>
          <w:divBdr>
            <w:top w:val="none" w:sz="0" w:space="0" w:color="auto"/>
            <w:left w:val="none" w:sz="0" w:space="0" w:color="auto"/>
            <w:bottom w:val="none" w:sz="0" w:space="0" w:color="auto"/>
            <w:right w:val="none" w:sz="0" w:space="0" w:color="auto"/>
          </w:divBdr>
        </w:div>
        <w:div w:id="61220769">
          <w:marLeft w:val="0"/>
          <w:marRight w:val="0"/>
          <w:marTop w:val="0"/>
          <w:marBottom w:val="0"/>
          <w:divBdr>
            <w:top w:val="none" w:sz="0" w:space="0" w:color="auto"/>
            <w:left w:val="none" w:sz="0" w:space="0" w:color="auto"/>
            <w:bottom w:val="none" w:sz="0" w:space="0" w:color="auto"/>
            <w:right w:val="none" w:sz="0" w:space="0" w:color="auto"/>
          </w:divBdr>
        </w:div>
      </w:divsChild>
    </w:div>
    <w:div w:id="1138688882">
      <w:marLeft w:val="0"/>
      <w:marRight w:val="0"/>
      <w:marTop w:val="0"/>
      <w:marBottom w:val="240"/>
      <w:divBdr>
        <w:top w:val="none" w:sz="0" w:space="0" w:color="auto"/>
        <w:left w:val="none" w:sz="0" w:space="0" w:color="auto"/>
        <w:bottom w:val="none" w:sz="0" w:space="0" w:color="auto"/>
        <w:right w:val="none" w:sz="0" w:space="0" w:color="auto"/>
      </w:divBdr>
    </w:div>
    <w:div w:id="1139569154">
      <w:marLeft w:val="0"/>
      <w:marRight w:val="0"/>
      <w:marTop w:val="0"/>
      <w:marBottom w:val="60"/>
      <w:divBdr>
        <w:top w:val="none" w:sz="0" w:space="0" w:color="auto"/>
        <w:left w:val="none" w:sz="0" w:space="0" w:color="auto"/>
        <w:bottom w:val="none" w:sz="0" w:space="0" w:color="auto"/>
        <w:right w:val="none" w:sz="0" w:space="0" w:color="auto"/>
      </w:divBdr>
    </w:div>
    <w:div w:id="1141190137">
      <w:marLeft w:val="0"/>
      <w:marRight w:val="0"/>
      <w:marTop w:val="0"/>
      <w:marBottom w:val="120"/>
      <w:divBdr>
        <w:top w:val="none" w:sz="0" w:space="0" w:color="auto"/>
        <w:left w:val="none" w:sz="0" w:space="0" w:color="auto"/>
        <w:bottom w:val="none" w:sz="0" w:space="0" w:color="auto"/>
        <w:right w:val="none" w:sz="0" w:space="0" w:color="auto"/>
      </w:divBdr>
    </w:div>
    <w:div w:id="1142693029">
      <w:marLeft w:val="0"/>
      <w:marRight w:val="0"/>
      <w:marTop w:val="0"/>
      <w:marBottom w:val="120"/>
      <w:divBdr>
        <w:top w:val="none" w:sz="0" w:space="0" w:color="auto"/>
        <w:left w:val="none" w:sz="0" w:space="0" w:color="auto"/>
        <w:bottom w:val="none" w:sz="0" w:space="0" w:color="auto"/>
        <w:right w:val="none" w:sz="0" w:space="0" w:color="auto"/>
      </w:divBdr>
    </w:div>
    <w:div w:id="1143276643">
      <w:marLeft w:val="0"/>
      <w:marRight w:val="0"/>
      <w:marTop w:val="0"/>
      <w:marBottom w:val="0"/>
      <w:divBdr>
        <w:top w:val="none" w:sz="0" w:space="0" w:color="auto"/>
        <w:left w:val="none" w:sz="0" w:space="0" w:color="auto"/>
        <w:bottom w:val="none" w:sz="0" w:space="0" w:color="auto"/>
        <w:right w:val="none" w:sz="0" w:space="0" w:color="auto"/>
      </w:divBdr>
      <w:divsChild>
        <w:div w:id="1356997559">
          <w:marLeft w:val="0"/>
          <w:marRight w:val="0"/>
          <w:marTop w:val="0"/>
          <w:marBottom w:val="0"/>
          <w:divBdr>
            <w:top w:val="none" w:sz="0" w:space="0" w:color="auto"/>
            <w:left w:val="none" w:sz="0" w:space="0" w:color="auto"/>
            <w:bottom w:val="none" w:sz="0" w:space="0" w:color="auto"/>
            <w:right w:val="none" w:sz="0" w:space="0" w:color="auto"/>
          </w:divBdr>
        </w:div>
      </w:divsChild>
    </w:div>
    <w:div w:id="1143617992">
      <w:marLeft w:val="0"/>
      <w:marRight w:val="0"/>
      <w:marTop w:val="0"/>
      <w:marBottom w:val="60"/>
      <w:divBdr>
        <w:top w:val="none" w:sz="0" w:space="0" w:color="auto"/>
        <w:left w:val="none" w:sz="0" w:space="0" w:color="auto"/>
        <w:bottom w:val="none" w:sz="0" w:space="0" w:color="auto"/>
        <w:right w:val="none" w:sz="0" w:space="0" w:color="auto"/>
      </w:divBdr>
    </w:div>
    <w:div w:id="1143698357">
      <w:marLeft w:val="0"/>
      <w:marRight w:val="0"/>
      <w:marTop w:val="0"/>
      <w:marBottom w:val="0"/>
      <w:divBdr>
        <w:top w:val="none" w:sz="0" w:space="0" w:color="auto"/>
        <w:left w:val="none" w:sz="0" w:space="0" w:color="auto"/>
        <w:bottom w:val="none" w:sz="0" w:space="0" w:color="auto"/>
        <w:right w:val="none" w:sz="0" w:space="0" w:color="auto"/>
      </w:divBdr>
      <w:divsChild>
        <w:div w:id="1256476703">
          <w:marLeft w:val="0"/>
          <w:marRight w:val="0"/>
          <w:marTop w:val="0"/>
          <w:marBottom w:val="0"/>
          <w:divBdr>
            <w:top w:val="none" w:sz="0" w:space="0" w:color="auto"/>
            <w:left w:val="none" w:sz="0" w:space="0" w:color="auto"/>
            <w:bottom w:val="none" w:sz="0" w:space="0" w:color="auto"/>
            <w:right w:val="none" w:sz="0" w:space="0" w:color="auto"/>
          </w:divBdr>
        </w:div>
      </w:divsChild>
    </w:div>
    <w:div w:id="1144466721">
      <w:marLeft w:val="0"/>
      <w:marRight w:val="0"/>
      <w:marTop w:val="0"/>
      <w:marBottom w:val="60"/>
      <w:divBdr>
        <w:top w:val="none" w:sz="0" w:space="0" w:color="auto"/>
        <w:left w:val="none" w:sz="0" w:space="0" w:color="auto"/>
        <w:bottom w:val="none" w:sz="0" w:space="0" w:color="auto"/>
        <w:right w:val="none" w:sz="0" w:space="0" w:color="auto"/>
      </w:divBdr>
    </w:div>
    <w:div w:id="1152066764">
      <w:marLeft w:val="0"/>
      <w:marRight w:val="0"/>
      <w:marTop w:val="0"/>
      <w:marBottom w:val="0"/>
      <w:divBdr>
        <w:top w:val="none" w:sz="0" w:space="0" w:color="auto"/>
        <w:left w:val="none" w:sz="0" w:space="0" w:color="auto"/>
        <w:bottom w:val="none" w:sz="0" w:space="0" w:color="auto"/>
        <w:right w:val="none" w:sz="0" w:space="0" w:color="auto"/>
      </w:divBdr>
      <w:divsChild>
        <w:div w:id="1804881967">
          <w:marLeft w:val="0"/>
          <w:marRight w:val="0"/>
          <w:marTop w:val="0"/>
          <w:marBottom w:val="0"/>
          <w:divBdr>
            <w:top w:val="none" w:sz="0" w:space="0" w:color="auto"/>
            <w:left w:val="none" w:sz="0" w:space="0" w:color="auto"/>
            <w:bottom w:val="none" w:sz="0" w:space="0" w:color="auto"/>
            <w:right w:val="none" w:sz="0" w:space="0" w:color="auto"/>
          </w:divBdr>
        </w:div>
      </w:divsChild>
    </w:div>
    <w:div w:id="1153333794">
      <w:marLeft w:val="0"/>
      <w:marRight w:val="0"/>
      <w:marTop w:val="0"/>
      <w:marBottom w:val="240"/>
      <w:divBdr>
        <w:top w:val="none" w:sz="0" w:space="0" w:color="auto"/>
        <w:left w:val="none" w:sz="0" w:space="0" w:color="auto"/>
        <w:bottom w:val="none" w:sz="0" w:space="0" w:color="auto"/>
        <w:right w:val="none" w:sz="0" w:space="0" w:color="auto"/>
      </w:divBdr>
    </w:div>
    <w:div w:id="1155102341">
      <w:marLeft w:val="0"/>
      <w:marRight w:val="0"/>
      <w:marTop w:val="0"/>
      <w:marBottom w:val="0"/>
      <w:divBdr>
        <w:top w:val="none" w:sz="0" w:space="0" w:color="auto"/>
        <w:left w:val="none" w:sz="0" w:space="0" w:color="auto"/>
        <w:bottom w:val="none" w:sz="0" w:space="0" w:color="auto"/>
        <w:right w:val="none" w:sz="0" w:space="0" w:color="auto"/>
      </w:divBdr>
      <w:divsChild>
        <w:div w:id="1377923515">
          <w:marLeft w:val="0"/>
          <w:marRight w:val="0"/>
          <w:marTop w:val="0"/>
          <w:marBottom w:val="0"/>
          <w:divBdr>
            <w:top w:val="none" w:sz="0" w:space="0" w:color="auto"/>
            <w:left w:val="none" w:sz="0" w:space="0" w:color="auto"/>
            <w:bottom w:val="none" w:sz="0" w:space="0" w:color="auto"/>
            <w:right w:val="none" w:sz="0" w:space="0" w:color="auto"/>
          </w:divBdr>
        </w:div>
      </w:divsChild>
    </w:div>
    <w:div w:id="1157651683">
      <w:marLeft w:val="0"/>
      <w:marRight w:val="0"/>
      <w:marTop w:val="0"/>
      <w:marBottom w:val="240"/>
      <w:divBdr>
        <w:top w:val="none" w:sz="0" w:space="0" w:color="auto"/>
        <w:left w:val="none" w:sz="0" w:space="0" w:color="auto"/>
        <w:bottom w:val="none" w:sz="0" w:space="0" w:color="auto"/>
        <w:right w:val="none" w:sz="0" w:space="0" w:color="auto"/>
      </w:divBdr>
    </w:div>
    <w:div w:id="1161119736">
      <w:marLeft w:val="0"/>
      <w:marRight w:val="0"/>
      <w:marTop w:val="0"/>
      <w:marBottom w:val="120"/>
      <w:divBdr>
        <w:top w:val="none" w:sz="0" w:space="0" w:color="auto"/>
        <w:left w:val="none" w:sz="0" w:space="0" w:color="auto"/>
        <w:bottom w:val="none" w:sz="0" w:space="0" w:color="auto"/>
        <w:right w:val="none" w:sz="0" w:space="0" w:color="auto"/>
      </w:divBdr>
    </w:div>
    <w:div w:id="1161198240">
      <w:marLeft w:val="0"/>
      <w:marRight w:val="0"/>
      <w:marTop w:val="0"/>
      <w:marBottom w:val="160"/>
      <w:divBdr>
        <w:top w:val="none" w:sz="0" w:space="0" w:color="auto"/>
        <w:left w:val="none" w:sz="0" w:space="0" w:color="auto"/>
        <w:bottom w:val="none" w:sz="0" w:space="0" w:color="auto"/>
        <w:right w:val="none" w:sz="0" w:space="0" w:color="auto"/>
      </w:divBdr>
    </w:div>
    <w:div w:id="1164127377">
      <w:marLeft w:val="0"/>
      <w:marRight w:val="0"/>
      <w:marTop w:val="0"/>
      <w:marBottom w:val="160"/>
      <w:divBdr>
        <w:top w:val="none" w:sz="0" w:space="0" w:color="auto"/>
        <w:left w:val="none" w:sz="0" w:space="0" w:color="auto"/>
        <w:bottom w:val="none" w:sz="0" w:space="0" w:color="auto"/>
        <w:right w:val="none" w:sz="0" w:space="0" w:color="auto"/>
      </w:divBdr>
    </w:div>
    <w:div w:id="1165706435">
      <w:marLeft w:val="0"/>
      <w:marRight w:val="0"/>
      <w:marTop w:val="0"/>
      <w:marBottom w:val="0"/>
      <w:divBdr>
        <w:top w:val="none" w:sz="0" w:space="0" w:color="auto"/>
        <w:left w:val="none" w:sz="0" w:space="0" w:color="auto"/>
        <w:bottom w:val="none" w:sz="0" w:space="0" w:color="auto"/>
        <w:right w:val="none" w:sz="0" w:space="0" w:color="auto"/>
      </w:divBdr>
      <w:divsChild>
        <w:div w:id="1907715255">
          <w:marLeft w:val="0"/>
          <w:marRight w:val="0"/>
          <w:marTop w:val="0"/>
          <w:marBottom w:val="0"/>
          <w:divBdr>
            <w:top w:val="none" w:sz="0" w:space="0" w:color="auto"/>
            <w:left w:val="none" w:sz="0" w:space="0" w:color="auto"/>
            <w:bottom w:val="none" w:sz="0" w:space="0" w:color="auto"/>
            <w:right w:val="none" w:sz="0" w:space="0" w:color="auto"/>
          </w:divBdr>
        </w:div>
      </w:divsChild>
    </w:div>
    <w:div w:id="1166897115">
      <w:marLeft w:val="0"/>
      <w:marRight w:val="0"/>
      <w:marTop w:val="0"/>
      <w:marBottom w:val="240"/>
      <w:divBdr>
        <w:top w:val="none" w:sz="0" w:space="0" w:color="auto"/>
        <w:left w:val="none" w:sz="0" w:space="0" w:color="auto"/>
        <w:bottom w:val="none" w:sz="0" w:space="0" w:color="auto"/>
        <w:right w:val="none" w:sz="0" w:space="0" w:color="auto"/>
      </w:divBdr>
    </w:div>
    <w:div w:id="1168835635">
      <w:marLeft w:val="0"/>
      <w:marRight w:val="0"/>
      <w:marTop w:val="0"/>
      <w:marBottom w:val="0"/>
      <w:divBdr>
        <w:top w:val="none" w:sz="0" w:space="0" w:color="auto"/>
        <w:left w:val="none" w:sz="0" w:space="0" w:color="auto"/>
        <w:bottom w:val="none" w:sz="0" w:space="0" w:color="auto"/>
        <w:right w:val="none" w:sz="0" w:space="0" w:color="auto"/>
      </w:divBdr>
    </w:div>
    <w:div w:id="1173449786">
      <w:marLeft w:val="0"/>
      <w:marRight w:val="0"/>
      <w:marTop w:val="0"/>
      <w:marBottom w:val="0"/>
      <w:divBdr>
        <w:top w:val="none" w:sz="0" w:space="0" w:color="auto"/>
        <w:left w:val="none" w:sz="0" w:space="0" w:color="auto"/>
        <w:bottom w:val="none" w:sz="0" w:space="0" w:color="auto"/>
        <w:right w:val="none" w:sz="0" w:space="0" w:color="auto"/>
      </w:divBdr>
      <w:divsChild>
        <w:div w:id="474421265">
          <w:marLeft w:val="0"/>
          <w:marRight w:val="0"/>
          <w:marTop w:val="0"/>
          <w:marBottom w:val="0"/>
          <w:divBdr>
            <w:top w:val="none" w:sz="0" w:space="0" w:color="auto"/>
            <w:left w:val="none" w:sz="0" w:space="0" w:color="auto"/>
            <w:bottom w:val="none" w:sz="0" w:space="0" w:color="auto"/>
            <w:right w:val="none" w:sz="0" w:space="0" w:color="auto"/>
          </w:divBdr>
        </w:div>
      </w:divsChild>
    </w:div>
    <w:div w:id="1180656315">
      <w:marLeft w:val="0"/>
      <w:marRight w:val="0"/>
      <w:marTop w:val="0"/>
      <w:marBottom w:val="240"/>
      <w:divBdr>
        <w:top w:val="none" w:sz="0" w:space="0" w:color="auto"/>
        <w:left w:val="none" w:sz="0" w:space="0" w:color="auto"/>
        <w:bottom w:val="none" w:sz="0" w:space="0" w:color="auto"/>
        <w:right w:val="none" w:sz="0" w:space="0" w:color="auto"/>
      </w:divBdr>
    </w:div>
    <w:div w:id="1183739971">
      <w:marLeft w:val="0"/>
      <w:marRight w:val="0"/>
      <w:marTop w:val="0"/>
      <w:marBottom w:val="240"/>
      <w:divBdr>
        <w:top w:val="none" w:sz="0" w:space="0" w:color="auto"/>
        <w:left w:val="none" w:sz="0" w:space="0" w:color="auto"/>
        <w:bottom w:val="none" w:sz="0" w:space="0" w:color="auto"/>
        <w:right w:val="none" w:sz="0" w:space="0" w:color="auto"/>
      </w:divBdr>
    </w:div>
    <w:div w:id="1189834030">
      <w:marLeft w:val="0"/>
      <w:marRight w:val="0"/>
      <w:marTop w:val="0"/>
      <w:marBottom w:val="0"/>
      <w:divBdr>
        <w:top w:val="none" w:sz="0" w:space="0" w:color="auto"/>
        <w:left w:val="none" w:sz="0" w:space="0" w:color="auto"/>
        <w:bottom w:val="none" w:sz="0" w:space="0" w:color="auto"/>
        <w:right w:val="none" w:sz="0" w:space="0" w:color="auto"/>
      </w:divBdr>
      <w:divsChild>
        <w:div w:id="799498669">
          <w:marLeft w:val="0"/>
          <w:marRight w:val="0"/>
          <w:marTop w:val="0"/>
          <w:marBottom w:val="0"/>
          <w:divBdr>
            <w:top w:val="none" w:sz="0" w:space="0" w:color="auto"/>
            <w:left w:val="none" w:sz="0" w:space="0" w:color="auto"/>
            <w:bottom w:val="none" w:sz="0" w:space="0" w:color="auto"/>
            <w:right w:val="none" w:sz="0" w:space="0" w:color="auto"/>
          </w:divBdr>
        </w:div>
      </w:divsChild>
    </w:div>
    <w:div w:id="1191720912">
      <w:marLeft w:val="0"/>
      <w:marRight w:val="0"/>
      <w:marTop w:val="0"/>
      <w:marBottom w:val="240"/>
      <w:divBdr>
        <w:top w:val="none" w:sz="0" w:space="0" w:color="auto"/>
        <w:left w:val="none" w:sz="0" w:space="0" w:color="auto"/>
        <w:bottom w:val="none" w:sz="0" w:space="0" w:color="auto"/>
        <w:right w:val="none" w:sz="0" w:space="0" w:color="auto"/>
      </w:divBdr>
    </w:div>
    <w:div w:id="1194533088">
      <w:marLeft w:val="0"/>
      <w:marRight w:val="0"/>
      <w:marTop w:val="0"/>
      <w:marBottom w:val="80"/>
      <w:divBdr>
        <w:top w:val="none" w:sz="0" w:space="0" w:color="auto"/>
        <w:left w:val="none" w:sz="0" w:space="0" w:color="auto"/>
        <w:bottom w:val="none" w:sz="0" w:space="0" w:color="auto"/>
        <w:right w:val="none" w:sz="0" w:space="0" w:color="auto"/>
      </w:divBdr>
    </w:div>
    <w:div w:id="1196581640">
      <w:marLeft w:val="0"/>
      <w:marRight w:val="0"/>
      <w:marTop w:val="0"/>
      <w:marBottom w:val="240"/>
      <w:divBdr>
        <w:top w:val="none" w:sz="0" w:space="0" w:color="auto"/>
        <w:left w:val="none" w:sz="0" w:space="0" w:color="auto"/>
        <w:bottom w:val="none" w:sz="0" w:space="0" w:color="auto"/>
        <w:right w:val="none" w:sz="0" w:space="0" w:color="auto"/>
      </w:divBdr>
    </w:div>
    <w:div w:id="1197619108">
      <w:marLeft w:val="0"/>
      <w:marRight w:val="0"/>
      <w:marTop w:val="0"/>
      <w:marBottom w:val="240"/>
      <w:divBdr>
        <w:top w:val="none" w:sz="0" w:space="0" w:color="auto"/>
        <w:left w:val="none" w:sz="0" w:space="0" w:color="auto"/>
        <w:bottom w:val="none" w:sz="0" w:space="0" w:color="auto"/>
        <w:right w:val="none" w:sz="0" w:space="0" w:color="auto"/>
      </w:divBdr>
    </w:div>
    <w:div w:id="1197737639">
      <w:marLeft w:val="0"/>
      <w:marRight w:val="0"/>
      <w:marTop w:val="0"/>
      <w:marBottom w:val="240"/>
      <w:divBdr>
        <w:top w:val="none" w:sz="0" w:space="0" w:color="auto"/>
        <w:left w:val="none" w:sz="0" w:space="0" w:color="auto"/>
        <w:bottom w:val="none" w:sz="0" w:space="0" w:color="auto"/>
        <w:right w:val="none" w:sz="0" w:space="0" w:color="auto"/>
      </w:divBdr>
    </w:div>
    <w:div w:id="1200556403">
      <w:marLeft w:val="0"/>
      <w:marRight w:val="0"/>
      <w:marTop w:val="0"/>
      <w:marBottom w:val="0"/>
      <w:divBdr>
        <w:top w:val="none" w:sz="0" w:space="0" w:color="auto"/>
        <w:left w:val="none" w:sz="0" w:space="0" w:color="auto"/>
        <w:bottom w:val="none" w:sz="0" w:space="0" w:color="auto"/>
        <w:right w:val="none" w:sz="0" w:space="0" w:color="auto"/>
      </w:divBdr>
      <w:divsChild>
        <w:div w:id="140732618">
          <w:marLeft w:val="0"/>
          <w:marRight w:val="0"/>
          <w:marTop w:val="0"/>
          <w:marBottom w:val="0"/>
          <w:divBdr>
            <w:top w:val="none" w:sz="0" w:space="0" w:color="auto"/>
            <w:left w:val="none" w:sz="0" w:space="0" w:color="auto"/>
            <w:bottom w:val="none" w:sz="0" w:space="0" w:color="auto"/>
            <w:right w:val="none" w:sz="0" w:space="0" w:color="auto"/>
          </w:divBdr>
        </w:div>
      </w:divsChild>
    </w:div>
    <w:div w:id="1202478722">
      <w:marLeft w:val="0"/>
      <w:marRight w:val="0"/>
      <w:marTop w:val="0"/>
      <w:marBottom w:val="0"/>
      <w:divBdr>
        <w:top w:val="none" w:sz="0" w:space="0" w:color="auto"/>
        <w:left w:val="none" w:sz="0" w:space="0" w:color="auto"/>
        <w:bottom w:val="none" w:sz="0" w:space="0" w:color="auto"/>
        <w:right w:val="none" w:sz="0" w:space="0" w:color="auto"/>
      </w:divBdr>
      <w:divsChild>
        <w:div w:id="1295674054">
          <w:marLeft w:val="0"/>
          <w:marRight w:val="0"/>
          <w:marTop w:val="0"/>
          <w:marBottom w:val="0"/>
          <w:divBdr>
            <w:top w:val="none" w:sz="0" w:space="0" w:color="auto"/>
            <w:left w:val="none" w:sz="0" w:space="0" w:color="auto"/>
            <w:bottom w:val="none" w:sz="0" w:space="0" w:color="auto"/>
            <w:right w:val="none" w:sz="0" w:space="0" w:color="auto"/>
          </w:divBdr>
        </w:div>
      </w:divsChild>
    </w:div>
    <w:div w:id="1204633949">
      <w:marLeft w:val="0"/>
      <w:marRight w:val="0"/>
      <w:marTop w:val="0"/>
      <w:marBottom w:val="0"/>
      <w:divBdr>
        <w:top w:val="none" w:sz="0" w:space="0" w:color="auto"/>
        <w:left w:val="none" w:sz="0" w:space="0" w:color="auto"/>
        <w:bottom w:val="none" w:sz="0" w:space="0" w:color="auto"/>
        <w:right w:val="none" w:sz="0" w:space="0" w:color="auto"/>
      </w:divBdr>
      <w:divsChild>
        <w:div w:id="749812008">
          <w:marLeft w:val="0"/>
          <w:marRight w:val="0"/>
          <w:marTop w:val="0"/>
          <w:marBottom w:val="0"/>
          <w:divBdr>
            <w:top w:val="none" w:sz="0" w:space="0" w:color="auto"/>
            <w:left w:val="none" w:sz="0" w:space="0" w:color="auto"/>
            <w:bottom w:val="none" w:sz="0" w:space="0" w:color="auto"/>
            <w:right w:val="none" w:sz="0" w:space="0" w:color="auto"/>
          </w:divBdr>
        </w:div>
      </w:divsChild>
    </w:div>
    <w:div w:id="1205672986">
      <w:marLeft w:val="0"/>
      <w:marRight w:val="0"/>
      <w:marTop w:val="0"/>
      <w:marBottom w:val="240"/>
      <w:divBdr>
        <w:top w:val="none" w:sz="0" w:space="0" w:color="auto"/>
        <w:left w:val="none" w:sz="0" w:space="0" w:color="auto"/>
        <w:bottom w:val="none" w:sz="0" w:space="0" w:color="auto"/>
        <w:right w:val="none" w:sz="0" w:space="0" w:color="auto"/>
      </w:divBdr>
    </w:div>
    <w:div w:id="1210923552">
      <w:marLeft w:val="0"/>
      <w:marRight w:val="0"/>
      <w:marTop w:val="0"/>
      <w:marBottom w:val="240"/>
      <w:divBdr>
        <w:top w:val="none" w:sz="0" w:space="0" w:color="auto"/>
        <w:left w:val="none" w:sz="0" w:space="0" w:color="auto"/>
        <w:bottom w:val="none" w:sz="0" w:space="0" w:color="auto"/>
        <w:right w:val="none" w:sz="0" w:space="0" w:color="auto"/>
      </w:divBdr>
    </w:div>
    <w:div w:id="1211841226">
      <w:marLeft w:val="0"/>
      <w:marRight w:val="0"/>
      <w:marTop w:val="0"/>
      <w:marBottom w:val="240"/>
      <w:divBdr>
        <w:top w:val="none" w:sz="0" w:space="0" w:color="auto"/>
        <w:left w:val="none" w:sz="0" w:space="0" w:color="auto"/>
        <w:bottom w:val="none" w:sz="0" w:space="0" w:color="auto"/>
        <w:right w:val="none" w:sz="0" w:space="0" w:color="auto"/>
      </w:divBdr>
    </w:div>
    <w:div w:id="1214582363">
      <w:marLeft w:val="0"/>
      <w:marRight w:val="0"/>
      <w:marTop w:val="240"/>
      <w:marBottom w:val="240"/>
      <w:divBdr>
        <w:top w:val="none" w:sz="0" w:space="0" w:color="auto"/>
        <w:left w:val="none" w:sz="0" w:space="0" w:color="auto"/>
        <w:bottom w:val="none" w:sz="0" w:space="0" w:color="auto"/>
        <w:right w:val="none" w:sz="0" w:space="0" w:color="auto"/>
      </w:divBdr>
    </w:div>
    <w:div w:id="1220361854">
      <w:marLeft w:val="0"/>
      <w:marRight w:val="0"/>
      <w:marTop w:val="0"/>
      <w:marBottom w:val="0"/>
      <w:divBdr>
        <w:top w:val="none" w:sz="0" w:space="0" w:color="auto"/>
        <w:left w:val="none" w:sz="0" w:space="0" w:color="auto"/>
        <w:bottom w:val="none" w:sz="0" w:space="0" w:color="auto"/>
        <w:right w:val="none" w:sz="0" w:space="0" w:color="auto"/>
      </w:divBdr>
      <w:divsChild>
        <w:div w:id="1782530054">
          <w:marLeft w:val="0"/>
          <w:marRight w:val="0"/>
          <w:marTop w:val="0"/>
          <w:marBottom w:val="0"/>
          <w:divBdr>
            <w:top w:val="none" w:sz="0" w:space="0" w:color="auto"/>
            <w:left w:val="none" w:sz="0" w:space="0" w:color="auto"/>
            <w:bottom w:val="none" w:sz="0" w:space="0" w:color="auto"/>
            <w:right w:val="none" w:sz="0" w:space="0" w:color="auto"/>
          </w:divBdr>
        </w:div>
      </w:divsChild>
    </w:div>
    <w:div w:id="1223129696">
      <w:marLeft w:val="0"/>
      <w:marRight w:val="0"/>
      <w:marTop w:val="0"/>
      <w:marBottom w:val="60"/>
      <w:divBdr>
        <w:top w:val="none" w:sz="0" w:space="0" w:color="auto"/>
        <w:left w:val="none" w:sz="0" w:space="0" w:color="auto"/>
        <w:bottom w:val="none" w:sz="0" w:space="0" w:color="auto"/>
        <w:right w:val="none" w:sz="0" w:space="0" w:color="auto"/>
      </w:divBdr>
    </w:div>
    <w:div w:id="1225338986">
      <w:marLeft w:val="0"/>
      <w:marRight w:val="0"/>
      <w:marTop w:val="0"/>
      <w:marBottom w:val="240"/>
      <w:divBdr>
        <w:top w:val="none" w:sz="0" w:space="0" w:color="auto"/>
        <w:left w:val="none" w:sz="0" w:space="0" w:color="auto"/>
        <w:bottom w:val="none" w:sz="0" w:space="0" w:color="auto"/>
        <w:right w:val="none" w:sz="0" w:space="0" w:color="auto"/>
      </w:divBdr>
    </w:div>
    <w:div w:id="1231036339">
      <w:marLeft w:val="0"/>
      <w:marRight w:val="0"/>
      <w:marTop w:val="0"/>
      <w:marBottom w:val="0"/>
      <w:divBdr>
        <w:top w:val="none" w:sz="0" w:space="0" w:color="auto"/>
        <w:left w:val="none" w:sz="0" w:space="0" w:color="auto"/>
        <w:bottom w:val="none" w:sz="0" w:space="0" w:color="auto"/>
        <w:right w:val="none" w:sz="0" w:space="0" w:color="auto"/>
      </w:divBdr>
      <w:divsChild>
        <w:div w:id="1289630202">
          <w:marLeft w:val="0"/>
          <w:marRight w:val="0"/>
          <w:marTop w:val="0"/>
          <w:marBottom w:val="0"/>
          <w:divBdr>
            <w:top w:val="none" w:sz="0" w:space="0" w:color="auto"/>
            <w:left w:val="none" w:sz="0" w:space="0" w:color="auto"/>
            <w:bottom w:val="none" w:sz="0" w:space="0" w:color="auto"/>
            <w:right w:val="none" w:sz="0" w:space="0" w:color="auto"/>
          </w:divBdr>
        </w:div>
      </w:divsChild>
    </w:div>
    <w:div w:id="1232740859">
      <w:marLeft w:val="0"/>
      <w:marRight w:val="0"/>
      <w:marTop w:val="0"/>
      <w:marBottom w:val="60"/>
      <w:divBdr>
        <w:top w:val="none" w:sz="0" w:space="0" w:color="auto"/>
        <w:left w:val="none" w:sz="0" w:space="0" w:color="auto"/>
        <w:bottom w:val="none" w:sz="0" w:space="0" w:color="auto"/>
        <w:right w:val="none" w:sz="0" w:space="0" w:color="auto"/>
      </w:divBdr>
    </w:div>
    <w:div w:id="1237474059">
      <w:marLeft w:val="0"/>
      <w:marRight w:val="0"/>
      <w:marTop w:val="0"/>
      <w:marBottom w:val="120"/>
      <w:divBdr>
        <w:top w:val="none" w:sz="0" w:space="0" w:color="auto"/>
        <w:left w:val="none" w:sz="0" w:space="0" w:color="auto"/>
        <w:bottom w:val="none" w:sz="0" w:space="0" w:color="auto"/>
        <w:right w:val="none" w:sz="0" w:space="0" w:color="auto"/>
      </w:divBdr>
    </w:div>
    <w:div w:id="1237476673">
      <w:marLeft w:val="0"/>
      <w:marRight w:val="0"/>
      <w:marTop w:val="0"/>
      <w:marBottom w:val="0"/>
      <w:divBdr>
        <w:top w:val="none" w:sz="0" w:space="0" w:color="auto"/>
        <w:left w:val="none" w:sz="0" w:space="0" w:color="auto"/>
        <w:bottom w:val="none" w:sz="0" w:space="0" w:color="auto"/>
        <w:right w:val="none" w:sz="0" w:space="0" w:color="auto"/>
      </w:divBdr>
      <w:divsChild>
        <w:div w:id="984119436">
          <w:marLeft w:val="0"/>
          <w:marRight w:val="0"/>
          <w:marTop w:val="0"/>
          <w:marBottom w:val="0"/>
          <w:divBdr>
            <w:top w:val="none" w:sz="0" w:space="0" w:color="auto"/>
            <w:left w:val="none" w:sz="0" w:space="0" w:color="auto"/>
            <w:bottom w:val="none" w:sz="0" w:space="0" w:color="auto"/>
            <w:right w:val="none" w:sz="0" w:space="0" w:color="auto"/>
          </w:divBdr>
        </w:div>
      </w:divsChild>
    </w:div>
    <w:div w:id="1238049979">
      <w:marLeft w:val="0"/>
      <w:marRight w:val="0"/>
      <w:marTop w:val="0"/>
      <w:marBottom w:val="240"/>
      <w:divBdr>
        <w:top w:val="none" w:sz="0" w:space="0" w:color="auto"/>
        <w:left w:val="none" w:sz="0" w:space="0" w:color="auto"/>
        <w:bottom w:val="none" w:sz="0" w:space="0" w:color="auto"/>
        <w:right w:val="none" w:sz="0" w:space="0" w:color="auto"/>
      </w:divBdr>
    </w:div>
    <w:div w:id="1238514113">
      <w:marLeft w:val="0"/>
      <w:marRight w:val="0"/>
      <w:marTop w:val="0"/>
      <w:marBottom w:val="0"/>
      <w:divBdr>
        <w:top w:val="none" w:sz="0" w:space="0" w:color="auto"/>
        <w:left w:val="none" w:sz="0" w:space="0" w:color="auto"/>
        <w:bottom w:val="none" w:sz="0" w:space="0" w:color="auto"/>
        <w:right w:val="none" w:sz="0" w:space="0" w:color="auto"/>
      </w:divBdr>
    </w:div>
    <w:div w:id="1242368209">
      <w:marLeft w:val="0"/>
      <w:marRight w:val="0"/>
      <w:marTop w:val="0"/>
      <w:marBottom w:val="80"/>
      <w:divBdr>
        <w:top w:val="none" w:sz="0" w:space="0" w:color="auto"/>
        <w:left w:val="none" w:sz="0" w:space="0" w:color="auto"/>
        <w:bottom w:val="none" w:sz="0" w:space="0" w:color="auto"/>
        <w:right w:val="none" w:sz="0" w:space="0" w:color="auto"/>
      </w:divBdr>
    </w:div>
    <w:div w:id="1245457054">
      <w:marLeft w:val="0"/>
      <w:marRight w:val="0"/>
      <w:marTop w:val="0"/>
      <w:marBottom w:val="0"/>
      <w:divBdr>
        <w:top w:val="none" w:sz="0" w:space="0" w:color="auto"/>
        <w:left w:val="none" w:sz="0" w:space="0" w:color="auto"/>
        <w:bottom w:val="none" w:sz="0" w:space="0" w:color="auto"/>
        <w:right w:val="none" w:sz="0" w:space="0" w:color="auto"/>
      </w:divBdr>
      <w:divsChild>
        <w:div w:id="2049068823">
          <w:marLeft w:val="0"/>
          <w:marRight w:val="0"/>
          <w:marTop w:val="0"/>
          <w:marBottom w:val="0"/>
          <w:divBdr>
            <w:top w:val="none" w:sz="0" w:space="0" w:color="auto"/>
            <w:left w:val="none" w:sz="0" w:space="0" w:color="auto"/>
            <w:bottom w:val="none" w:sz="0" w:space="0" w:color="auto"/>
            <w:right w:val="none" w:sz="0" w:space="0" w:color="auto"/>
          </w:divBdr>
        </w:div>
      </w:divsChild>
    </w:div>
    <w:div w:id="1248542178">
      <w:marLeft w:val="0"/>
      <w:marRight w:val="0"/>
      <w:marTop w:val="0"/>
      <w:marBottom w:val="0"/>
      <w:divBdr>
        <w:top w:val="none" w:sz="0" w:space="0" w:color="auto"/>
        <w:left w:val="none" w:sz="0" w:space="0" w:color="auto"/>
        <w:bottom w:val="none" w:sz="0" w:space="0" w:color="auto"/>
        <w:right w:val="none" w:sz="0" w:space="0" w:color="auto"/>
      </w:divBdr>
      <w:divsChild>
        <w:div w:id="1345978466">
          <w:marLeft w:val="0"/>
          <w:marRight w:val="0"/>
          <w:marTop w:val="0"/>
          <w:marBottom w:val="0"/>
          <w:divBdr>
            <w:top w:val="none" w:sz="0" w:space="0" w:color="auto"/>
            <w:left w:val="none" w:sz="0" w:space="0" w:color="auto"/>
            <w:bottom w:val="none" w:sz="0" w:space="0" w:color="auto"/>
            <w:right w:val="none" w:sz="0" w:space="0" w:color="auto"/>
          </w:divBdr>
        </w:div>
      </w:divsChild>
    </w:div>
    <w:div w:id="1257322388">
      <w:marLeft w:val="0"/>
      <w:marRight w:val="0"/>
      <w:marTop w:val="0"/>
      <w:marBottom w:val="120"/>
      <w:divBdr>
        <w:top w:val="none" w:sz="0" w:space="0" w:color="auto"/>
        <w:left w:val="none" w:sz="0" w:space="0" w:color="auto"/>
        <w:bottom w:val="none" w:sz="0" w:space="0" w:color="auto"/>
        <w:right w:val="none" w:sz="0" w:space="0" w:color="auto"/>
      </w:divBdr>
    </w:div>
    <w:div w:id="1264529050">
      <w:marLeft w:val="0"/>
      <w:marRight w:val="0"/>
      <w:marTop w:val="0"/>
      <w:marBottom w:val="0"/>
      <w:divBdr>
        <w:top w:val="none" w:sz="0" w:space="0" w:color="auto"/>
        <w:left w:val="none" w:sz="0" w:space="0" w:color="auto"/>
        <w:bottom w:val="none" w:sz="0" w:space="0" w:color="auto"/>
        <w:right w:val="none" w:sz="0" w:space="0" w:color="auto"/>
      </w:divBdr>
      <w:divsChild>
        <w:div w:id="1571423174">
          <w:marLeft w:val="0"/>
          <w:marRight w:val="0"/>
          <w:marTop w:val="0"/>
          <w:marBottom w:val="0"/>
          <w:divBdr>
            <w:top w:val="none" w:sz="0" w:space="0" w:color="auto"/>
            <w:left w:val="none" w:sz="0" w:space="0" w:color="auto"/>
            <w:bottom w:val="none" w:sz="0" w:space="0" w:color="auto"/>
            <w:right w:val="none" w:sz="0" w:space="0" w:color="auto"/>
          </w:divBdr>
        </w:div>
      </w:divsChild>
    </w:div>
    <w:div w:id="1267545525">
      <w:marLeft w:val="0"/>
      <w:marRight w:val="0"/>
      <w:marTop w:val="0"/>
      <w:marBottom w:val="0"/>
      <w:divBdr>
        <w:top w:val="none" w:sz="0" w:space="0" w:color="auto"/>
        <w:left w:val="none" w:sz="0" w:space="0" w:color="auto"/>
        <w:bottom w:val="none" w:sz="0" w:space="0" w:color="auto"/>
        <w:right w:val="none" w:sz="0" w:space="0" w:color="auto"/>
      </w:divBdr>
      <w:divsChild>
        <w:div w:id="1678118168">
          <w:marLeft w:val="0"/>
          <w:marRight w:val="0"/>
          <w:marTop w:val="0"/>
          <w:marBottom w:val="0"/>
          <w:divBdr>
            <w:top w:val="none" w:sz="0" w:space="0" w:color="auto"/>
            <w:left w:val="none" w:sz="0" w:space="0" w:color="auto"/>
            <w:bottom w:val="none" w:sz="0" w:space="0" w:color="auto"/>
            <w:right w:val="none" w:sz="0" w:space="0" w:color="auto"/>
          </w:divBdr>
        </w:div>
      </w:divsChild>
    </w:div>
    <w:div w:id="1268151280">
      <w:marLeft w:val="0"/>
      <w:marRight w:val="0"/>
      <w:marTop w:val="0"/>
      <w:marBottom w:val="0"/>
      <w:divBdr>
        <w:top w:val="none" w:sz="0" w:space="0" w:color="auto"/>
        <w:left w:val="none" w:sz="0" w:space="0" w:color="auto"/>
        <w:bottom w:val="none" w:sz="0" w:space="0" w:color="auto"/>
        <w:right w:val="none" w:sz="0" w:space="0" w:color="auto"/>
      </w:divBdr>
      <w:divsChild>
        <w:div w:id="1365716393">
          <w:marLeft w:val="0"/>
          <w:marRight w:val="0"/>
          <w:marTop w:val="0"/>
          <w:marBottom w:val="0"/>
          <w:divBdr>
            <w:top w:val="none" w:sz="0" w:space="0" w:color="auto"/>
            <w:left w:val="none" w:sz="0" w:space="0" w:color="auto"/>
            <w:bottom w:val="none" w:sz="0" w:space="0" w:color="auto"/>
            <w:right w:val="none" w:sz="0" w:space="0" w:color="auto"/>
          </w:divBdr>
        </w:div>
      </w:divsChild>
    </w:div>
    <w:div w:id="1277903880">
      <w:marLeft w:val="0"/>
      <w:marRight w:val="0"/>
      <w:marTop w:val="0"/>
      <w:marBottom w:val="240"/>
      <w:divBdr>
        <w:top w:val="none" w:sz="0" w:space="0" w:color="auto"/>
        <w:left w:val="none" w:sz="0" w:space="0" w:color="auto"/>
        <w:bottom w:val="none" w:sz="0" w:space="0" w:color="auto"/>
        <w:right w:val="none" w:sz="0" w:space="0" w:color="auto"/>
      </w:divBdr>
    </w:div>
    <w:div w:id="1284843542">
      <w:marLeft w:val="0"/>
      <w:marRight w:val="0"/>
      <w:marTop w:val="0"/>
      <w:marBottom w:val="0"/>
      <w:divBdr>
        <w:top w:val="none" w:sz="0" w:space="0" w:color="auto"/>
        <w:left w:val="none" w:sz="0" w:space="0" w:color="auto"/>
        <w:bottom w:val="none" w:sz="0" w:space="0" w:color="auto"/>
        <w:right w:val="none" w:sz="0" w:space="0" w:color="auto"/>
      </w:divBdr>
    </w:div>
    <w:div w:id="1285695226">
      <w:marLeft w:val="0"/>
      <w:marRight w:val="0"/>
      <w:marTop w:val="200"/>
      <w:marBottom w:val="0"/>
      <w:divBdr>
        <w:top w:val="none" w:sz="0" w:space="0" w:color="auto"/>
        <w:left w:val="none" w:sz="0" w:space="0" w:color="auto"/>
        <w:bottom w:val="none" w:sz="0" w:space="0" w:color="auto"/>
        <w:right w:val="none" w:sz="0" w:space="0" w:color="auto"/>
      </w:divBdr>
    </w:div>
    <w:div w:id="1286808824">
      <w:marLeft w:val="0"/>
      <w:marRight w:val="0"/>
      <w:marTop w:val="0"/>
      <w:marBottom w:val="120"/>
      <w:divBdr>
        <w:top w:val="none" w:sz="0" w:space="0" w:color="auto"/>
        <w:left w:val="none" w:sz="0" w:space="0" w:color="auto"/>
        <w:bottom w:val="none" w:sz="0" w:space="0" w:color="auto"/>
        <w:right w:val="none" w:sz="0" w:space="0" w:color="auto"/>
      </w:divBdr>
    </w:div>
    <w:div w:id="1304625781">
      <w:marLeft w:val="0"/>
      <w:marRight w:val="0"/>
      <w:marTop w:val="0"/>
      <w:marBottom w:val="240"/>
      <w:divBdr>
        <w:top w:val="none" w:sz="0" w:space="0" w:color="auto"/>
        <w:left w:val="none" w:sz="0" w:space="0" w:color="auto"/>
        <w:bottom w:val="none" w:sz="0" w:space="0" w:color="auto"/>
        <w:right w:val="none" w:sz="0" w:space="0" w:color="auto"/>
      </w:divBdr>
    </w:div>
    <w:div w:id="1305358279">
      <w:marLeft w:val="0"/>
      <w:marRight w:val="0"/>
      <w:marTop w:val="0"/>
      <w:marBottom w:val="240"/>
      <w:divBdr>
        <w:top w:val="none" w:sz="0" w:space="0" w:color="auto"/>
        <w:left w:val="none" w:sz="0" w:space="0" w:color="auto"/>
        <w:bottom w:val="none" w:sz="0" w:space="0" w:color="auto"/>
        <w:right w:val="none" w:sz="0" w:space="0" w:color="auto"/>
      </w:divBdr>
    </w:div>
    <w:div w:id="1315791862">
      <w:marLeft w:val="0"/>
      <w:marRight w:val="0"/>
      <w:marTop w:val="0"/>
      <w:marBottom w:val="60"/>
      <w:divBdr>
        <w:top w:val="none" w:sz="0" w:space="0" w:color="auto"/>
        <w:left w:val="none" w:sz="0" w:space="0" w:color="auto"/>
        <w:bottom w:val="none" w:sz="0" w:space="0" w:color="auto"/>
        <w:right w:val="none" w:sz="0" w:space="0" w:color="auto"/>
      </w:divBdr>
    </w:div>
    <w:div w:id="1318146141">
      <w:marLeft w:val="0"/>
      <w:marRight w:val="0"/>
      <w:marTop w:val="0"/>
      <w:marBottom w:val="0"/>
      <w:divBdr>
        <w:top w:val="none" w:sz="0" w:space="0" w:color="auto"/>
        <w:left w:val="none" w:sz="0" w:space="0" w:color="auto"/>
        <w:bottom w:val="none" w:sz="0" w:space="0" w:color="auto"/>
        <w:right w:val="none" w:sz="0" w:space="0" w:color="auto"/>
      </w:divBdr>
      <w:divsChild>
        <w:div w:id="1578007733">
          <w:marLeft w:val="0"/>
          <w:marRight w:val="0"/>
          <w:marTop w:val="0"/>
          <w:marBottom w:val="0"/>
          <w:divBdr>
            <w:top w:val="none" w:sz="0" w:space="0" w:color="auto"/>
            <w:left w:val="none" w:sz="0" w:space="0" w:color="auto"/>
            <w:bottom w:val="none" w:sz="0" w:space="0" w:color="auto"/>
            <w:right w:val="none" w:sz="0" w:space="0" w:color="auto"/>
          </w:divBdr>
        </w:div>
      </w:divsChild>
    </w:div>
    <w:div w:id="1320622738">
      <w:marLeft w:val="0"/>
      <w:marRight w:val="0"/>
      <w:marTop w:val="0"/>
      <w:marBottom w:val="60"/>
      <w:divBdr>
        <w:top w:val="none" w:sz="0" w:space="0" w:color="auto"/>
        <w:left w:val="none" w:sz="0" w:space="0" w:color="auto"/>
        <w:bottom w:val="none" w:sz="0" w:space="0" w:color="auto"/>
        <w:right w:val="none" w:sz="0" w:space="0" w:color="auto"/>
      </w:divBdr>
    </w:div>
    <w:div w:id="1321419413">
      <w:marLeft w:val="0"/>
      <w:marRight w:val="0"/>
      <w:marTop w:val="0"/>
      <w:marBottom w:val="240"/>
      <w:divBdr>
        <w:top w:val="none" w:sz="0" w:space="0" w:color="auto"/>
        <w:left w:val="none" w:sz="0" w:space="0" w:color="auto"/>
        <w:bottom w:val="none" w:sz="0" w:space="0" w:color="auto"/>
        <w:right w:val="none" w:sz="0" w:space="0" w:color="auto"/>
      </w:divBdr>
    </w:div>
    <w:div w:id="1326587942">
      <w:marLeft w:val="0"/>
      <w:marRight w:val="0"/>
      <w:marTop w:val="0"/>
      <w:marBottom w:val="0"/>
      <w:divBdr>
        <w:top w:val="none" w:sz="0" w:space="0" w:color="auto"/>
        <w:left w:val="none" w:sz="0" w:space="0" w:color="auto"/>
        <w:bottom w:val="none" w:sz="0" w:space="0" w:color="auto"/>
        <w:right w:val="none" w:sz="0" w:space="0" w:color="auto"/>
      </w:divBdr>
      <w:divsChild>
        <w:div w:id="241305619">
          <w:marLeft w:val="0"/>
          <w:marRight w:val="0"/>
          <w:marTop w:val="0"/>
          <w:marBottom w:val="0"/>
          <w:divBdr>
            <w:top w:val="none" w:sz="0" w:space="0" w:color="auto"/>
            <w:left w:val="none" w:sz="0" w:space="0" w:color="auto"/>
            <w:bottom w:val="none" w:sz="0" w:space="0" w:color="auto"/>
            <w:right w:val="none" w:sz="0" w:space="0" w:color="auto"/>
          </w:divBdr>
        </w:div>
      </w:divsChild>
    </w:div>
    <w:div w:id="1327247483">
      <w:marLeft w:val="0"/>
      <w:marRight w:val="0"/>
      <w:marTop w:val="0"/>
      <w:marBottom w:val="0"/>
      <w:divBdr>
        <w:top w:val="none" w:sz="0" w:space="0" w:color="auto"/>
        <w:left w:val="none" w:sz="0" w:space="0" w:color="auto"/>
        <w:bottom w:val="none" w:sz="0" w:space="0" w:color="auto"/>
        <w:right w:val="none" w:sz="0" w:space="0" w:color="auto"/>
      </w:divBdr>
    </w:div>
    <w:div w:id="1335306027">
      <w:marLeft w:val="0"/>
      <w:marRight w:val="0"/>
      <w:marTop w:val="0"/>
      <w:marBottom w:val="120"/>
      <w:divBdr>
        <w:top w:val="none" w:sz="0" w:space="0" w:color="auto"/>
        <w:left w:val="none" w:sz="0" w:space="0" w:color="auto"/>
        <w:bottom w:val="none" w:sz="0" w:space="0" w:color="auto"/>
        <w:right w:val="none" w:sz="0" w:space="0" w:color="auto"/>
      </w:divBdr>
    </w:div>
    <w:div w:id="1335961732">
      <w:marLeft w:val="0"/>
      <w:marRight w:val="0"/>
      <w:marTop w:val="0"/>
      <w:marBottom w:val="0"/>
      <w:divBdr>
        <w:top w:val="none" w:sz="0" w:space="0" w:color="auto"/>
        <w:left w:val="none" w:sz="0" w:space="0" w:color="auto"/>
        <w:bottom w:val="none" w:sz="0" w:space="0" w:color="auto"/>
        <w:right w:val="none" w:sz="0" w:space="0" w:color="auto"/>
      </w:divBdr>
      <w:divsChild>
        <w:div w:id="2070347935">
          <w:marLeft w:val="0"/>
          <w:marRight w:val="0"/>
          <w:marTop w:val="0"/>
          <w:marBottom w:val="0"/>
          <w:divBdr>
            <w:top w:val="none" w:sz="0" w:space="0" w:color="auto"/>
            <w:left w:val="none" w:sz="0" w:space="0" w:color="auto"/>
            <w:bottom w:val="none" w:sz="0" w:space="0" w:color="auto"/>
            <w:right w:val="none" w:sz="0" w:space="0" w:color="auto"/>
          </w:divBdr>
        </w:div>
      </w:divsChild>
    </w:div>
    <w:div w:id="1336423157">
      <w:marLeft w:val="0"/>
      <w:marRight w:val="0"/>
      <w:marTop w:val="0"/>
      <w:marBottom w:val="120"/>
      <w:divBdr>
        <w:top w:val="none" w:sz="0" w:space="0" w:color="auto"/>
        <w:left w:val="none" w:sz="0" w:space="0" w:color="auto"/>
        <w:bottom w:val="none" w:sz="0" w:space="0" w:color="auto"/>
        <w:right w:val="none" w:sz="0" w:space="0" w:color="auto"/>
      </w:divBdr>
    </w:div>
    <w:div w:id="1336804418">
      <w:marLeft w:val="0"/>
      <w:marRight w:val="0"/>
      <w:marTop w:val="0"/>
      <w:marBottom w:val="60"/>
      <w:divBdr>
        <w:top w:val="none" w:sz="0" w:space="0" w:color="auto"/>
        <w:left w:val="none" w:sz="0" w:space="0" w:color="auto"/>
        <w:bottom w:val="none" w:sz="0" w:space="0" w:color="auto"/>
        <w:right w:val="none" w:sz="0" w:space="0" w:color="auto"/>
      </w:divBdr>
    </w:div>
    <w:div w:id="1339502317">
      <w:marLeft w:val="0"/>
      <w:marRight w:val="0"/>
      <w:marTop w:val="0"/>
      <w:marBottom w:val="60"/>
      <w:divBdr>
        <w:top w:val="none" w:sz="0" w:space="0" w:color="auto"/>
        <w:left w:val="none" w:sz="0" w:space="0" w:color="auto"/>
        <w:bottom w:val="none" w:sz="0" w:space="0" w:color="auto"/>
        <w:right w:val="none" w:sz="0" w:space="0" w:color="auto"/>
      </w:divBdr>
    </w:div>
    <w:div w:id="1341926983">
      <w:marLeft w:val="0"/>
      <w:marRight w:val="0"/>
      <w:marTop w:val="0"/>
      <w:marBottom w:val="240"/>
      <w:divBdr>
        <w:top w:val="none" w:sz="0" w:space="0" w:color="auto"/>
        <w:left w:val="none" w:sz="0" w:space="0" w:color="auto"/>
        <w:bottom w:val="none" w:sz="0" w:space="0" w:color="auto"/>
        <w:right w:val="none" w:sz="0" w:space="0" w:color="auto"/>
      </w:divBdr>
    </w:div>
    <w:div w:id="1347948970">
      <w:marLeft w:val="0"/>
      <w:marRight w:val="0"/>
      <w:marTop w:val="0"/>
      <w:marBottom w:val="240"/>
      <w:divBdr>
        <w:top w:val="none" w:sz="0" w:space="0" w:color="auto"/>
        <w:left w:val="none" w:sz="0" w:space="0" w:color="auto"/>
        <w:bottom w:val="none" w:sz="0" w:space="0" w:color="auto"/>
        <w:right w:val="none" w:sz="0" w:space="0" w:color="auto"/>
      </w:divBdr>
    </w:div>
    <w:div w:id="1354844002">
      <w:marLeft w:val="0"/>
      <w:marRight w:val="0"/>
      <w:marTop w:val="0"/>
      <w:marBottom w:val="80"/>
      <w:divBdr>
        <w:top w:val="none" w:sz="0" w:space="0" w:color="auto"/>
        <w:left w:val="none" w:sz="0" w:space="0" w:color="auto"/>
        <w:bottom w:val="none" w:sz="0" w:space="0" w:color="auto"/>
        <w:right w:val="none" w:sz="0" w:space="0" w:color="auto"/>
      </w:divBdr>
    </w:div>
    <w:div w:id="1361322784">
      <w:marLeft w:val="0"/>
      <w:marRight w:val="0"/>
      <w:marTop w:val="0"/>
      <w:marBottom w:val="0"/>
      <w:divBdr>
        <w:top w:val="none" w:sz="0" w:space="0" w:color="auto"/>
        <w:left w:val="none" w:sz="0" w:space="0" w:color="auto"/>
        <w:bottom w:val="none" w:sz="0" w:space="0" w:color="auto"/>
        <w:right w:val="none" w:sz="0" w:space="0" w:color="auto"/>
      </w:divBdr>
      <w:divsChild>
        <w:div w:id="1252590564">
          <w:marLeft w:val="0"/>
          <w:marRight w:val="0"/>
          <w:marTop w:val="0"/>
          <w:marBottom w:val="0"/>
          <w:divBdr>
            <w:top w:val="none" w:sz="0" w:space="0" w:color="auto"/>
            <w:left w:val="none" w:sz="0" w:space="0" w:color="auto"/>
            <w:bottom w:val="none" w:sz="0" w:space="0" w:color="auto"/>
            <w:right w:val="none" w:sz="0" w:space="0" w:color="auto"/>
          </w:divBdr>
        </w:div>
      </w:divsChild>
    </w:div>
    <w:div w:id="1362122829">
      <w:marLeft w:val="0"/>
      <w:marRight w:val="0"/>
      <w:marTop w:val="0"/>
      <w:marBottom w:val="240"/>
      <w:divBdr>
        <w:top w:val="none" w:sz="0" w:space="0" w:color="auto"/>
        <w:left w:val="none" w:sz="0" w:space="0" w:color="auto"/>
        <w:bottom w:val="none" w:sz="0" w:space="0" w:color="auto"/>
        <w:right w:val="none" w:sz="0" w:space="0" w:color="auto"/>
      </w:divBdr>
    </w:div>
    <w:div w:id="1363240545">
      <w:marLeft w:val="0"/>
      <w:marRight w:val="0"/>
      <w:marTop w:val="0"/>
      <w:marBottom w:val="0"/>
      <w:divBdr>
        <w:top w:val="none" w:sz="0" w:space="0" w:color="auto"/>
        <w:left w:val="none" w:sz="0" w:space="0" w:color="auto"/>
        <w:bottom w:val="none" w:sz="0" w:space="0" w:color="auto"/>
        <w:right w:val="none" w:sz="0" w:space="0" w:color="auto"/>
      </w:divBdr>
    </w:div>
    <w:div w:id="1367753633">
      <w:marLeft w:val="0"/>
      <w:marRight w:val="0"/>
      <w:marTop w:val="0"/>
      <w:marBottom w:val="0"/>
      <w:divBdr>
        <w:top w:val="none" w:sz="0" w:space="0" w:color="auto"/>
        <w:left w:val="none" w:sz="0" w:space="0" w:color="auto"/>
        <w:bottom w:val="none" w:sz="0" w:space="0" w:color="auto"/>
        <w:right w:val="none" w:sz="0" w:space="0" w:color="auto"/>
      </w:divBdr>
      <w:divsChild>
        <w:div w:id="1642422541">
          <w:marLeft w:val="0"/>
          <w:marRight w:val="0"/>
          <w:marTop w:val="0"/>
          <w:marBottom w:val="0"/>
          <w:divBdr>
            <w:top w:val="none" w:sz="0" w:space="0" w:color="auto"/>
            <w:left w:val="none" w:sz="0" w:space="0" w:color="auto"/>
            <w:bottom w:val="none" w:sz="0" w:space="0" w:color="auto"/>
            <w:right w:val="none" w:sz="0" w:space="0" w:color="auto"/>
          </w:divBdr>
        </w:div>
      </w:divsChild>
    </w:div>
    <w:div w:id="1368723128">
      <w:marLeft w:val="0"/>
      <w:marRight w:val="0"/>
      <w:marTop w:val="0"/>
      <w:marBottom w:val="240"/>
      <w:divBdr>
        <w:top w:val="none" w:sz="0" w:space="0" w:color="auto"/>
        <w:left w:val="none" w:sz="0" w:space="0" w:color="auto"/>
        <w:bottom w:val="none" w:sz="0" w:space="0" w:color="auto"/>
        <w:right w:val="none" w:sz="0" w:space="0" w:color="auto"/>
      </w:divBdr>
    </w:div>
    <w:div w:id="1368867240">
      <w:marLeft w:val="0"/>
      <w:marRight w:val="0"/>
      <w:marTop w:val="0"/>
      <w:marBottom w:val="120"/>
      <w:divBdr>
        <w:top w:val="none" w:sz="0" w:space="0" w:color="auto"/>
        <w:left w:val="none" w:sz="0" w:space="0" w:color="auto"/>
        <w:bottom w:val="none" w:sz="0" w:space="0" w:color="auto"/>
        <w:right w:val="none" w:sz="0" w:space="0" w:color="auto"/>
      </w:divBdr>
    </w:div>
    <w:div w:id="1370491712">
      <w:marLeft w:val="0"/>
      <w:marRight w:val="0"/>
      <w:marTop w:val="0"/>
      <w:marBottom w:val="240"/>
      <w:divBdr>
        <w:top w:val="none" w:sz="0" w:space="0" w:color="auto"/>
        <w:left w:val="none" w:sz="0" w:space="0" w:color="auto"/>
        <w:bottom w:val="none" w:sz="0" w:space="0" w:color="auto"/>
        <w:right w:val="none" w:sz="0" w:space="0" w:color="auto"/>
      </w:divBdr>
    </w:div>
    <w:div w:id="1372804629">
      <w:marLeft w:val="0"/>
      <w:marRight w:val="0"/>
      <w:marTop w:val="0"/>
      <w:marBottom w:val="0"/>
      <w:divBdr>
        <w:top w:val="none" w:sz="0" w:space="0" w:color="auto"/>
        <w:left w:val="none" w:sz="0" w:space="0" w:color="auto"/>
        <w:bottom w:val="none" w:sz="0" w:space="0" w:color="auto"/>
        <w:right w:val="none" w:sz="0" w:space="0" w:color="auto"/>
      </w:divBdr>
      <w:divsChild>
        <w:div w:id="1440104334">
          <w:marLeft w:val="0"/>
          <w:marRight w:val="0"/>
          <w:marTop w:val="0"/>
          <w:marBottom w:val="0"/>
          <w:divBdr>
            <w:top w:val="none" w:sz="0" w:space="0" w:color="auto"/>
            <w:left w:val="none" w:sz="0" w:space="0" w:color="auto"/>
            <w:bottom w:val="none" w:sz="0" w:space="0" w:color="auto"/>
            <w:right w:val="none" w:sz="0" w:space="0" w:color="auto"/>
          </w:divBdr>
        </w:div>
      </w:divsChild>
    </w:div>
    <w:div w:id="1373918925">
      <w:marLeft w:val="0"/>
      <w:marRight w:val="0"/>
      <w:marTop w:val="0"/>
      <w:marBottom w:val="0"/>
      <w:divBdr>
        <w:top w:val="none" w:sz="0" w:space="0" w:color="auto"/>
        <w:left w:val="none" w:sz="0" w:space="0" w:color="auto"/>
        <w:bottom w:val="none" w:sz="0" w:space="0" w:color="auto"/>
        <w:right w:val="none" w:sz="0" w:space="0" w:color="auto"/>
      </w:divBdr>
      <w:divsChild>
        <w:div w:id="2128961098">
          <w:marLeft w:val="0"/>
          <w:marRight w:val="0"/>
          <w:marTop w:val="0"/>
          <w:marBottom w:val="0"/>
          <w:divBdr>
            <w:top w:val="none" w:sz="0" w:space="0" w:color="auto"/>
            <w:left w:val="none" w:sz="0" w:space="0" w:color="auto"/>
            <w:bottom w:val="none" w:sz="0" w:space="0" w:color="auto"/>
            <w:right w:val="none" w:sz="0" w:space="0" w:color="auto"/>
          </w:divBdr>
        </w:div>
      </w:divsChild>
    </w:div>
    <w:div w:id="1382632836">
      <w:marLeft w:val="0"/>
      <w:marRight w:val="0"/>
      <w:marTop w:val="0"/>
      <w:marBottom w:val="240"/>
      <w:divBdr>
        <w:top w:val="none" w:sz="0" w:space="0" w:color="auto"/>
        <w:left w:val="none" w:sz="0" w:space="0" w:color="auto"/>
        <w:bottom w:val="none" w:sz="0" w:space="0" w:color="auto"/>
        <w:right w:val="none" w:sz="0" w:space="0" w:color="auto"/>
      </w:divBdr>
    </w:div>
    <w:div w:id="1391264706">
      <w:marLeft w:val="0"/>
      <w:marRight w:val="0"/>
      <w:marTop w:val="0"/>
      <w:marBottom w:val="240"/>
      <w:divBdr>
        <w:top w:val="none" w:sz="0" w:space="0" w:color="auto"/>
        <w:left w:val="none" w:sz="0" w:space="0" w:color="auto"/>
        <w:bottom w:val="none" w:sz="0" w:space="0" w:color="auto"/>
        <w:right w:val="none" w:sz="0" w:space="0" w:color="auto"/>
      </w:divBdr>
    </w:div>
    <w:div w:id="1393892169">
      <w:marLeft w:val="0"/>
      <w:marRight w:val="0"/>
      <w:marTop w:val="0"/>
      <w:marBottom w:val="0"/>
      <w:divBdr>
        <w:top w:val="none" w:sz="0" w:space="0" w:color="auto"/>
        <w:left w:val="none" w:sz="0" w:space="0" w:color="auto"/>
        <w:bottom w:val="none" w:sz="0" w:space="0" w:color="auto"/>
        <w:right w:val="none" w:sz="0" w:space="0" w:color="auto"/>
      </w:divBdr>
      <w:divsChild>
        <w:div w:id="655380541">
          <w:marLeft w:val="0"/>
          <w:marRight w:val="0"/>
          <w:marTop w:val="0"/>
          <w:marBottom w:val="0"/>
          <w:divBdr>
            <w:top w:val="none" w:sz="0" w:space="0" w:color="auto"/>
            <w:left w:val="none" w:sz="0" w:space="0" w:color="auto"/>
            <w:bottom w:val="none" w:sz="0" w:space="0" w:color="auto"/>
            <w:right w:val="none" w:sz="0" w:space="0" w:color="auto"/>
          </w:divBdr>
        </w:div>
      </w:divsChild>
    </w:div>
    <w:div w:id="1395816467">
      <w:marLeft w:val="0"/>
      <w:marRight w:val="0"/>
      <w:marTop w:val="0"/>
      <w:marBottom w:val="240"/>
      <w:divBdr>
        <w:top w:val="none" w:sz="0" w:space="0" w:color="auto"/>
        <w:left w:val="none" w:sz="0" w:space="0" w:color="auto"/>
        <w:bottom w:val="none" w:sz="0" w:space="0" w:color="auto"/>
        <w:right w:val="none" w:sz="0" w:space="0" w:color="auto"/>
      </w:divBdr>
    </w:div>
    <w:div w:id="1396390267">
      <w:marLeft w:val="0"/>
      <w:marRight w:val="0"/>
      <w:marTop w:val="0"/>
      <w:marBottom w:val="60"/>
      <w:divBdr>
        <w:top w:val="none" w:sz="0" w:space="0" w:color="auto"/>
        <w:left w:val="none" w:sz="0" w:space="0" w:color="auto"/>
        <w:bottom w:val="none" w:sz="0" w:space="0" w:color="auto"/>
        <w:right w:val="none" w:sz="0" w:space="0" w:color="auto"/>
      </w:divBdr>
    </w:div>
    <w:div w:id="1396856121">
      <w:marLeft w:val="0"/>
      <w:marRight w:val="0"/>
      <w:marTop w:val="0"/>
      <w:marBottom w:val="0"/>
      <w:divBdr>
        <w:top w:val="none" w:sz="0" w:space="0" w:color="auto"/>
        <w:left w:val="none" w:sz="0" w:space="0" w:color="auto"/>
        <w:bottom w:val="none" w:sz="0" w:space="0" w:color="auto"/>
        <w:right w:val="none" w:sz="0" w:space="0" w:color="auto"/>
      </w:divBdr>
      <w:divsChild>
        <w:div w:id="1682508950">
          <w:marLeft w:val="0"/>
          <w:marRight w:val="0"/>
          <w:marTop w:val="0"/>
          <w:marBottom w:val="0"/>
          <w:divBdr>
            <w:top w:val="none" w:sz="0" w:space="0" w:color="auto"/>
            <w:left w:val="none" w:sz="0" w:space="0" w:color="auto"/>
            <w:bottom w:val="none" w:sz="0" w:space="0" w:color="auto"/>
            <w:right w:val="none" w:sz="0" w:space="0" w:color="auto"/>
          </w:divBdr>
        </w:div>
      </w:divsChild>
    </w:div>
    <w:div w:id="1402674309">
      <w:marLeft w:val="0"/>
      <w:marRight w:val="0"/>
      <w:marTop w:val="0"/>
      <w:marBottom w:val="240"/>
      <w:divBdr>
        <w:top w:val="none" w:sz="0" w:space="0" w:color="auto"/>
        <w:left w:val="none" w:sz="0" w:space="0" w:color="auto"/>
        <w:bottom w:val="none" w:sz="0" w:space="0" w:color="auto"/>
        <w:right w:val="none" w:sz="0" w:space="0" w:color="auto"/>
      </w:divBdr>
    </w:div>
    <w:div w:id="1403404970">
      <w:marLeft w:val="0"/>
      <w:marRight w:val="0"/>
      <w:marTop w:val="120"/>
      <w:marBottom w:val="0"/>
      <w:divBdr>
        <w:top w:val="none" w:sz="0" w:space="0" w:color="auto"/>
        <w:left w:val="none" w:sz="0" w:space="0" w:color="auto"/>
        <w:bottom w:val="none" w:sz="0" w:space="0" w:color="auto"/>
        <w:right w:val="none" w:sz="0" w:space="0" w:color="auto"/>
      </w:divBdr>
    </w:div>
    <w:div w:id="1403797523">
      <w:marLeft w:val="0"/>
      <w:marRight w:val="0"/>
      <w:marTop w:val="0"/>
      <w:marBottom w:val="0"/>
      <w:divBdr>
        <w:top w:val="none" w:sz="0" w:space="0" w:color="auto"/>
        <w:left w:val="none" w:sz="0" w:space="0" w:color="auto"/>
        <w:bottom w:val="none" w:sz="0" w:space="0" w:color="auto"/>
        <w:right w:val="none" w:sz="0" w:space="0" w:color="auto"/>
      </w:divBdr>
      <w:divsChild>
        <w:div w:id="1541162007">
          <w:marLeft w:val="0"/>
          <w:marRight w:val="0"/>
          <w:marTop w:val="0"/>
          <w:marBottom w:val="0"/>
          <w:divBdr>
            <w:top w:val="none" w:sz="0" w:space="0" w:color="auto"/>
            <w:left w:val="none" w:sz="0" w:space="0" w:color="auto"/>
            <w:bottom w:val="none" w:sz="0" w:space="0" w:color="auto"/>
            <w:right w:val="none" w:sz="0" w:space="0" w:color="auto"/>
          </w:divBdr>
        </w:div>
      </w:divsChild>
    </w:div>
    <w:div w:id="1405713496">
      <w:marLeft w:val="0"/>
      <w:marRight w:val="0"/>
      <w:marTop w:val="0"/>
      <w:marBottom w:val="60"/>
      <w:divBdr>
        <w:top w:val="none" w:sz="0" w:space="0" w:color="auto"/>
        <w:left w:val="none" w:sz="0" w:space="0" w:color="auto"/>
        <w:bottom w:val="none" w:sz="0" w:space="0" w:color="auto"/>
        <w:right w:val="none" w:sz="0" w:space="0" w:color="auto"/>
      </w:divBdr>
    </w:div>
    <w:div w:id="1407341338">
      <w:marLeft w:val="0"/>
      <w:marRight w:val="0"/>
      <w:marTop w:val="0"/>
      <w:marBottom w:val="60"/>
      <w:divBdr>
        <w:top w:val="none" w:sz="0" w:space="0" w:color="auto"/>
        <w:left w:val="none" w:sz="0" w:space="0" w:color="auto"/>
        <w:bottom w:val="none" w:sz="0" w:space="0" w:color="auto"/>
        <w:right w:val="none" w:sz="0" w:space="0" w:color="auto"/>
      </w:divBdr>
    </w:div>
    <w:div w:id="1410537302">
      <w:marLeft w:val="0"/>
      <w:marRight w:val="0"/>
      <w:marTop w:val="0"/>
      <w:marBottom w:val="240"/>
      <w:divBdr>
        <w:top w:val="none" w:sz="0" w:space="0" w:color="auto"/>
        <w:left w:val="none" w:sz="0" w:space="0" w:color="auto"/>
        <w:bottom w:val="none" w:sz="0" w:space="0" w:color="auto"/>
        <w:right w:val="none" w:sz="0" w:space="0" w:color="auto"/>
      </w:divBdr>
    </w:div>
    <w:div w:id="1415126229">
      <w:marLeft w:val="0"/>
      <w:marRight w:val="0"/>
      <w:marTop w:val="240"/>
      <w:marBottom w:val="240"/>
      <w:divBdr>
        <w:top w:val="none" w:sz="0" w:space="0" w:color="auto"/>
        <w:left w:val="none" w:sz="0" w:space="0" w:color="auto"/>
        <w:bottom w:val="none" w:sz="0" w:space="0" w:color="auto"/>
        <w:right w:val="none" w:sz="0" w:space="0" w:color="auto"/>
      </w:divBdr>
    </w:div>
    <w:div w:id="1416435985">
      <w:marLeft w:val="0"/>
      <w:marRight w:val="0"/>
      <w:marTop w:val="0"/>
      <w:marBottom w:val="60"/>
      <w:divBdr>
        <w:top w:val="none" w:sz="0" w:space="0" w:color="auto"/>
        <w:left w:val="none" w:sz="0" w:space="0" w:color="auto"/>
        <w:bottom w:val="none" w:sz="0" w:space="0" w:color="auto"/>
        <w:right w:val="none" w:sz="0" w:space="0" w:color="auto"/>
      </w:divBdr>
    </w:div>
    <w:div w:id="1420365092">
      <w:marLeft w:val="0"/>
      <w:marRight w:val="0"/>
      <w:marTop w:val="0"/>
      <w:marBottom w:val="0"/>
      <w:divBdr>
        <w:top w:val="none" w:sz="0" w:space="0" w:color="auto"/>
        <w:left w:val="none" w:sz="0" w:space="0" w:color="auto"/>
        <w:bottom w:val="none" w:sz="0" w:space="0" w:color="auto"/>
        <w:right w:val="none" w:sz="0" w:space="0" w:color="auto"/>
      </w:divBdr>
    </w:div>
    <w:div w:id="1432968932">
      <w:marLeft w:val="0"/>
      <w:marRight w:val="0"/>
      <w:marTop w:val="0"/>
      <w:marBottom w:val="200"/>
      <w:divBdr>
        <w:top w:val="none" w:sz="0" w:space="0" w:color="auto"/>
        <w:left w:val="none" w:sz="0" w:space="0" w:color="auto"/>
        <w:bottom w:val="none" w:sz="0" w:space="0" w:color="auto"/>
        <w:right w:val="none" w:sz="0" w:space="0" w:color="auto"/>
      </w:divBdr>
    </w:div>
    <w:div w:id="1435828330">
      <w:marLeft w:val="0"/>
      <w:marRight w:val="0"/>
      <w:marTop w:val="0"/>
      <w:marBottom w:val="240"/>
      <w:divBdr>
        <w:top w:val="none" w:sz="0" w:space="0" w:color="auto"/>
        <w:left w:val="none" w:sz="0" w:space="0" w:color="auto"/>
        <w:bottom w:val="none" w:sz="0" w:space="0" w:color="auto"/>
        <w:right w:val="none" w:sz="0" w:space="0" w:color="auto"/>
      </w:divBdr>
    </w:div>
    <w:div w:id="1436710204">
      <w:marLeft w:val="0"/>
      <w:marRight w:val="0"/>
      <w:marTop w:val="0"/>
      <w:marBottom w:val="0"/>
      <w:divBdr>
        <w:top w:val="none" w:sz="0" w:space="0" w:color="auto"/>
        <w:left w:val="none" w:sz="0" w:space="0" w:color="auto"/>
        <w:bottom w:val="none" w:sz="0" w:space="0" w:color="auto"/>
        <w:right w:val="none" w:sz="0" w:space="0" w:color="auto"/>
      </w:divBdr>
      <w:divsChild>
        <w:div w:id="1109397771">
          <w:marLeft w:val="0"/>
          <w:marRight w:val="0"/>
          <w:marTop w:val="0"/>
          <w:marBottom w:val="0"/>
          <w:divBdr>
            <w:top w:val="none" w:sz="0" w:space="0" w:color="auto"/>
            <w:left w:val="none" w:sz="0" w:space="0" w:color="auto"/>
            <w:bottom w:val="none" w:sz="0" w:space="0" w:color="auto"/>
            <w:right w:val="none" w:sz="0" w:space="0" w:color="auto"/>
          </w:divBdr>
        </w:div>
      </w:divsChild>
    </w:div>
    <w:div w:id="1438595746">
      <w:marLeft w:val="0"/>
      <w:marRight w:val="0"/>
      <w:marTop w:val="0"/>
      <w:marBottom w:val="240"/>
      <w:divBdr>
        <w:top w:val="none" w:sz="0" w:space="0" w:color="auto"/>
        <w:left w:val="none" w:sz="0" w:space="0" w:color="auto"/>
        <w:bottom w:val="none" w:sz="0" w:space="0" w:color="auto"/>
        <w:right w:val="none" w:sz="0" w:space="0" w:color="auto"/>
      </w:divBdr>
    </w:div>
    <w:div w:id="1440296708">
      <w:marLeft w:val="0"/>
      <w:marRight w:val="0"/>
      <w:marTop w:val="0"/>
      <w:marBottom w:val="0"/>
      <w:divBdr>
        <w:top w:val="none" w:sz="0" w:space="0" w:color="auto"/>
        <w:left w:val="none" w:sz="0" w:space="0" w:color="auto"/>
        <w:bottom w:val="none" w:sz="0" w:space="0" w:color="auto"/>
        <w:right w:val="none" w:sz="0" w:space="0" w:color="auto"/>
      </w:divBdr>
      <w:divsChild>
        <w:div w:id="1330789005">
          <w:marLeft w:val="0"/>
          <w:marRight w:val="0"/>
          <w:marTop w:val="0"/>
          <w:marBottom w:val="0"/>
          <w:divBdr>
            <w:top w:val="none" w:sz="0" w:space="0" w:color="auto"/>
            <w:left w:val="none" w:sz="0" w:space="0" w:color="auto"/>
            <w:bottom w:val="none" w:sz="0" w:space="0" w:color="auto"/>
            <w:right w:val="none" w:sz="0" w:space="0" w:color="auto"/>
          </w:divBdr>
        </w:div>
      </w:divsChild>
    </w:div>
    <w:div w:id="1442841381">
      <w:marLeft w:val="0"/>
      <w:marRight w:val="0"/>
      <w:marTop w:val="240"/>
      <w:marBottom w:val="0"/>
      <w:divBdr>
        <w:top w:val="none" w:sz="0" w:space="0" w:color="auto"/>
        <w:left w:val="none" w:sz="0" w:space="0" w:color="auto"/>
        <w:bottom w:val="none" w:sz="0" w:space="0" w:color="auto"/>
        <w:right w:val="none" w:sz="0" w:space="0" w:color="auto"/>
      </w:divBdr>
    </w:div>
    <w:div w:id="1444809198">
      <w:marLeft w:val="0"/>
      <w:marRight w:val="0"/>
      <w:marTop w:val="0"/>
      <w:marBottom w:val="240"/>
      <w:divBdr>
        <w:top w:val="none" w:sz="0" w:space="0" w:color="auto"/>
        <w:left w:val="none" w:sz="0" w:space="0" w:color="auto"/>
        <w:bottom w:val="none" w:sz="0" w:space="0" w:color="auto"/>
        <w:right w:val="none" w:sz="0" w:space="0" w:color="auto"/>
      </w:divBdr>
    </w:div>
    <w:div w:id="1445033116">
      <w:marLeft w:val="0"/>
      <w:marRight w:val="0"/>
      <w:marTop w:val="240"/>
      <w:marBottom w:val="240"/>
      <w:divBdr>
        <w:top w:val="none" w:sz="0" w:space="0" w:color="auto"/>
        <w:left w:val="none" w:sz="0" w:space="0" w:color="auto"/>
        <w:bottom w:val="none" w:sz="0" w:space="0" w:color="auto"/>
        <w:right w:val="none" w:sz="0" w:space="0" w:color="auto"/>
      </w:divBdr>
    </w:div>
    <w:div w:id="1445494610">
      <w:marLeft w:val="0"/>
      <w:marRight w:val="0"/>
      <w:marTop w:val="0"/>
      <w:marBottom w:val="200"/>
      <w:divBdr>
        <w:top w:val="none" w:sz="0" w:space="0" w:color="auto"/>
        <w:left w:val="none" w:sz="0" w:space="0" w:color="auto"/>
        <w:bottom w:val="none" w:sz="0" w:space="0" w:color="auto"/>
        <w:right w:val="none" w:sz="0" w:space="0" w:color="auto"/>
      </w:divBdr>
    </w:div>
    <w:div w:id="1446346441">
      <w:marLeft w:val="0"/>
      <w:marRight w:val="0"/>
      <w:marTop w:val="240"/>
      <w:marBottom w:val="240"/>
      <w:divBdr>
        <w:top w:val="none" w:sz="0" w:space="0" w:color="auto"/>
        <w:left w:val="none" w:sz="0" w:space="0" w:color="auto"/>
        <w:bottom w:val="none" w:sz="0" w:space="0" w:color="auto"/>
        <w:right w:val="none" w:sz="0" w:space="0" w:color="auto"/>
      </w:divBdr>
    </w:div>
    <w:div w:id="1457529870">
      <w:marLeft w:val="0"/>
      <w:marRight w:val="0"/>
      <w:marTop w:val="0"/>
      <w:marBottom w:val="0"/>
      <w:divBdr>
        <w:top w:val="none" w:sz="0" w:space="0" w:color="auto"/>
        <w:left w:val="none" w:sz="0" w:space="0" w:color="auto"/>
        <w:bottom w:val="none" w:sz="0" w:space="0" w:color="auto"/>
        <w:right w:val="none" w:sz="0" w:space="0" w:color="auto"/>
      </w:divBdr>
      <w:divsChild>
        <w:div w:id="1112699601">
          <w:marLeft w:val="0"/>
          <w:marRight w:val="0"/>
          <w:marTop w:val="0"/>
          <w:marBottom w:val="0"/>
          <w:divBdr>
            <w:top w:val="none" w:sz="0" w:space="0" w:color="auto"/>
            <w:left w:val="none" w:sz="0" w:space="0" w:color="auto"/>
            <w:bottom w:val="none" w:sz="0" w:space="0" w:color="auto"/>
            <w:right w:val="none" w:sz="0" w:space="0" w:color="auto"/>
          </w:divBdr>
        </w:div>
      </w:divsChild>
    </w:div>
    <w:div w:id="1457677727">
      <w:marLeft w:val="0"/>
      <w:marRight w:val="0"/>
      <w:marTop w:val="240"/>
      <w:marBottom w:val="0"/>
      <w:divBdr>
        <w:top w:val="none" w:sz="0" w:space="0" w:color="auto"/>
        <w:left w:val="none" w:sz="0" w:space="0" w:color="auto"/>
        <w:bottom w:val="none" w:sz="0" w:space="0" w:color="auto"/>
        <w:right w:val="none" w:sz="0" w:space="0" w:color="auto"/>
      </w:divBdr>
    </w:div>
    <w:div w:id="1458527826">
      <w:marLeft w:val="0"/>
      <w:marRight w:val="0"/>
      <w:marTop w:val="0"/>
      <w:marBottom w:val="0"/>
      <w:divBdr>
        <w:top w:val="none" w:sz="0" w:space="0" w:color="auto"/>
        <w:left w:val="none" w:sz="0" w:space="0" w:color="auto"/>
        <w:bottom w:val="none" w:sz="0" w:space="0" w:color="auto"/>
        <w:right w:val="none" w:sz="0" w:space="0" w:color="auto"/>
      </w:divBdr>
      <w:divsChild>
        <w:div w:id="632634271">
          <w:marLeft w:val="0"/>
          <w:marRight w:val="0"/>
          <w:marTop w:val="0"/>
          <w:marBottom w:val="0"/>
          <w:divBdr>
            <w:top w:val="none" w:sz="0" w:space="0" w:color="auto"/>
            <w:left w:val="none" w:sz="0" w:space="0" w:color="auto"/>
            <w:bottom w:val="none" w:sz="0" w:space="0" w:color="auto"/>
            <w:right w:val="none" w:sz="0" w:space="0" w:color="auto"/>
          </w:divBdr>
        </w:div>
      </w:divsChild>
    </w:div>
    <w:div w:id="1460225028">
      <w:marLeft w:val="0"/>
      <w:marRight w:val="0"/>
      <w:marTop w:val="0"/>
      <w:marBottom w:val="240"/>
      <w:divBdr>
        <w:top w:val="none" w:sz="0" w:space="0" w:color="auto"/>
        <w:left w:val="none" w:sz="0" w:space="0" w:color="auto"/>
        <w:bottom w:val="none" w:sz="0" w:space="0" w:color="auto"/>
        <w:right w:val="none" w:sz="0" w:space="0" w:color="auto"/>
      </w:divBdr>
    </w:div>
    <w:div w:id="1460302591">
      <w:marLeft w:val="0"/>
      <w:marRight w:val="0"/>
      <w:marTop w:val="240"/>
      <w:marBottom w:val="0"/>
      <w:divBdr>
        <w:top w:val="none" w:sz="0" w:space="0" w:color="auto"/>
        <w:left w:val="none" w:sz="0" w:space="0" w:color="auto"/>
        <w:bottom w:val="none" w:sz="0" w:space="0" w:color="auto"/>
        <w:right w:val="none" w:sz="0" w:space="0" w:color="auto"/>
      </w:divBdr>
    </w:div>
    <w:div w:id="1460798806">
      <w:marLeft w:val="0"/>
      <w:marRight w:val="0"/>
      <w:marTop w:val="0"/>
      <w:marBottom w:val="240"/>
      <w:divBdr>
        <w:top w:val="none" w:sz="0" w:space="0" w:color="auto"/>
        <w:left w:val="none" w:sz="0" w:space="0" w:color="auto"/>
        <w:bottom w:val="none" w:sz="0" w:space="0" w:color="auto"/>
        <w:right w:val="none" w:sz="0" w:space="0" w:color="auto"/>
      </w:divBdr>
    </w:div>
    <w:div w:id="1471366969">
      <w:marLeft w:val="0"/>
      <w:marRight w:val="0"/>
      <w:marTop w:val="0"/>
      <w:marBottom w:val="240"/>
      <w:divBdr>
        <w:top w:val="none" w:sz="0" w:space="0" w:color="auto"/>
        <w:left w:val="none" w:sz="0" w:space="0" w:color="auto"/>
        <w:bottom w:val="none" w:sz="0" w:space="0" w:color="auto"/>
        <w:right w:val="none" w:sz="0" w:space="0" w:color="auto"/>
      </w:divBdr>
    </w:div>
    <w:div w:id="1476868905">
      <w:marLeft w:val="0"/>
      <w:marRight w:val="0"/>
      <w:marTop w:val="0"/>
      <w:marBottom w:val="0"/>
      <w:divBdr>
        <w:top w:val="none" w:sz="0" w:space="0" w:color="auto"/>
        <w:left w:val="none" w:sz="0" w:space="0" w:color="auto"/>
        <w:bottom w:val="none" w:sz="0" w:space="0" w:color="auto"/>
        <w:right w:val="none" w:sz="0" w:space="0" w:color="auto"/>
      </w:divBdr>
      <w:divsChild>
        <w:div w:id="902526343">
          <w:marLeft w:val="0"/>
          <w:marRight w:val="0"/>
          <w:marTop w:val="0"/>
          <w:marBottom w:val="0"/>
          <w:divBdr>
            <w:top w:val="none" w:sz="0" w:space="0" w:color="auto"/>
            <w:left w:val="none" w:sz="0" w:space="0" w:color="auto"/>
            <w:bottom w:val="none" w:sz="0" w:space="0" w:color="auto"/>
            <w:right w:val="none" w:sz="0" w:space="0" w:color="auto"/>
          </w:divBdr>
        </w:div>
      </w:divsChild>
    </w:div>
    <w:div w:id="1477868177">
      <w:marLeft w:val="0"/>
      <w:marRight w:val="0"/>
      <w:marTop w:val="0"/>
      <w:marBottom w:val="240"/>
      <w:divBdr>
        <w:top w:val="none" w:sz="0" w:space="0" w:color="auto"/>
        <w:left w:val="none" w:sz="0" w:space="0" w:color="auto"/>
        <w:bottom w:val="none" w:sz="0" w:space="0" w:color="auto"/>
        <w:right w:val="none" w:sz="0" w:space="0" w:color="auto"/>
      </w:divBdr>
    </w:div>
    <w:div w:id="1480001114">
      <w:marLeft w:val="0"/>
      <w:marRight w:val="0"/>
      <w:marTop w:val="0"/>
      <w:marBottom w:val="240"/>
      <w:divBdr>
        <w:top w:val="none" w:sz="0" w:space="0" w:color="auto"/>
        <w:left w:val="none" w:sz="0" w:space="0" w:color="auto"/>
        <w:bottom w:val="none" w:sz="0" w:space="0" w:color="auto"/>
        <w:right w:val="none" w:sz="0" w:space="0" w:color="auto"/>
      </w:divBdr>
    </w:div>
    <w:div w:id="1482311008">
      <w:marLeft w:val="0"/>
      <w:marRight w:val="0"/>
      <w:marTop w:val="0"/>
      <w:marBottom w:val="240"/>
      <w:divBdr>
        <w:top w:val="none" w:sz="0" w:space="0" w:color="auto"/>
        <w:left w:val="none" w:sz="0" w:space="0" w:color="auto"/>
        <w:bottom w:val="none" w:sz="0" w:space="0" w:color="auto"/>
        <w:right w:val="none" w:sz="0" w:space="0" w:color="auto"/>
      </w:divBdr>
    </w:div>
    <w:div w:id="1483811530">
      <w:marLeft w:val="0"/>
      <w:marRight w:val="0"/>
      <w:marTop w:val="0"/>
      <w:marBottom w:val="60"/>
      <w:divBdr>
        <w:top w:val="none" w:sz="0" w:space="0" w:color="auto"/>
        <w:left w:val="none" w:sz="0" w:space="0" w:color="auto"/>
        <w:bottom w:val="none" w:sz="0" w:space="0" w:color="auto"/>
        <w:right w:val="none" w:sz="0" w:space="0" w:color="auto"/>
      </w:divBdr>
    </w:div>
    <w:div w:id="1484856499">
      <w:marLeft w:val="0"/>
      <w:marRight w:val="0"/>
      <w:marTop w:val="0"/>
      <w:marBottom w:val="240"/>
      <w:divBdr>
        <w:top w:val="none" w:sz="0" w:space="0" w:color="auto"/>
        <w:left w:val="none" w:sz="0" w:space="0" w:color="auto"/>
        <w:bottom w:val="none" w:sz="0" w:space="0" w:color="auto"/>
        <w:right w:val="none" w:sz="0" w:space="0" w:color="auto"/>
      </w:divBdr>
    </w:div>
    <w:div w:id="1486780741">
      <w:marLeft w:val="0"/>
      <w:marRight w:val="0"/>
      <w:marTop w:val="0"/>
      <w:marBottom w:val="240"/>
      <w:divBdr>
        <w:top w:val="none" w:sz="0" w:space="0" w:color="auto"/>
        <w:left w:val="none" w:sz="0" w:space="0" w:color="auto"/>
        <w:bottom w:val="none" w:sz="0" w:space="0" w:color="auto"/>
        <w:right w:val="none" w:sz="0" w:space="0" w:color="auto"/>
      </w:divBdr>
    </w:div>
    <w:div w:id="1486818552">
      <w:marLeft w:val="0"/>
      <w:marRight w:val="0"/>
      <w:marTop w:val="0"/>
      <w:marBottom w:val="120"/>
      <w:divBdr>
        <w:top w:val="none" w:sz="0" w:space="0" w:color="auto"/>
        <w:left w:val="none" w:sz="0" w:space="0" w:color="auto"/>
        <w:bottom w:val="none" w:sz="0" w:space="0" w:color="auto"/>
        <w:right w:val="none" w:sz="0" w:space="0" w:color="auto"/>
      </w:divBdr>
    </w:div>
    <w:div w:id="1491166864">
      <w:marLeft w:val="0"/>
      <w:marRight w:val="0"/>
      <w:marTop w:val="0"/>
      <w:marBottom w:val="0"/>
      <w:divBdr>
        <w:top w:val="none" w:sz="0" w:space="0" w:color="auto"/>
        <w:left w:val="none" w:sz="0" w:space="0" w:color="auto"/>
        <w:bottom w:val="none" w:sz="0" w:space="0" w:color="auto"/>
        <w:right w:val="none" w:sz="0" w:space="0" w:color="auto"/>
      </w:divBdr>
    </w:div>
    <w:div w:id="1491754014">
      <w:marLeft w:val="0"/>
      <w:marRight w:val="0"/>
      <w:marTop w:val="240"/>
      <w:marBottom w:val="0"/>
      <w:divBdr>
        <w:top w:val="none" w:sz="0" w:space="0" w:color="auto"/>
        <w:left w:val="none" w:sz="0" w:space="0" w:color="auto"/>
        <w:bottom w:val="none" w:sz="0" w:space="0" w:color="auto"/>
        <w:right w:val="none" w:sz="0" w:space="0" w:color="auto"/>
      </w:divBdr>
    </w:div>
    <w:div w:id="1502701979">
      <w:marLeft w:val="0"/>
      <w:marRight w:val="0"/>
      <w:marTop w:val="0"/>
      <w:marBottom w:val="0"/>
      <w:divBdr>
        <w:top w:val="none" w:sz="0" w:space="0" w:color="auto"/>
        <w:left w:val="none" w:sz="0" w:space="0" w:color="auto"/>
        <w:bottom w:val="none" w:sz="0" w:space="0" w:color="auto"/>
        <w:right w:val="none" w:sz="0" w:space="0" w:color="auto"/>
      </w:divBdr>
      <w:divsChild>
        <w:div w:id="290331929">
          <w:marLeft w:val="0"/>
          <w:marRight w:val="0"/>
          <w:marTop w:val="0"/>
          <w:marBottom w:val="0"/>
          <w:divBdr>
            <w:top w:val="none" w:sz="0" w:space="0" w:color="auto"/>
            <w:left w:val="none" w:sz="0" w:space="0" w:color="auto"/>
            <w:bottom w:val="none" w:sz="0" w:space="0" w:color="auto"/>
            <w:right w:val="none" w:sz="0" w:space="0" w:color="auto"/>
          </w:divBdr>
        </w:div>
      </w:divsChild>
    </w:div>
    <w:div w:id="1507211317">
      <w:marLeft w:val="0"/>
      <w:marRight w:val="0"/>
      <w:marTop w:val="0"/>
      <w:marBottom w:val="0"/>
      <w:divBdr>
        <w:top w:val="none" w:sz="0" w:space="0" w:color="auto"/>
        <w:left w:val="none" w:sz="0" w:space="0" w:color="auto"/>
        <w:bottom w:val="none" w:sz="0" w:space="0" w:color="auto"/>
        <w:right w:val="none" w:sz="0" w:space="0" w:color="auto"/>
      </w:divBdr>
    </w:div>
    <w:div w:id="1508714667">
      <w:marLeft w:val="0"/>
      <w:marRight w:val="0"/>
      <w:marTop w:val="0"/>
      <w:marBottom w:val="0"/>
      <w:divBdr>
        <w:top w:val="none" w:sz="0" w:space="0" w:color="auto"/>
        <w:left w:val="none" w:sz="0" w:space="0" w:color="auto"/>
        <w:bottom w:val="none" w:sz="0" w:space="0" w:color="auto"/>
        <w:right w:val="none" w:sz="0" w:space="0" w:color="auto"/>
      </w:divBdr>
    </w:div>
    <w:div w:id="1516112878">
      <w:marLeft w:val="0"/>
      <w:marRight w:val="0"/>
      <w:marTop w:val="0"/>
      <w:marBottom w:val="240"/>
      <w:divBdr>
        <w:top w:val="none" w:sz="0" w:space="0" w:color="auto"/>
        <w:left w:val="none" w:sz="0" w:space="0" w:color="auto"/>
        <w:bottom w:val="none" w:sz="0" w:space="0" w:color="auto"/>
        <w:right w:val="none" w:sz="0" w:space="0" w:color="auto"/>
      </w:divBdr>
    </w:div>
    <w:div w:id="1516378427">
      <w:marLeft w:val="0"/>
      <w:marRight w:val="0"/>
      <w:marTop w:val="0"/>
      <w:marBottom w:val="240"/>
      <w:divBdr>
        <w:top w:val="none" w:sz="0" w:space="0" w:color="auto"/>
        <w:left w:val="none" w:sz="0" w:space="0" w:color="auto"/>
        <w:bottom w:val="none" w:sz="0" w:space="0" w:color="auto"/>
        <w:right w:val="none" w:sz="0" w:space="0" w:color="auto"/>
      </w:divBdr>
    </w:div>
    <w:div w:id="1517038466">
      <w:marLeft w:val="0"/>
      <w:marRight w:val="0"/>
      <w:marTop w:val="0"/>
      <w:marBottom w:val="240"/>
      <w:divBdr>
        <w:top w:val="none" w:sz="0" w:space="0" w:color="auto"/>
        <w:left w:val="none" w:sz="0" w:space="0" w:color="auto"/>
        <w:bottom w:val="none" w:sz="0" w:space="0" w:color="auto"/>
        <w:right w:val="none" w:sz="0" w:space="0" w:color="auto"/>
      </w:divBdr>
    </w:div>
    <w:div w:id="1523982121">
      <w:marLeft w:val="0"/>
      <w:marRight w:val="0"/>
      <w:marTop w:val="0"/>
      <w:marBottom w:val="240"/>
      <w:divBdr>
        <w:top w:val="none" w:sz="0" w:space="0" w:color="auto"/>
        <w:left w:val="none" w:sz="0" w:space="0" w:color="auto"/>
        <w:bottom w:val="none" w:sz="0" w:space="0" w:color="auto"/>
        <w:right w:val="none" w:sz="0" w:space="0" w:color="auto"/>
      </w:divBdr>
    </w:div>
    <w:div w:id="1524780825">
      <w:marLeft w:val="0"/>
      <w:marRight w:val="0"/>
      <w:marTop w:val="0"/>
      <w:marBottom w:val="240"/>
      <w:divBdr>
        <w:top w:val="none" w:sz="0" w:space="0" w:color="auto"/>
        <w:left w:val="none" w:sz="0" w:space="0" w:color="auto"/>
        <w:bottom w:val="none" w:sz="0" w:space="0" w:color="auto"/>
        <w:right w:val="none" w:sz="0" w:space="0" w:color="auto"/>
      </w:divBdr>
      <w:divsChild>
        <w:div w:id="918708148">
          <w:marLeft w:val="0"/>
          <w:marRight w:val="0"/>
          <w:marTop w:val="0"/>
          <w:marBottom w:val="0"/>
          <w:divBdr>
            <w:top w:val="none" w:sz="0" w:space="0" w:color="auto"/>
            <w:left w:val="none" w:sz="0" w:space="0" w:color="auto"/>
            <w:bottom w:val="none" w:sz="0" w:space="0" w:color="auto"/>
            <w:right w:val="none" w:sz="0" w:space="0" w:color="auto"/>
          </w:divBdr>
        </w:div>
      </w:divsChild>
    </w:div>
    <w:div w:id="1527869845">
      <w:marLeft w:val="0"/>
      <w:marRight w:val="0"/>
      <w:marTop w:val="0"/>
      <w:marBottom w:val="0"/>
      <w:divBdr>
        <w:top w:val="none" w:sz="0" w:space="0" w:color="auto"/>
        <w:left w:val="none" w:sz="0" w:space="0" w:color="auto"/>
        <w:bottom w:val="none" w:sz="0" w:space="0" w:color="auto"/>
        <w:right w:val="none" w:sz="0" w:space="0" w:color="auto"/>
      </w:divBdr>
      <w:divsChild>
        <w:div w:id="185413564">
          <w:marLeft w:val="0"/>
          <w:marRight w:val="0"/>
          <w:marTop w:val="0"/>
          <w:marBottom w:val="0"/>
          <w:divBdr>
            <w:top w:val="none" w:sz="0" w:space="0" w:color="auto"/>
            <w:left w:val="none" w:sz="0" w:space="0" w:color="auto"/>
            <w:bottom w:val="none" w:sz="0" w:space="0" w:color="auto"/>
            <w:right w:val="none" w:sz="0" w:space="0" w:color="auto"/>
          </w:divBdr>
        </w:div>
      </w:divsChild>
    </w:div>
    <w:div w:id="1535728422">
      <w:marLeft w:val="0"/>
      <w:marRight w:val="0"/>
      <w:marTop w:val="0"/>
      <w:marBottom w:val="240"/>
      <w:divBdr>
        <w:top w:val="none" w:sz="0" w:space="0" w:color="auto"/>
        <w:left w:val="none" w:sz="0" w:space="0" w:color="auto"/>
        <w:bottom w:val="none" w:sz="0" w:space="0" w:color="auto"/>
        <w:right w:val="none" w:sz="0" w:space="0" w:color="auto"/>
      </w:divBdr>
    </w:div>
    <w:div w:id="1539008480">
      <w:marLeft w:val="0"/>
      <w:marRight w:val="0"/>
      <w:marTop w:val="0"/>
      <w:marBottom w:val="240"/>
      <w:divBdr>
        <w:top w:val="none" w:sz="0" w:space="0" w:color="auto"/>
        <w:left w:val="none" w:sz="0" w:space="0" w:color="auto"/>
        <w:bottom w:val="none" w:sz="0" w:space="0" w:color="auto"/>
        <w:right w:val="none" w:sz="0" w:space="0" w:color="auto"/>
      </w:divBdr>
    </w:div>
    <w:div w:id="1540824278">
      <w:marLeft w:val="0"/>
      <w:marRight w:val="0"/>
      <w:marTop w:val="0"/>
      <w:marBottom w:val="0"/>
      <w:divBdr>
        <w:top w:val="none" w:sz="0" w:space="0" w:color="auto"/>
        <w:left w:val="none" w:sz="0" w:space="0" w:color="auto"/>
        <w:bottom w:val="none" w:sz="0" w:space="0" w:color="auto"/>
        <w:right w:val="none" w:sz="0" w:space="0" w:color="auto"/>
      </w:divBdr>
      <w:divsChild>
        <w:div w:id="1754349441">
          <w:marLeft w:val="0"/>
          <w:marRight w:val="0"/>
          <w:marTop w:val="0"/>
          <w:marBottom w:val="0"/>
          <w:divBdr>
            <w:top w:val="none" w:sz="0" w:space="0" w:color="auto"/>
            <w:left w:val="none" w:sz="0" w:space="0" w:color="auto"/>
            <w:bottom w:val="none" w:sz="0" w:space="0" w:color="auto"/>
            <w:right w:val="none" w:sz="0" w:space="0" w:color="auto"/>
          </w:divBdr>
        </w:div>
      </w:divsChild>
    </w:div>
    <w:div w:id="1541475898">
      <w:marLeft w:val="0"/>
      <w:marRight w:val="0"/>
      <w:marTop w:val="0"/>
      <w:marBottom w:val="240"/>
      <w:divBdr>
        <w:top w:val="none" w:sz="0" w:space="0" w:color="auto"/>
        <w:left w:val="none" w:sz="0" w:space="0" w:color="auto"/>
        <w:bottom w:val="none" w:sz="0" w:space="0" w:color="auto"/>
        <w:right w:val="none" w:sz="0" w:space="0" w:color="auto"/>
      </w:divBdr>
    </w:div>
    <w:div w:id="1543591978">
      <w:marLeft w:val="0"/>
      <w:marRight w:val="0"/>
      <w:marTop w:val="0"/>
      <w:marBottom w:val="240"/>
      <w:divBdr>
        <w:top w:val="none" w:sz="0" w:space="0" w:color="auto"/>
        <w:left w:val="none" w:sz="0" w:space="0" w:color="auto"/>
        <w:bottom w:val="none" w:sz="0" w:space="0" w:color="auto"/>
        <w:right w:val="none" w:sz="0" w:space="0" w:color="auto"/>
      </w:divBdr>
    </w:div>
    <w:div w:id="1551499847">
      <w:marLeft w:val="0"/>
      <w:marRight w:val="0"/>
      <w:marTop w:val="0"/>
      <w:marBottom w:val="240"/>
      <w:divBdr>
        <w:top w:val="none" w:sz="0" w:space="0" w:color="auto"/>
        <w:left w:val="none" w:sz="0" w:space="0" w:color="auto"/>
        <w:bottom w:val="none" w:sz="0" w:space="0" w:color="auto"/>
        <w:right w:val="none" w:sz="0" w:space="0" w:color="auto"/>
      </w:divBdr>
    </w:div>
    <w:div w:id="1553075093">
      <w:marLeft w:val="0"/>
      <w:marRight w:val="0"/>
      <w:marTop w:val="0"/>
      <w:marBottom w:val="240"/>
      <w:divBdr>
        <w:top w:val="none" w:sz="0" w:space="0" w:color="auto"/>
        <w:left w:val="none" w:sz="0" w:space="0" w:color="auto"/>
        <w:bottom w:val="none" w:sz="0" w:space="0" w:color="auto"/>
        <w:right w:val="none" w:sz="0" w:space="0" w:color="auto"/>
      </w:divBdr>
    </w:div>
    <w:div w:id="1553888753">
      <w:marLeft w:val="0"/>
      <w:marRight w:val="0"/>
      <w:marTop w:val="0"/>
      <w:marBottom w:val="0"/>
      <w:divBdr>
        <w:top w:val="none" w:sz="0" w:space="0" w:color="auto"/>
        <w:left w:val="none" w:sz="0" w:space="0" w:color="auto"/>
        <w:bottom w:val="none" w:sz="0" w:space="0" w:color="auto"/>
        <w:right w:val="none" w:sz="0" w:space="0" w:color="auto"/>
      </w:divBdr>
    </w:div>
    <w:div w:id="1554192961">
      <w:marLeft w:val="0"/>
      <w:marRight w:val="0"/>
      <w:marTop w:val="0"/>
      <w:marBottom w:val="60"/>
      <w:divBdr>
        <w:top w:val="none" w:sz="0" w:space="0" w:color="auto"/>
        <w:left w:val="none" w:sz="0" w:space="0" w:color="auto"/>
        <w:bottom w:val="none" w:sz="0" w:space="0" w:color="auto"/>
        <w:right w:val="none" w:sz="0" w:space="0" w:color="auto"/>
      </w:divBdr>
    </w:div>
    <w:div w:id="1555849528">
      <w:marLeft w:val="0"/>
      <w:marRight w:val="0"/>
      <w:marTop w:val="0"/>
      <w:marBottom w:val="240"/>
      <w:divBdr>
        <w:top w:val="none" w:sz="0" w:space="0" w:color="auto"/>
        <w:left w:val="none" w:sz="0" w:space="0" w:color="auto"/>
        <w:bottom w:val="none" w:sz="0" w:space="0" w:color="auto"/>
        <w:right w:val="none" w:sz="0" w:space="0" w:color="auto"/>
      </w:divBdr>
    </w:div>
    <w:div w:id="1557548164">
      <w:marLeft w:val="0"/>
      <w:marRight w:val="0"/>
      <w:marTop w:val="0"/>
      <w:marBottom w:val="240"/>
      <w:divBdr>
        <w:top w:val="none" w:sz="0" w:space="0" w:color="auto"/>
        <w:left w:val="none" w:sz="0" w:space="0" w:color="auto"/>
        <w:bottom w:val="none" w:sz="0" w:space="0" w:color="auto"/>
        <w:right w:val="none" w:sz="0" w:space="0" w:color="auto"/>
      </w:divBdr>
    </w:div>
    <w:div w:id="1561669190">
      <w:marLeft w:val="0"/>
      <w:marRight w:val="0"/>
      <w:marTop w:val="0"/>
      <w:marBottom w:val="240"/>
      <w:divBdr>
        <w:top w:val="none" w:sz="0" w:space="0" w:color="auto"/>
        <w:left w:val="none" w:sz="0" w:space="0" w:color="auto"/>
        <w:bottom w:val="none" w:sz="0" w:space="0" w:color="auto"/>
        <w:right w:val="none" w:sz="0" w:space="0" w:color="auto"/>
      </w:divBdr>
    </w:div>
    <w:div w:id="1576622632">
      <w:marLeft w:val="0"/>
      <w:marRight w:val="0"/>
      <w:marTop w:val="0"/>
      <w:marBottom w:val="240"/>
      <w:divBdr>
        <w:top w:val="none" w:sz="0" w:space="0" w:color="auto"/>
        <w:left w:val="none" w:sz="0" w:space="0" w:color="auto"/>
        <w:bottom w:val="none" w:sz="0" w:space="0" w:color="auto"/>
        <w:right w:val="none" w:sz="0" w:space="0" w:color="auto"/>
      </w:divBdr>
    </w:div>
    <w:div w:id="1581253231">
      <w:marLeft w:val="0"/>
      <w:marRight w:val="0"/>
      <w:marTop w:val="0"/>
      <w:marBottom w:val="240"/>
      <w:divBdr>
        <w:top w:val="none" w:sz="0" w:space="0" w:color="auto"/>
        <w:left w:val="none" w:sz="0" w:space="0" w:color="auto"/>
        <w:bottom w:val="none" w:sz="0" w:space="0" w:color="auto"/>
        <w:right w:val="none" w:sz="0" w:space="0" w:color="auto"/>
      </w:divBdr>
    </w:div>
    <w:div w:id="1582641649">
      <w:marLeft w:val="0"/>
      <w:marRight w:val="0"/>
      <w:marTop w:val="260"/>
      <w:marBottom w:val="0"/>
      <w:divBdr>
        <w:top w:val="none" w:sz="0" w:space="0" w:color="auto"/>
        <w:left w:val="none" w:sz="0" w:space="0" w:color="auto"/>
        <w:bottom w:val="none" w:sz="0" w:space="0" w:color="auto"/>
        <w:right w:val="none" w:sz="0" w:space="0" w:color="auto"/>
      </w:divBdr>
    </w:div>
    <w:div w:id="1583102584">
      <w:marLeft w:val="0"/>
      <w:marRight w:val="0"/>
      <w:marTop w:val="0"/>
      <w:marBottom w:val="240"/>
      <w:divBdr>
        <w:top w:val="none" w:sz="0" w:space="0" w:color="auto"/>
        <w:left w:val="none" w:sz="0" w:space="0" w:color="auto"/>
        <w:bottom w:val="none" w:sz="0" w:space="0" w:color="auto"/>
        <w:right w:val="none" w:sz="0" w:space="0" w:color="auto"/>
      </w:divBdr>
    </w:div>
    <w:div w:id="1584333162">
      <w:marLeft w:val="0"/>
      <w:marRight w:val="0"/>
      <w:marTop w:val="0"/>
      <w:marBottom w:val="120"/>
      <w:divBdr>
        <w:top w:val="none" w:sz="0" w:space="0" w:color="auto"/>
        <w:left w:val="none" w:sz="0" w:space="0" w:color="auto"/>
        <w:bottom w:val="none" w:sz="0" w:space="0" w:color="auto"/>
        <w:right w:val="none" w:sz="0" w:space="0" w:color="auto"/>
      </w:divBdr>
    </w:div>
    <w:div w:id="1594631488">
      <w:marLeft w:val="0"/>
      <w:marRight w:val="0"/>
      <w:marTop w:val="0"/>
      <w:marBottom w:val="0"/>
      <w:divBdr>
        <w:top w:val="none" w:sz="0" w:space="0" w:color="auto"/>
        <w:left w:val="none" w:sz="0" w:space="0" w:color="auto"/>
        <w:bottom w:val="none" w:sz="0" w:space="0" w:color="auto"/>
        <w:right w:val="none" w:sz="0" w:space="0" w:color="auto"/>
      </w:divBdr>
      <w:divsChild>
        <w:div w:id="58864623">
          <w:marLeft w:val="0"/>
          <w:marRight w:val="0"/>
          <w:marTop w:val="0"/>
          <w:marBottom w:val="0"/>
          <w:divBdr>
            <w:top w:val="none" w:sz="0" w:space="0" w:color="auto"/>
            <w:left w:val="none" w:sz="0" w:space="0" w:color="auto"/>
            <w:bottom w:val="none" w:sz="0" w:space="0" w:color="auto"/>
            <w:right w:val="none" w:sz="0" w:space="0" w:color="auto"/>
          </w:divBdr>
        </w:div>
      </w:divsChild>
    </w:div>
    <w:div w:id="1599367138">
      <w:marLeft w:val="0"/>
      <w:marRight w:val="0"/>
      <w:marTop w:val="0"/>
      <w:marBottom w:val="60"/>
      <w:divBdr>
        <w:top w:val="none" w:sz="0" w:space="0" w:color="auto"/>
        <w:left w:val="none" w:sz="0" w:space="0" w:color="auto"/>
        <w:bottom w:val="none" w:sz="0" w:space="0" w:color="auto"/>
        <w:right w:val="none" w:sz="0" w:space="0" w:color="auto"/>
      </w:divBdr>
    </w:div>
    <w:div w:id="1600797742">
      <w:marLeft w:val="0"/>
      <w:marRight w:val="0"/>
      <w:marTop w:val="0"/>
      <w:marBottom w:val="60"/>
      <w:divBdr>
        <w:top w:val="none" w:sz="0" w:space="0" w:color="auto"/>
        <w:left w:val="none" w:sz="0" w:space="0" w:color="auto"/>
        <w:bottom w:val="none" w:sz="0" w:space="0" w:color="auto"/>
        <w:right w:val="none" w:sz="0" w:space="0" w:color="auto"/>
      </w:divBdr>
    </w:div>
    <w:div w:id="1601841475">
      <w:marLeft w:val="0"/>
      <w:marRight w:val="0"/>
      <w:marTop w:val="0"/>
      <w:marBottom w:val="120"/>
      <w:divBdr>
        <w:top w:val="none" w:sz="0" w:space="0" w:color="auto"/>
        <w:left w:val="none" w:sz="0" w:space="0" w:color="auto"/>
        <w:bottom w:val="none" w:sz="0" w:space="0" w:color="auto"/>
        <w:right w:val="none" w:sz="0" w:space="0" w:color="auto"/>
      </w:divBdr>
    </w:div>
    <w:div w:id="1609240014">
      <w:marLeft w:val="0"/>
      <w:marRight w:val="0"/>
      <w:marTop w:val="0"/>
      <w:marBottom w:val="240"/>
      <w:divBdr>
        <w:top w:val="none" w:sz="0" w:space="0" w:color="auto"/>
        <w:left w:val="none" w:sz="0" w:space="0" w:color="auto"/>
        <w:bottom w:val="none" w:sz="0" w:space="0" w:color="auto"/>
        <w:right w:val="none" w:sz="0" w:space="0" w:color="auto"/>
      </w:divBdr>
    </w:div>
    <w:div w:id="1610316919">
      <w:marLeft w:val="0"/>
      <w:marRight w:val="0"/>
      <w:marTop w:val="0"/>
      <w:marBottom w:val="0"/>
      <w:divBdr>
        <w:top w:val="none" w:sz="0" w:space="0" w:color="auto"/>
        <w:left w:val="none" w:sz="0" w:space="0" w:color="auto"/>
        <w:bottom w:val="none" w:sz="0" w:space="0" w:color="auto"/>
        <w:right w:val="none" w:sz="0" w:space="0" w:color="auto"/>
      </w:divBdr>
    </w:div>
    <w:div w:id="1611934578">
      <w:marLeft w:val="0"/>
      <w:marRight w:val="0"/>
      <w:marTop w:val="0"/>
      <w:marBottom w:val="240"/>
      <w:divBdr>
        <w:top w:val="none" w:sz="0" w:space="0" w:color="auto"/>
        <w:left w:val="none" w:sz="0" w:space="0" w:color="auto"/>
        <w:bottom w:val="none" w:sz="0" w:space="0" w:color="auto"/>
        <w:right w:val="none" w:sz="0" w:space="0" w:color="auto"/>
      </w:divBdr>
    </w:div>
    <w:div w:id="1614481746">
      <w:marLeft w:val="0"/>
      <w:marRight w:val="0"/>
      <w:marTop w:val="0"/>
      <w:marBottom w:val="240"/>
      <w:divBdr>
        <w:top w:val="none" w:sz="0" w:space="0" w:color="auto"/>
        <w:left w:val="none" w:sz="0" w:space="0" w:color="auto"/>
        <w:bottom w:val="none" w:sz="0" w:space="0" w:color="auto"/>
        <w:right w:val="none" w:sz="0" w:space="0" w:color="auto"/>
      </w:divBdr>
    </w:div>
    <w:div w:id="1617565592">
      <w:marLeft w:val="0"/>
      <w:marRight w:val="0"/>
      <w:marTop w:val="0"/>
      <w:marBottom w:val="0"/>
      <w:divBdr>
        <w:top w:val="none" w:sz="0" w:space="0" w:color="auto"/>
        <w:left w:val="none" w:sz="0" w:space="0" w:color="auto"/>
        <w:bottom w:val="none" w:sz="0" w:space="0" w:color="auto"/>
        <w:right w:val="none" w:sz="0" w:space="0" w:color="auto"/>
      </w:divBdr>
    </w:div>
    <w:div w:id="1618835474">
      <w:marLeft w:val="0"/>
      <w:marRight w:val="0"/>
      <w:marTop w:val="0"/>
      <w:marBottom w:val="240"/>
      <w:divBdr>
        <w:top w:val="none" w:sz="0" w:space="0" w:color="auto"/>
        <w:left w:val="none" w:sz="0" w:space="0" w:color="auto"/>
        <w:bottom w:val="none" w:sz="0" w:space="0" w:color="auto"/>
        <w:right w:val="none" w:sz="0" w:space="0" w:color="auto"/>
      </w:divBdr>
    </w:div>
    <w:div w:id="1621642733">
      <w:marLeft w:val="0"/>
      <w:marRight w:val="0"/>
      <w:marTop w:val="0"/>
      <w:marBottom w:val="0"/>
      <w:divBdr>
        <w:top w:val="none" w:sz="0" w:space="0" w:color="auto"/>
        <w:left w:val="none" w:sz="0" w:space="0" w:color="auto"/>
        <w:bottom w:val="none" w:sz="0" w:space="0" w:color="auto"/>
        <w:right w:val="none" w:sz="0" w:space="0" w:color="auto"/>
      </w:divBdr>
      <w:divsChild>
        <w:div w:id="1683390228">
          <w:marLeft w:val="0"/>
          <w:marRight w:val="0"/>
          <w:marTop w:val="0"/>
          <w:marBottom w:val="0"/>
          <w:divBdr>
            <w:top w:val="none" w:sz="0" w:space="0" w:color="auto"/>
            <w:left w:val="none" w:sz="0" w:space="0" w:color="auto"/>
            <w:bottom w:val="none" w:sz="0" w:space="0" w:color="auto"/>
            <w:right w:val="none" w:sz="0" w:space="0" w:color="auto"/>
          </w:divBdr>
        </w:div>
      </w:divsChild>
    </w:div>
    <w:div w:id="1621917444">
      <w:marLeft w:val="0"/>
      <w:marRight w:val="0"/>
      <w:marTop w:val="0"/>
      <w:marBottom w:val="0"/>
      <w:divBdr>
        <w:top w:val="none" w:sz="0" w:space="0" w:color="auto"/>
        <w:left w:val="none" w:sz="0" w:space="0" w:color="auto"/>
        <w:bottom w:val="none" w:sz="0" w:space="0" w:color="auto"/>
        <w:right w:val="none" w:sz="0" w:space="0" w:color="auto"/>
      </w:divBdr>
      <w:divsChild>
        <w:div w:id="542718385">
          <w:marLeft w:val="0"/>
          <w:marRight w:val="0"/>
          <w:marTop w:val="0"/>
          <w:marBottom w:val="0"/>
          <w:divBdr>
            <w:top w:val="none" w:sz="0" w:space="0" w:color="auto"/>
            <w:left w:val="none" w:sz="0" w:space="0" w:color="auto"/>
            <w:bottom w:val="none" w:sz="0" w:space="0" w:color="auto"/>
            <w:right w:val="none" w:sz="0" w:space="0" w:color="auto"/>
          </w:divBdr>
        </w:div>
      </w:divsChild>
    </w:div>
    <w:div w:id="1623031252">
      <w:marLeft w:val="0"/>
      <w:marRight w:val="0"/>
      <w:marTop w:val="0"/>
      <w:marBottom w:val="120"/>
      <w:divBdr>
        <w:top w:val="none" w:sz="0" w:space="0" w:color="auto"/>
        <w:left w:val="none" w:sz="0" w:space="0" w:color="auto"/>
        <w:bottom w:val="none" w:sz="0" w:space="0" w:color="auto"/>
        <w:right w:val="none" w:sz="0" w:space="0" w:color="auto"/>
      </w:divBdr>
      <w:divsChild>
        <w:div w:id="2134253061">
          <w:marLeft w:val="0"/>
          <w:marRight w:val="0"/>
          <w:marTop w:val="0"/>
          <w:marBottom w:val="0"/>
          <w:divBdr>
            <w:top w:val="none" w:sz="0" w:space="0" w:color="auto"/>
            <w:left w:val="none" w:sz="0" w:space="0" w:color="auto"/>
            <w:bottom w:val="none" w:sz="0" w:space="0" w:color="auto"/>
            <w:right w:val="none" w:sz="0" w:space="0" w:color="auto"/>
          </w:divBdr>
        </w:div>
        <w:div w:id="870844992">
          <w:marLeft w:val="0"/>
          <w:marRight w:val="0"/>
          <w:marTop w:val="0"/>
          <w:marBottom w:val="0"/>
          <w:divBdr>
            <w:top w:val="none" w:sz="0" w:space="0" w:color="auto"/>
            <w:left w:val="none" w:sz="0" w:space="0" w:color="auto"/>
            <w:bottom w:val="none" w:sz="0" w:space="0" w:color="auto"/>
            <w:right w:val="none" w:sz="0" w:space="0" w:color="auto"/>
          </w:divBdr>
        </w:div>
        <w:div w:id="995575507">
          <w:marLeft w:val="0"/>
          <w:marRight w:val="0"/>
          <w:marTop w:val="0"/>
          <w:marBottom w:val="0"/>
          <w:divBdr>
            <w:top w:val="none" w:sz="0" w:space="0" w:color="auto"/>
            <w:left w:val="none" w:sz="0" w:space="0" w:color="auto"/>
            <w:bottom w:val="none" w:sz="0" w:space="0" w:color="auto"/>
            <w:right w:val="none" w:sz="0" w:space="0" w:color="auto"/>
          </w:divBdr>
        </w:div>
      </w:divsChild>
    </w:div>
    <w:div w:id="1624922747">
      <w:marLeft w:val="0"/>
      <w:marRight w:val="0"/>
      <w:marTop w:val="0"/>
      <w:marBottom w:val="0"/>
      <w:divBdr>
        <w:top w:val="none" w:sz="0" w:space="0" w:color="auto"/>
        <w:left w:val="none" w:sz="0" w:space="0" w:color="auto"/>
        <w:bottom w:val="none" w:sz="0" w:space="0" w:color="auto"/>
        <w:right w:val="none" w:sz="0" w:space="0" w:color="auto"/>
      </w:divBdr>
    </w:div>
    <w:div w:id="1628196828">
      <w:marLeft w:val="0"/>
      <w:marRight w:val="0"/>
      <w:marTop w:val="0"/>
      <w:marBottom w:val="240"/>
      <w:divBdr>
        <w:top w:val="none" w:sz="0" w:space="0" w:color="auto"/>
        <w:left w:val="none" w:sz="0" w:space="0" w:color="auto"/>
        <w:bottom w:val="none" w:sz="0" w:space="0" w:color="auto"/>
        <w:right w:val="none" w:sz="0" w:space="0" w:color="auto"/>
      </w:divBdr>
    </w:div>
    <w:div w:id="1628968081">
      <w:marLeft w:val="0"/>
      <w:marRight w:val="0"/>
      <w:marTop w:val="0"/>
      <w:marBottom w:val="240"/>
      <w:divBdr>
        <w:top w:val="none" w:sz="0" w:space="0" w:color="auto"/>
        <w:left w:val="none" w:sz="0" w:space="0" w:color="auto"/>
        <w:bottom w:val="none" w:sz="0" w:space="0" w:color="auto"/>
        <w:right w:val="none" w:sz="0" w:space="0" w:color="auto"/>
      </w:divBdr>
    </w:div>
    <w:div w:id="1629585206">
      <w:marLeft w:val="0"/>
      <w:marRight w:val="0"/>
      <w:marTop w:val="240"/>
      <w:marBottom w:val="240"/>
      <w:divBdr>
        <w:top w:val="none" w:sz="0" w:space="0" w:color="auto"/>
        <w:left w:val="none" w:sz="0" w:space="0" w:color="auto"/>
        <w:bottom w:val="none" w:sz="0" w:space="0" w:color="auto"/>
        <w:right w:val="none" w:sz="0" w:space="0" w:color="auto"/>
      </w:divBdr>
    </w:div>
    <w:div w:id="1630623112">
      <w:marLeft w:val="0"/>
      <w:marRight w:val="0"/>
      <w:marTop w:val="0"/>
      <w:marBottom w:val="0"/>
      <w:divBdr>
        <w:top w:val="none" w:sz="0" w:space="0" w:color="auto"/>
        <w:left w:val="none" w:sz="0" w:space="0" w:color="auto"/>
        <w:bottom w:val="none" w:sz="0" w:space="0" w:color="auto"/>
        <w:right w:val="none" w:sz="0" w:space="0" w:color="auto"/>
      </w:divBdr>
      <w:divsChild>
        <w:div w:id="1770470780">
          <w:marLeft w:val="0"/>
          <w:marRight w:val="0"/>
          <w:marTop w:val="0"/>
          <w:marBottom w:val="0"/>
          <w:divBdr>
            <w:top w:val="none" w:sz="0" w:space="0" w:color="auto"/>
            <w:left w:val="none" w:sz="0" w:space="0" w:color="auto"/>
            <w:bottom w:val="none" w:sz="0" w:space="0" w:color="auto"/>
            <w:right w:val="none" w:sz="0" w:space="0" w:color="auto"/>
          </w:divBdr>
        </w:div>
      </w:divsChild>
    </w:div>
    <w:div w:id="1632982020">
      <w:marLeft w:val="0"/>
      <w:marRight w:val="0"/>
      <w:marTop w:val="0"/>
      <w:marBottom w:val="0"/>
      <w:divBdr>
        <w:top w:val="none" w:sz="0" w:space="0" w:color="auto"/>
        <w:left w:val="none" w:sz="0" w:space="0" w:color="auto"/>
        <w:bottom w:val="none" w:sz="0" w:space="0" w:color="auto"/>
        <w:right w:val="none" w:sz="0" w:space="0" w:color="auto"/>
      </w:divBdr>
      <w:divsChild>
        <w:div w:id="955135543">
          <w:marLeft w:val="0"/>
          <w:marRight w:val="0"/>
          <w:marTop w:val="0"/>
          <w:marBottom w:val="0"/>
          <w:divBdr>
            <w:top w:val="none" w:sz="0" w:space="0" w:color="auto"/>
            <w:left w:val="none" w:sz="0" w:space="0" w:color="auto"/>
            <w:bottom w:val="none" w:sz="0" w:space="0" w:color="auto"/>
            <w:right w:val="none" w:sz="0" w:space="0" w:color="auto"/>
          </w:divBdr>
        </w:div>
      </w:divsChild>
    </w:div>
    <w:div w:id="1636717147">
      <w:marLeft w:val="0"/>
      <w:marRight w:val="0"/>
      <w:marTop w:val="0"/>
      <w:marBottom w:val="240"/>
      <w:divBdr>
        <w:top w:val="none" w:sz="0" w:space="0" w:color="auto"/>
        <w:left w:val="none" w:sz="0" w:space="0" w:color="auto"/>
        <w:bottom w:val="none" w:sz="0" w:space="0" w:color="auto"/>
        <w:right w:val="none" w:sz="0" w:space="0" w:color="auto"/>
      </w:divBdr>
    </w:div>
    <w:div w:id="1636989964">
      <w:marLeft w:val="0"/>
      <w:marRight w:val="0"/>
      <w:marTop w:val="0"/>
      <w:marBottom w:val="0"/>
      <w:divBdr>
        <w:top w:val="none" w:sz="0" w:space="0" w:color="auto"/>
        <w:left w:val="none" w:sz="0" w:space="0" w:color="auto"/>
        <w:bottom w:val="none" w:sz="0" w:space="0" w:color="auto"/>
        <w:right w:val="none" w:sz="0" w:space="0" w:color="auto"/>
      </w:divBdr>
      <w:divsChild>
        <w:div w:id="1823621891">
          <w:marLeft w:val="0"/>
          <w:marRight w:val="0"/>
          <w:marTop w:val="0"/>
          <w:marBottom w:val="0"/>
          <w:divBdr>
            <w:top w:val="none" w:sz="0" w:space="0" w:color="auto"/>
            <w:left w:val="none" w:sz="0" w:space="0" w:color="auto"/>
            <w:bottom w:val="none" w:sz="0" w:space="0" w:color="auto"/>
            <w:right w:val="none" w:sz="0" w:space="0" w:color="auto"/>
          </w:divBdr>
        </w:div>
      </w:divsChild>
    </w:div>
    <w:div w:id="1638951187">
      <w:marLeft w:val="0"/>
      <w:marRight w:val="0"/>
      <w:marTop w:val="0"/>
      <w:marBottom w:val="240"/>
      <w:divBdr>
        <w:top w:val="none" w:sz="0" w:space="0" w:color="auto"/>
        <w:left w:val="none" w:sz="0" w:space="0" w:color="auto"/>
        <w:bottom w:val="none" w:sz="0" w:space="0" w:color="auto"/>
        <w:right w:val="none" w:sz="0" w:space="0" w:color="auto"/>
      </w:divBdr>
    </w:div>
    <w:div w:id="1641809989">
      <w:marLeft w:val="0"/>
      <w:marRight w:val="0"/>
      <w:marTop w:val="0"/>
      <w:marBottom w:val="60"/>
      <w:divBdr>
        <w:top w:val="none" w:sz="0" w:space="0" w:color="auto"/>
        <w:left w:val="none" w:sz="0" w:space="0" w:color="auto"/>
        <w:bottom w:val="none" w:sz="0" w:space="0" w:color="auto"/>
        <w:right w:val="none" w:sz="0" w:space="0" w:color="auto"/>
      </w:divBdr>
    </w:div>
    <w:div w:id="1650476643">
      <w:marLeft w:val="0"/>
      <w:marRight w:val="0"/>
      <w:marTop w:val="0"/>
      <w:marBottom w:val="0"/>
      <w:divBdr>
        <w:top w:val="none" w:sz="0" w:space="0" w:color="auto"/>
        <w:left w:val="none" w:sz="0" w:space="0" w:color="auto"/>
        <w:bottom w:val="none" w:sz="0" w:space="0" w:color="auto"/>
        <w:right w:val="none" w:sz="0" w:space="0" w:color="auto"/>
      </w:divBdr>
      <w:divsChild>
        <w:div w:id="1886943780">
          <w:marLeft w:val="0"/>
          <w:marRight w:val="0"/>
          <w:marTop w:val="0"/>
          <w:marBottom w:val="0"/>
          <w:divBdr>
            <w:top w:val="none" w:sz="0" w:space="0" w:color="auto"/>
            <w:left w:val="none" w:sz="0" w:space="0" w:color="auto"/>
            <w:bottom w:val="none" w:sz="0" w:space="0" w:color="auto"/>
            <w:right w:val="none" w:sz="0" w:space="0" w:color="auto"/>
          </w:divBdr>
        </w:div>
      </w:divsChild>
    </w:div>
    <w:div w:id="1654405561">
      <w:marLeft w:val="0"/>
      <w:marRight w:val="0"/>
      <w:marTop w:val="0"/>
      <w:marBottom w:val="240"/>
      <w:divBdr>
        <w:top w:val="none" w:sz="0" w:space="0" w:color="auto"/>
        <w:left w:val="none" w:sz="0" w:space="0" w:color="auto"/>
        <w:bottom w:val="none" w:sz="0" w:space="0" w:color="auto"/>
        <w:right w:val="none" w:sz="0" w:space="0" w:color="auto"/>
      </w:divBdr>
    </w:div>
    <w:div w:id="1654990457">
      <w:marLeft w:val="0"/>
      <w:marRight w:val="0"/>
      <w:marTop w:val="0"/>
      <w:marBottom w:val="240"/>
      <w:divBdr>
        <w:top w:val="none" w:sz="0" w:space="0" w:color="auto"/>
        <w:left w:val="none" w:sz="0" w:space="0" w:color="auto"/>
        <w:bottom w:val="none" w:sz="0" w:space="0" w:color="auto"/>
        <w:right w:val="none" w:sz="0" w:space="0" w:color="auto"/>
      </w:divBdr>
    </w:div>
    <w:div w:id="1663505798">
      <w:marLeft w:val="0"/>
      <w:marRight w:val="0"/>
      <w:marTop w:val="240"/>
      <w:marBottom w:val="240"/>
      <w:divBdr>
        <w:top w:val="none" w:sz="0" w:space="0" w:color="auto"/>
        <w:left w:val="none" w:sz="0" w:space="0" w:color="auto"/>
        <w:bottom w:val="none" w:sz="0" w:space="0" w:color="auto"/>
        <w:right w:val="none" w:sz="0" w:space="0" w:color="auto"/>
      </w:divBdr>
    </w:div>
    <w:div w:id="1665163440">
      <w:marLeft w:val="0"/>
      <w:marRight w:val="0"/>
      <w:marTop w:val="0"/>
      <w:marBottom w:val="240"/>
      <w:divBdr>
        <w:top w:val="none" w:sz="0" w:space="0" w:color="auto"/>
        <w:left w:val="none" w:sz="0" w:space="0" w:color="auto"/>
        <w:bottom w:val="none" w:sz="0" w:space="0" w:color="auto"/>
        <w:right w:val="none" w:sz="0" w:space="0" w:color="auto"/>
      </w:divBdr>
    </w:div>
    <w:div w:id="1666130942">
      <w:marLeft w:val="0"/>
      <w:marRight w:val="0"/>
      <w:marTop w:val="0"/>
      <w:marBottom w:val="0"/>
      <w:divBdr>
        <w:top w:val="none" w:sz="0" w:space="0" w:color="auto"/>
        <w:left w:val="none" w:sz="0" w:space="0" w:color="auto"/>
        <w:bottom w:val="none" w:sz="0" w:space="0" w:color="auto"/>
        <w:right w:val="none" w:sz="0" w:space="0" w:color="auto"/>
      </w:divBdr>
    </w:div>
    <w:div w:id="1667899803">
      <w:marLeft w:val="0"/>
      <w:marRight w:val="0"/>
      <w:marTop w:val="0"/>
      <w:marBottom w:val="80"/>
      <w:divBdr>
        <w:top w:val="none" w:sz="0" w:space="0" w:color="auto"/>
        <w:left w:val="none" w:sz="0" w:space="0" w:color="auto"/>
        <w:bottom w:val="none" w:sz="0" w:space="0" w:color="auto"/>
        <w:right w:val="none" w:sz="0" w:space="0" w:color="auto"/>
      </w:divBdr>
    </w:div>
    <w:div w:id="1674793421">
      <w:marLeft w:val="0"/>
      <w:marRight w:val="0"/>
      <w:marTop w:val="0"/>
      <w:marBottom w:val="240"/>
      <w:divBdr>
        <w:top w:val="none" w:sz="0" w:space="0" w:color="auto"/>
        <w:left w:val="none" w:sz="0" w:space="0" w:color="auto"/>
        <w:bottom w:val="none" w:sz="0" w:space="0" w:color="auto"/>
        <w:right w:val="none" w:sz="0" w:space="0" w:color="auto"/>
      </w:divBdr>
    </w:div>
    <w:div w:id="1675064577">
      <w:marLeft w:val="0"/>
      <w:marRight w:val="0"/>
      <w:marTop w:val="0"/>
      <w:marBottom w:val="240"/>
      <w:divBdr>
        <w:top w:val="none" w:sz="0" w:space="0" w:color="auto"/>
        <w:left w:val="none" w:sz="0" w:space="0" w:color="auto"/>
        <w:bottom w:val="none" w:sz="0" w:space="0" w:color="auto"/>
        <w:right w:val="none" w:sz="0" w:space="0" w:color="auto"/>
      </w:divBdr>
    </w:div>
    <w:div w:id="1677078103">
      <w:marLeft w:val="0"/>
      <w:marRight w:val="0"/>
      <w:marTop w:val="0"/>
      <w:marBottom w:val="240"/>
      <w:divBdr>
        <w:top w:val="none" w:sz="0" w:space="0" w:color="auto"/>
        <w:left w:val="none" w:sz="0" w:space="0" w:color="auto"/>
        <w:bottom w:val="none" w:sz="0" w:space="0" w:color="auto"/>
        <w:right w:val="none" w:sz="0" w:space="0" w:color="auto"/>
      </w:divBdr>
    </w:div>
    <w:div w:id="1678652208">
      <w:marLeft w:val="0"/>
      <w:marRight w:val="0"/>
      <w:marTop w:val="0"/>
      <w:marBottom w:val="240"/>
      <w:divBdr>
        <w:top w:val="none" w:sz="0" w:space="0" w:color="auto"/>
        <w:left w:val="none" w:sz="0" w:space="0" w:color="auto"/>
        <w:bottom w:val="none" w:sz="0" w:space="0" w:color="auto"/>
        <w:right w:val="none" w:sz="0" w:space="0" w:color="auto"/>
      </w:divBdr>
    </w:div>
    <w:div w:id="1678969892">
      <w:marLeft w:val="0"/>
      <w:marRight w:val="0"/>
      <w:marTop w:val="0"/>
      <w:marBottom w:val="120"/>
      <w:divBdr>
        <w:top w:val="none" w:sz="0" w:space="0" w:color="auto"/>
        <w:left w:val="none" w:sz="0" w:space="0" w:color="auto"/>
        <w:bottom w:val="none" w:sz="0" w:space="0" w:color="auto"/>
        <w:right w:val="none" w:sz="0" w:space="0" w:color="auto"/>
      </w:divBdr>
    </w:div>
    <w:div w:id="1680426611">
      <w:marLeft w:val="0"/>
      <w:marRight w:val="0"/>
      <w:marTop w:val="0"/>
      <w:marBottom w:val="240"/>
      <w:divBdr>
        <w:top w:val="none" w:sz="0" w:space="0" w:color="auto"/>
        <w:left w:val="none" w:sz="0" w:space="0" w:color="auto"/>
        <w:bottom w:val="none" w:sz="0" w:space="0" w:color="auto"/>
        <w:right w:val="none" w:sz="0" w:space="0" w:color="auto"/>
      </w:divBdr>
    </w:div>
    <w:div w:id="1683967784">
      <w:marLeft w:val="0"/>
      <w:marRight w:val="0"/>
      <w:marTop w:val="0"/>
      <w:marBottom w:val="0"/>
      <w:divBdr>
        <w:top w:val="none" w:sz="0" w:space="0" w:color="auto"/>
        <w:left w:val="none" w:sz="0" w:space="0" w:color="auto"/>
        <w:bottom w:val="none" w:sz="0" w:space="0" w:color="auto"/>
        <w:right w:val="none" w:sz="0" w:space="0" w:color="auto"/>
      </w:divBdr>
      <w:divsChild>
        <w:div w:id="1042436530">
          <w:marLeft w:val="0"/>
          <w:marRight w:val="0"/>
          <w:marTop w:val="0"/>
          <w:marBottom w:val="0"/>
          <w:divBdr>
            <w:top w:val="none" w:sz="0" w:space="0" w:color="auto"/>
            <w:left w:val="none" w:sz="0" w:space="0" w:color="auto"/>
            <w:bottom w:val="none" w:sz="0" w:space="0" w:color="auto"/>
            <w:right w:val="none" w:sz="0" w:space="0" w:color="auto"/>
          </w:divBdr>
        </w:div>
        <w:div w:id="750273066">
          <w:marLeft w:val="0"/>
          <w:marRight w:val="0"/>
          <w:marTop w:val="0"/>
          <w:marBottom w:val="0"/>
          <w:divBdr>
            <w:top w:val="none" w:sz="0" w:space="0" w:color="auto"/>
            <w:left w:val="none" w:sz="0" w:space="0" w:color="auto"/>
            <w:bottom w:val="none" w:sz="0" w:space="0" w:color="auto"/>
            <w:right w:val="none" w:sz="0" w:space="0" w:color="auto"/>
          </w:divBdr>
        </w:div>
      </w:divsChild>
    </w:div>
    <w:div w:id="1690375336">
      <w:marLeft w:val="0"/>
      <w:marRight w:val="0"/>
      <w:marTop w:val="0"/>
      <w:marBottom w:val="240"/>
      <w:divBdr>
        <w:top w:val="none" w:sz="0" w:space="0" w:color="auto"/>
        <w:left w:val="none" w:sz="0" w:space="0" w:color="auto"/>
        <w:bottom w:val="none" w:sz="0" w:space="0" w:color="auto"/>
        <w:right w:val="none" w:sz="0" w:space="0" w:color="auto"/>
      </w:divBdr>
    </w:div>
    <w:div w:id="1692611528">
      <w:marLeft w:val="0"/>
      <w:marRight w:val="0"/>
      <w:marTop w:val="0"/>
      <w:marBottom w:val="240"/>
      <w:divBdr>
        <w:top w:val="none" w:sz="0" w:space="0" w:color="auto"/>
        <w:left w:val="none" w:sz="0" w:space="0" w:color="auto"/>
        <w:bottom w:val="none" w:sz="0" w:space="0" w:color="auto"/>
        <w:right w:val="none" w:sz="0" w:space="0" w:color="auto"/>
      </w:divBdr>
    </w:div>
    <w:div w:id="1695301625">
      <w:marLeft w:val="0"/>
      <w:marRight w:val="0"/>
      <w:marTop w:val="0"/>
      <w:marBottom w:val="0"/>
      <w:divBdr>
        <w:top w:val="none" w:sz="0" w:space="0" w:color="auto"/>
        <w:left w:val="none" w:sz="0" w:space="0" w:color="auto"/>
        <w:bottom w:val="none" w:sz="0" w:space="0" w:color="auto"/>
        <w:right w:val="none" w:sz="0" w:space="0" w:color="auto"/>
      </w:divBdr>
    </w:div>
    <w:div w:id="1698971306">
      <w:marLeft w:val="0"/>
      <w:marRight w:val="0"/>
      <w:marTop w:val="300"/>
      <w:marBottom w:val="240"/>
      <w:divBdr>
        <w:top w:val="none" w:sz="0" w:space="0" w:color="auto"/>
        <w:left w:val="none" w:sz="0" w:space="0" w:color="auto"/>
        <w:bottom w:val="none" w:sz="0" w:space="0" w:color="auto"/>
        <w:right w:val="none" w:sz="0" w:space="0" w:color="auto"/>
      </w:divBdr>
    </w:div>
    <w:div w:id="1717461183">
      <w:marLeft w:val="0"/>
      <w:marRight w:val="0"/>
      <w:marTop w:val="280"/>
      <w:marBottom w:val="240"/>
      <w:divBdr>
        <w:top w:val="none" w:sz="0" w:space="0" w:color="auto"/>
        <w:left w:val="none" w:sz="0" w:space="0" w:color="auto"/>
        <w:bottom w:val="none" w:sz="0" w:space="0" w:color="auto"/>
        <w:right w:val="none" w:sz="0" w:space="0" w:color="auto"/>
      </w:divBdr>
    </w:div>
    <w:div w:id="1719356485">
      <w:marLeft w:val="0"/>
      <w:marRight w:val="0"/>
      <w:marTop w:val="0"/>
      <w:marBottom w:val="0"/>
      <w:divBdr>
        <w:top w:val="none" w:sz="0" w:space="0" w:color="auto"/>
        <w:left w:val="none" w:sz="0" w:space="0" w:color="auto"/>
        <w:bottom w:val="none" w:sz="0" w:space="0" w:color="auto"/>
        <w:right w:val="none" w:sz="0" w:space="0" w:color="auto"/>
      </w:divBdr>
      <w:divsChild>
        <w:div w:id="467665923">
          <w:marLeft w:val="0"/>
          <w:marRight w:val="0"/>
          <w:marTop w:val="0"/>
          <w:marBottom w:val="0"/>
          <w:divBdr>
            <w:top w:val="none" w:sz="0" w:space="0" w:color="auto"/>
            <w:left w:val="none" w:sz="0" w:space="0" w:color="auto"/>
            <w:bottom w:val="none" w:sz="0" w:space="0" w:color="auto"/>
            <w:right w:val="none" w:sz="0" w:space="0" w:color="auto"/>
          </w:divBdr>
        </w:div>
      </w:divsChild>
    </w:div>
    <w:div w:id="1720322232">
      <w:marLeft w:val="0"/>
      <w:marRight w:val="0"/>
      <w:marTop w:val="0"/>
      <w:marBottom w:val="240"/>
      <w:divBdr>
        <w:top w:val="none" w:sz="0" w:space="0" w:color="auto"/>
        <w:left w:val="none" w:sz="0" w:space="0" w:color="auto"/>
        <w:bottom w:val="none" w:sz="0" w:space="0" w:color="auto"/>
        <w:right w:val="none" w:sz="0" w:space="0" w:color="auto"/>
      </w:divBdr>
    </w:div>
    <w:div w:id="1728802980">
      <w:marLeft w:val="0"/>
      <w:marRight w:val="0"/>
      <w:marTop w:val="0"/>
      <w:marBottom w:val="240"/>
      <w:divBdr>
        <w:top w:val="none" w:sz="0" w:space="0" w:color="auto"/>
        <w:left w:val="none" w:sz="0" w:space="0" w:color="auto"/>
        <w:bottom w:val="none" w:sz="0" w:space="0" w:color="auto"/>
        <w:right w:val="none" w:sz="0" w:space="0" w:color="auto"/>
      </w:divBdr>
    </w:div>
    <w:div w:id="1730304862">
      <w:marLeft w:val="0"/>
      <w:marRight w:val="0"/>
      <w:marTop w:val="0"/>
      <w:marBottom w:val="60"/>
      <w:divBdr>
        <w:top w:val="none" w:sz="0" w:space="0" w:color="auto"/>
        <w:left w:val="none" w:sz="0" w:space="0" w:color="auto"/>
        <w:bottom w:val="none" w:sz="0" w:space="0" w:color="auto"/>
        <w:right w:val="none" w:sz="0" w:space="0" w:color="auto"/>
      </w:divBdr>
    </w:div>
    <w:div w:id="1736584081">
      <w:marLeft w:val="0"/>
      <w:marRight w:val="0"/>
      <w:marTop w:val="260"/>
      <w:marBottom w:val="60"/>
      <w:divBdr>
        <w:top w:val="none" w:sz="0" w:space="0" w:color="auto"/>
        <w:left w:val="none" w:sz="0" w:space="0" w:color="auto"/>
        <w:bottom w:val="none" w:sz="0" w:space="0" w:color="auto"/>
        <w:right w:val="none" w:sz="0" w:space="0" w:color="auto"/>
      </w:divBdr>
    </w:div>
    <w:div w:id="1736779532">
      <w:marLeft w:val="0"/>
      <w:marRight w:val="0"/>
      <w:marTop w:val="0"/>
      <w:marBottom w:val="240"/>
      <w:divBdr>
        <w:top w:val="none" w:sz="0" w:space="0" w:color="auto"/>
        <w:left w:val="none" w:sz="0" w:space="0" w:color="auto"/>
        <w:bottom w:val="none" w:sz="0" w:space="0" w:color="auto"/>
        <w:right w:val="none" w:sz="0" w:space="0" w:color="auto"/>
      </w:divBdr>
    </w:div>
    <w:div w:id="1738016577">
      <w:marLeft w:val="0"/>
      <w:marRight w:val="0"/>
      <w:marTop w:val="0"/>
      <w:marBottom w:val="0"/>
      <w:divBdr>
        <w:top w:val="none" w:sz="0" w:space="0" w:color="auto"/>
        <w:left w:val="none" w:sz="0" w:space="0" w:color="auto"/>
        <w:bottom w:val="none" w:sz="0" w:space="0" w:color="auto"/>
        <w:right w:val="none" w:sz="0" w:space="0" w:color="auto"/>
      </w:divBdr>
      <w:divsChild>
        <w:div w:id="1150558373">
          <w:marLeft w:val="0"/>
          <w:marRight w:val="0"/>
          <w:marTop w:val="0"/>
          <w:marBottom w:val="0"/>
          <w:divBdr>
            <w:top w:val="none" w:sz="0" w:space="0" w:color="auto"/>
            <w:left w:val="none" w:sz="0" w:space="0" w:color="auto"/>
            <w:bottom w:val="none" w:sz="0" w:space="0" w:color="auto"/>
            <w:right w:val="none" w:sz="0" w:space="0" w:color="auto"/>
          </w:divBdr>
        </w:div>
      </w:divsChild>
    </w:div>
    <w:div w:id="1738284658">
      <w:marLeft w:val="0"/>
      <w:marRight w:val="0"/>
      <w:marTop w:val="120"/>
      <w:marBottom w:val="0"/>
      <w:divBdr>
        <w:top w:val="none" w:sz="0" w:space="0" w:color="auto"/>
        <w:left w:val="none" w:sz="0" w:space="0" w:color="auto"/>
        <w:bottom w:val="none" w:sz="0" w:space="0" w:color="auto"/>
        <w:right w:val="none" w:sz="0" w:space="0" w:color="auto"/>
      </w:divBdr>
    </w:div>
    <w:div w:id="1741977611">
      <w:marLeft w:val="0"/>
      <w:marRight w:val="0"/>
      <w:marTop w:val="0"/>
      <w:marBottom w:val="240"/>
      <w:divBdr>
        <w:top w:val="none" w:sz="0" w:space="0" w:color="auto"/>
        <w:left w:val="none" w:sz="0" w:space="0" w:color="auto"/>
        <w:bottom w:val="none" w:sz="0" w:space="0" w:color="auto"/>
        <w:right w:val="none" w:sz="0" w:space="0" w:color="auto"/>
      </w:divBdr>
    </w:div>
    <w:div w:id="1742098484">
      <w:marLeft w:val="0"/>
      <w:marRight w:val="0"/>
      <w:marTop w:val="240"/>
      <w:marBottom w:val="0"/>
      <w:divBdr>
        <w:top w:val="none" w:sz="0" w:space="0" w:color="auto"/>
        <w:left w:val="none" w:sz="0" w:space="0" w:color="auto"/>
        <w:bottom w:val="none" w:sz="0" w:space="0" w:color="auto"/>
        <w:right w:val="none" w:sz="0" w:space="0" w:color="auto"/>
      </w:divBdr>
    </w:div>
    <w:div w:id="1743017095">
      <w:marLeft w:val="0"/>
      <w:marRight w:val="0"/>
      <w:marTop w:val="0"/>
      <w:marBottom w:val="240"/>
      <w:divBdr>
        <w:top w:val="none" w:sz="0" w:space="0" w:color="auto"/>
        <w:left w:val="none" w:sz="0" w:space="0" w:color="auto"/>
        <w:bottom w:val="none" w:sz="0" w:space="0" w:color="auto"/>
        <w:right w:val="none" w:sz="0" w:space="0" w:color="auto"/>
      </w:divBdr>
    </w:div>
    <w:div w:id="1744451637">
      <w:marLeft w:val="0"/>
      <w:marRight w:val="0"/>
      <w:marTop w:val="0"/>
      <w:marBottom w:val="0"/>
      <w:divBdr>
        <w:top w:val="none" w:sz="0" w:space="0" w:color="auto"/>
        <w:left w:val="none" w:sz="0" w:space="0" w:color="auto"/>
        <w:bottom w:val="none" w:sz="0" w:space="0" w:color="auto"/>
        <w:right w:val="none" w:sz="0" w:space="0" w:color="auto"/>
      </w:divBdr>
      <w:divsChild>
        <w:div w:id="1674723182">
          <w:marLeft w:val="0"/>
          <w:marRight w:val="0"/>
          <w:marTop w:val="0"/>
          <w:marBottom w:val="0"/>
          <w:divBdr>
            <w:top w:val="none" w:sz="0" w:space="0" w:color="auto"/>
            <w:left w:val="none" w:sz="0" w:space="0" w:color="auto"/>
            <w:bottom w:val="none" w:sz="0" w:space="0" w:color="auto"/>
            <w:right w:val="none" w:sz="0" w:space="0" w:color="auto"/>
          </w:divBdr>
        </w:div>
      </w:divsChild>
    </w:div>
    <w:div w:id="1744595927">
      <w:marLeft w:val="0"/>
      <w:marRight w:val="0"/>
      <w:marTop w:val="0"/>
      <w:marBottom w:val="60"/>
      <w:divBdr>
        <w:top w:val="none" w:sz="0" w:space="0" w:color="auto"/>
        <w:left w:val="none" w:sz="0" w:space="0" w:color="auto"/>
        <w:bottom w:val="none" w:sz="0" w:space="0" w:color="auto"/>
        <w:right w:val="none" w:sz="0" w:space="0" w:color="auto"/>
      </w:divBdr>
    </w:div>
    <w:div w:id="1746488861">
      <w:marLeft w:val="0"/>
      <w:marRight w:val="0"/>
      <w:marTop w:val="0"/>
      <w:marBottom w:val="240"/>
      <w:divBdr>
        <w:top w:val="none" w:sz="0" w:space="0" w:color="auto"/>
        <w:left w:val="none" w:sz="0" w:space="0" w:color="auto"/>
        <w:bottom w:val="none" w:sz="0" w:space="0" w:color="auto"/>
        <w:right w:val="none" w:sz="0" w:space="0" w:color="auto"/>
      </w:divBdr>
    </w:div>
    <w:div w:id="1747798990">
      <w:marLeft w:val="0"/>
      <w:marRight w:val="0"/>
      <w:marTop w:val="0"/>
      <w:marBottom w:val="80"/>
      <w:divBdr>
        <w:top w:val="none" w:sz="0" w:space="0" w:color="auto"/>
        <w:left w:val="none" w:sz="0" w:space="0" w:color="auto"/>
        <w:bottom w:val="none" w:sz="0" w:space="0" w:color="auto"/>
        <w:right w:val="none" w:sz="0" w:space="0" w:color="auto"/>
      </w:divBdr>
    </w:div>
    <w:div w:id="1750226236">
      <w:marLeft w:val="0"/>
      <w:marRight w:val="0"/>
      <w:marTop w:val="0"/>
      <w:marBottom w:val="60"/>
      <w:divBdr>
        <w:top w:val="none" w:sz="0" w:space="0" w:color="auto"/>
        <w:left w:val="none" w:sz="0" w:space="0" w:color="auto"/>
        <w:bottom w:val="none" w:sz="0" w:space="0" w:color="auto"/>
        <w:right w:val="none" w:sz="0" w:space="0" w:color="auto"/>
      </w:divBdr>
    </w:div>
    <w:div w:id="1752462441">
      <w:marLeft w:val="0"/>
      <w:marRight w:val="0"/>
      <w:marTop w:val="0"/>
      <w:marBottom w:val="0"/>
      <w:divBdr>
        <w:top w:val="none" w:sz="0" w:space="0" w:color="auto"/>
        <w:left w:val="none" w:sz="0" w:space="0" w:color="auto"/>
        <w:bottom w:val="none" w:sz="0" w:space="0" w:color="auto"/>
        <w:right w:val="none" w:sz="0" w:space="0" w:color="auto"/>
      </w:divBdr>
      <w:divsChild>
        <w:div w:id="1663772581">
          <w:marLeft w:val="0"/>
          <w:marRight w:val="0"/>
          <w:marTop w:val="0"/>
          <w:marBottom w:val="0"/>
          <w:divBdr>
            <w:top w:val="none" w:sz="0" w:space="0" w:color="auto"/>
            <w:left w:val="none" w:sz="0" w:space="0" w:color="auto"/>
            <w:bottom w:val="none" w:sz="0" w:space="0" w:color="auto"/>
            <w:right w:val="none" w:sz="0" w:space="0" w:color="auto"/>
          </w:divBdr>
        </w:div>
      </w:divsChild>
    </w:div>
    <w:div w:id="1754007200">
      <w:marLeft w:val="0"/>
      <w:marRight w:val="0"/>
      <w:marTop w:val="0"/>
      <w:marBottom w:val="240"/>
      <w:divBdr>
        <w:top w:val="none" w:sz="0" w:space="0" w:color="auto"/>
        <w:left w:val="none" w:sz="0" w:space="0" w:color="auto"/>
        <w:bottom w:val="none" w:sz="0" w:space="0" w:color="auto"/>
        <w:right w:val="none" w:sz="0" w:space="0" w:color="auto"/>
      </w:divBdr>
    </w:div>
    <w:div w:id="1755323669">
      <w:marLeft w:val="0"/>
      <w:marRight w:val="0"/>
      <w:marTop w:val="0"/>
      <w:marBottom w:val="120"/>
      <w:divBdr>
        <w:top w:val="none" w:sz="0" w:space="0" w:color="auto"/>
        <w:left w:val="none" w:sz="0" w:space="0" w:color="auto"/>
        <w:bottom w:val="none" w:sz="0" w:space="0" w:color="auto"/>
        <w:right w:val="none" w:sz="0" w:space="0" w:color="auto"/>
      </w:divBdr>
    </w:div>
    <w:div w:id="1755933959">
      <w:marLeft w:val="0"/>
      <w:marRight w:val="0"/>
      <w:marTop w:val="0"/>
      <w:marBottom w:val="240"/>
      <w:divBdr>
        <w:top w:val="none" w:sz="0" w:space="0" w:color="auto"/>
        <w:left w:val="none" w:sz="0" w:space="0" w:color="auto"/>
        <w:bottom w:val="none" w:sz="0" w:space="0" w:color="auto"/>
        <w:right w:val="none" w:sz="0" w:space="0" w:color="auto"/>
      </w:divBdr>
    </w:div>
    <w:div w:id="1758479077">
      <w:marLeft w:val="0"/>
      <w:marRight w:val="0"/>
      <w:marTop w:val="0"/>
      <w:marBottom w:val="0"/>
      <w:divBdr>
        <w:top w:val="none" w:sz="0" w:space="0" w:color="auto"/>
        <w:left w:val="none" w:sz="0" w:space="0" w:color="auto"/>
        <w:bottom w:val="none" w:sz="0" w:space="0" w:color="auto"/>
        <w:right w:val="none" w:sz="0" w:space="0" w:color="auto"/>
      </w:divBdr>
      <w:divsChild>
        <w:div w:id="609431791">
          <w:marLeft w:val="0"/>
          <w:marRight w:val="0"/>
          <w:marTop w:val="0"/>
          <w:marBottom w:val="0"/>
          <w:divBdr>
            <w:top w:val="none" w:sz="0" w:space="0" w:color="auto"/>
            <w:left w:val="none" w:sz="0" w:space="0" w:color="auto"/>
            <w:bottom w:val="none" w:sz="0" w:space="0" w:color="auto"/>
            <w:right w:val="none" w:sz="0" w:space="0" w:color="auto"/>
          </w:divBdr>
        </w:div>
      </w:divsChild>
    </w:div>
    <w:div w:id="1771390914">
      <w:marLeft w:val="0"/>
      <w:marRight w:val="0"/>
      <w:marTop w:val="240"/>
      <w:marBottom w:val="240"/>
      <w:divBdr>
        <w:top w:val="none" w:sz="0" w:space="0" w:color="auto"/>
        <w:left w:val="none" w:sz="0" w:space="0" w:color="auto"/>
        <w:bottom w:val="none" w:sz="0" w:space="0" w:color="auto"/>
        <w:right w:val="none" w:sz="0" w:space="0" w:color="auto"/>
      </w:divBdr>
    </w:div>
    <w:div w:id="1778257925">
      <w:marLeft w:val="0"/>
      <w:marRight w:val="0"/>
      <w:marTop w:val="240"/>
      <w:marBottom w:val="240"/>
      <w:divBdr>
        <w:top w:val="none" w:sz="0" w:space="0" w:color="auto"/>
        <w:left w:val="none" w:sz="0" w:space="0" w:color="auto"/>
        <w:bottom w:val="none" w:sz="0" w:space="0" w:color="auto"/>
        <w:right w:val="none" w:sz="0" w:space="0" w:color="auto"/>
      </w:divBdr>
    </w:div>
    <w:div w:id="1780828718">
      <w:marLeft w:val="0"/>
      <w:marRight w:val="0"/>
      <w:marTop w:val="0"/>
      <w:marBottom w:val="240"/>
      <w:divBdr>
        <w:top w:val="none" w:sz="0" w:space="0" w:color="auto"/>
        <w:left w:val="none" w:sz="0" w:space="0" w:color="auto"/>
        <w:bottom w:val="none" w:sz="0" w:space="0" w:color="auto"/>
        <w:right w:val="none" w:sz="0" w:space="0" w:color="auto"/>
      </w:divBdr>
    </w:div>
    <w:div w:id="1785463942">
      <w:marLeft w:val="0"/>
      <w:marRight w:val="0"/>
      <w:marTop w:val="0"/>
      <w:marBottom w:val="0"/>
      <w:divBdr>
        <w:top w:val="none" w:sz="0" w:space="0" w:color="auto"/>
        <w:left w:val="none" w:sz="0" w:space="0" w:color="auto"/>
        <w:bottom w:val="none" w:sz="0" w:space="0" w:color="auto"/>
        <w:right w:val="none" w:sz="0" w:space="0" w:color="auto"/>
      </w:divBdr>
    </w:div>
    <w:div w:id="1787700790">
      <w:marLeft w:val="0"/>
      <w:marRight w:val="0"/>
      <w:marTop w:val="0"/>
      <w:marBottom w:val="240"/>
      <w:divBdr>
        <w:top w:val="none" w:sz="0" w:space="0" w:color="auto"/>
        <w:left w:val="none" w:sz="0" w:space="0" w:color="auto"/>
        <w:bottom w:val="none" w:sz="0" w:space="0" w:color="auto"/>
        <w:right w:val="none" w:sz="0" w:space="0" w:color="auto"/>
      </w:divBdr>
    </w:div>
    <w:div w:id="1793590844">
      <w:marLeft w:val="0"/>
      <w:marRight w:val="0"/>
      <w:marTop w:val="0"/>
      <w:marBottom w:val="240"/>
      <w:divBdr>
        <w:top w:val="none" w:sz="0" w:space="0" w:color="auto"/>
        <w:left w:val="none" w:sz="0" w:space="0" w:color="auto"/>
        <w:bottom w:val="none" w:sz="0" w:space="0" w:color="auto"/>
        <w:right w:val="none" w:sz="0" w:space="0" w:color="auto"/>
      </w:divBdr>
    </w:div>
    <w:div w:id="1798141009">
      <w:marLeft w:val="0"/>
      <w:marRight w:val="0"/>
      <w:marTop w:val="0"/>
      <w:marBottom w:val="240"/>
      <w:divBdr>
        <w:top w:val="none" w:sz="0" w:space="0" w:color="auto"/>
        <w:left w:val="none" w:sz="0" w:space="0" w:color="auto"/>
        <w:bottom w:val="none" w:sz="0" w:space="0" w:color="auto"/>
        <w:right w:val="none" w:sz="0" w:space="0" w:color="auto"/>
      </w:divBdr>
    </w:div>
    <w:div w:id="1800755550">
      <w:marLeft w:val="0"/>
      <w:marRight w:val="0"/>
      <w:marTop w:val="0"/>
      <w:marBottom w:val="0"/>
      <w:divBdr>
        <w:top w:val="none" w:sz="0" w:space="0" w:color="auto"/>
        <w:left w:val="none" w:sz="0" w:space="0" w:color="auto"/>
        <w:bottom w:val="none" w:sz="0" w:space="0" w:color="auto"/>
        <w:right w:val="none" w:sz="0" w:space="0" w:color="auto"/>
      </w:divBdr>
      <w:divsChild>
        <w:div w:id="469980235">
          <w:marLeft w:val="0"/>
          <w:marRight w:val="0"/>
          <w:marTop w:val="0"/>
          <w:marBottom w:val="0"/>
          <w:divBdr>
            <w:top w:val="none" w:sz="0" w:space="0" w:color="auto"/>
            <w:left w:val="none" w:sz="0" w:space="0" w:color="auto"/>
            <w:bottom w:val="none" w:sz="0" w:space="0" w:color="auto"/>
            <w:right w:val="none" w:sz="0" w:space="0" w:color="auto"/>
          </w:divBdr>
        </w:div>
      </w:divsChild>
    </w:div>
    <w:div w:id="1805391618">
      <w:marLeft w:val="0"/>
      <w:marRight w:val="0"/>
      <w:marTop w:val="0"/>
      <w:marBottom w:val="60"/>
      <w:divBdr>
        <w:top w:val="none" w:sz="0" w:space="0" w:color="auto"/>
        <w:left w:val="none" w:sz="0" w:space="0" w:color="auto"/>
        <w:bottom w:val="none" w:sz="0" w:space="0" w:color="auto"/>
        <w:right w:val="none" w:sz="0" w:space="0" w:color="auto"/>
      </w:divBdr>
    </w:div>
    <w:div w:id="1807162401">
      <w:marLeft w:val="0"/>
      <w:marRight w:val="0"/>
      <w:marTop w:val="0"/>
      <w:marBottom w:val="240"/>
      <w:divBdr>
        <w:top w:val="none" w:sz="0" w:space="0" w:color="auto"/>
        <w:left w:val="none" w:sz="0" w:space="0" w:color="auto"/>
        <w:bottom w:val="none" w:sz="0" w:space="0" w:color="auto"/>
        <w:right w:val="none" w:sz="0" w:space="0" w:color="auto"/>
      </w:divBdr>
    </w:div>
    <w:div w:id="1811705458">
      <w:marLeft w:val="0"/>
      <w:marRight w:val="0"/>
      <w:marTop w:val="0"/>
      <w:marBottom w:val="120"/>
      <w:divBdr>
        <w:top w:val="none" w:sz="0" w:space="0" w:color="auto"/>
        <w:left w:val="none" w:sz="0" w:space="0" w:color="auto"/>
        <w:bottom w:val="none" w:sz="0" w:space="0" w:color="auto"/>
        <w:right w:val="none" w:sz="0" w:space="0" w:color="auto"/>
      </w:divBdr>
    </w:div>
    <w:div w:id="1814442046">
      <w:marLeft w:val="0"/>
      <w:marRight w:val="0"/>
      <w:marTop w:val="0"/>
      <w:marBottom w:val="0"/>
      <w:divBdr>
        <w:top w:val="none" w:sz="0" w:space="0" w:color="auto"/>
        <w:left w:val="none" w:sz="0" w:space="0" w:color="auto"/>
        <w:bottom w:val="none" w:sz="0" w:space="0" w:color="auto"/>
        <w:right w:val="none" w:sz="0" w:space="0" w:color="auto"/>
      </w:divBdr>
      <w:divsChild>
        <w:div w:id="1092776984">
          <w:marLeft w:val="0"/>
          <w:marRight w:val="0"/>
          <w:marTop w:val="0"/>
          <w:marBottom w:val="0"/>
          <w:divBdr>
            <w:top w:val="none" w:sz="0" w:space="0" w:color="auto"/>
            <w:left w:val="none" w:sz="0" w:space="0" w:color="auto"/>
            <w:bottom w:val="none" w:sz="0" w:space="0" w:color="auto"/>
            <w:right w:val="none" w:sz="0" w:space="0" w:color="auto"/>
          </w:divBdr>
        </w:div>
      </w:divsChild>
    </w:div>
    <w:div w:id="1818692659">
      <w:marLeft w:val="0"/>
      <w:marRight w:val="0"/>
      <w:marTop w:val="0"/>
      <w:marBottom w:val="0"/>
      <w:divBdr>
        <w:top w:val="none" w:sz="0" w:space="0" w:color="auto"/>
        <w:left w:val="none" w:sz="0" w:space="0" w:color="auto"/>
        <w:bottom w:val="none" w:sz="0" w:space="0" w:color="auto"/>
        <w:right w:val="none" w:sz="0" w:space="0" w:color="auto"/>
      </w:divBdr>
      <w:divsChild>
        <w:div w:id="747651907">
          <w:marLeft w:val="0"/>
          <w:marRight w:val="0"/>
          <w:marTop w:val="0"/>
          <w:marBottom w:val="0"/>
          <w:divBdr>
            <w:top w:val="none" w:sz="0" w:space="0" w:color="auto"/>
            <w:left w:val="none" w:sz="0" w:space="0" w:color="auto"/>
            <w:bottom w:val="none" w:sz="0" w:space="0" w:color="auto"/>
            <w:right w:val="none" w:sz="0" w:space="0" w:color="auto"/>
          </w:divBdr>
        </w:div>
      </w:divsChild>
    </w:div>
    <w:div w:id="1821773300">
      <w:marLeft w:val="0"/>
      <w:marRight w:val="0"/>
      <w:marTop w:val="0"/>
      <w:marBottom w:val="60"/>
      <w:divBdr>
        <w:top w:val="none" w:sz="0" w:space="0" w:color="auto"/>
        <w:left w:val="none" w:sz="0" w:space="0" w:color="auto"/>
        <w:bottom w:val="none" w:sz="0" w:space="0" w:color="auto"/>
        <w:right w:val="none" w:sz="0" w:space="0" w:color="auto"/>
      </w:divBdr>
    </w:div>
    <w:div w:id="1825199742">
      <w:marLeft w:val="0"/>
      <w:marRight w:val="0"/>
      <w:marTop w:val="0"/>
      <w:marBottom w:val="60"/>
      <w:divBdr>
        <w:top w:val="none" w:sz="0" w:space="0" w:color="auto"/>
        <w:left w:val="none" w:sz="0" w:space="0" w:color="auto"/>
        <w:bottom w:val="none" w:sz="0" w:space="0" w:color="auto"/>
        <w:right w:val="none" w:sz="0" w:space="0" w:color="auto"/>
      </w:divBdr>
    </w:div>
    <w:div w:id="1827284845">
      <w:marLeft w:val="0"/>
      <w:marRight w:val="0"/>
      <w:marTop w:val="0"/>
      <w:marBottom w:val="120"/>
      <w:divBdr>
        <w:top w:val="none" w:sz="0" w:space="0" w:color="auto"/>
        <w:left w:val="none" w:sz="0" w:space="0" w:color="auto"/>
        <w:bottom w:val="none" w:sz="0" w:space="0" w:color="auto"/>
        <w:right w:val="none" w:sz="0" w:space="0" w:color="auto"/>
      </w:divBdr>
    </w:div>
    <w:div w:id="1833642673">
      <w:marLeft w:val="0"/>
      <w:marRight w:val="0"/>
      <w:marTop w:val="0"/>
      <w:marBottom w:val="120"/>
      <w:divBdr>
        <w:top w:val="none" w:sz="0" w:space="0" w:color="auto"/>
        <w:left w:val="none" w:sz="0" w:space="0" w:color="auto"/>
        <w:bottom w:val="none" w:sz="0" w:space="0" w:color="auto"/>
        <w:right w:val="none" w:sz="0" w:space="0" w:color="auto"/>
      </w:divBdr>
    </w:div>
    <w:div w:id="1833988696">
      <w:marLeft w:val="0"/>
      <w:marRight w:val="0"/>
      <w:marTop w:val="0"/>
      <w:marBottom w:val="0"/>
      <w:divBdr>
        <w:top w:val="none" w:sz="0" w:space="0" w:color="auto"/>
        <w:left w:val="none" w:sz="0" w:space="0" w:color="auto"/>
        <w:bottom w:val="none" w:sz="0" w:space="0" w:color="auto"/>
        <w:right w:val="none" w:sz="0" w:space="0" w:color="auto"/>
      </w:divBdr>
      <w:divsChild>
        <w:div w:id="1310088071">
          <w:marLeft w:val="0"/>
          <w:marRight w:val="0"/>
          <w:marTop w:val="0"/>
          <w:marBottom w:val="0"/>
          <w:divBdr>
            <w:top w:val="none" w:sz="0" w:space="0" w:color="auto"/>
            <w:left w:val="none" w:sz="0" w:space="0" w:color="auto"/>
            <w:bottom w:val="none" w:sz="0" w:space="0" w:color="auto"/>
            <w:right w:val="none" w:sz="0" w:space="0" w:color="auto"/>
          </w:divBdr>
        </w:div>
      </w:divsChild>
    </w:div>
    <w:div w:id="1835029064">
      <w:marLeft w:val="0"/>
      <w:marRight w:val="0"/>
      <w:marTop w:val="0"/>
      <w:marBottom w:val="60"/>
      <w:divBdr>
        <w:top w:val="none" w:sz="0" w:space="0" w:color="auto"/>
        <w:left w:val="none" w:sz="0" w:space="0" w:color="auto"/>
        <w:bottom w:val="none" w:sz="0" w:space="0" w:color="auto"/>
        <w:right w:val="none" w:sz="0" w:space="0" w:color="auto"/>
      </w:divBdr>
    </w:div>
    <w:div w:id="1836267100">
      <w:marLeft w:val="0"/>
      <w:marRight w:val="0"/>
      <w:marTop w:val="0"/>
      <w:marBottom w:val="0"/>
      <w:divBdr>
        <w:top w:val="none" w:sz="0" w:space="0" w:color="auto"/>
        <w:left w:val="none" w:sz="0" w:space="0" w:color="auto"/>
        <w:bottom w:val="none" w:sz="0" w:space="0" w:color="auto"/>
        <w:right w:val="none" w:sz="0" w:space="0" w:color="auto"/>
      </w:divBdr>
    </w:div>
    <w:div w:id="1836989921">
      <w:marLeft w:val="0"/>
      <w:marRight w:val="0"/>
      <w:marTop w:val="200"/>
      <w:marBottom w:val="0"/>
      <w:divBdr>
        <w:top w:val="none" w:sz="0" w:space="0" w:color="auto"/>
        <w:left w:val="none" w:sz="0" w:space="0" w:color="auto"/>
        <w:bottom w:val="none" w:sz="0" w:space="0" w:color="auto"/>
        <w:right w:val="none" w:sz="0" w:space="0" w:color="auto"/>
      </w:divBdr>
    </w:div>
    <w:div w:id="1837456777">
      <w:marLeft w:val="0"/>
      <w:marRight w:val="0"/>
      <w:marTop w:val="0"/>
      <w:marBottom w:val="60"/>
      <w:divBdr>
        <w:top w:val="none" w:sz="0" w:space="0" w:color="auto"/>
        <w:left w:val="none" w:sz="0" w:space="0" w:color="auto"/>
        <w:bottom w:val="none" w:sz="0" w:space="0" w:color="auto"/>
        <w:right w:val="none" w:sz="0" w:space="0" w:color="auto"/>
      </w:divBdr>
    </w:div>
    <w:div w:id="1842697287">
      <w:marLeft w:val="0"/>
      <w:marRight w:val="0"/>
      <w:marTop w:val="0"/>
      <w:marBottom w:val="240"/>
      <w:divBdr>
        <w:top w:val="none" w:sz="0" w:space="0" w:color="auto"/>
        <w:left w:val="none" w:sz="0" w:space="0" w:color="auto"/>
        <w:bottom w:val="none" w:sz="0" w:space="0" w:color="auto"/>
        <w:right w:val="none" w:sz="0" w:space="0" w:color="auto"/>
      </w:divBdr>
    </w:div>
    <w:div w:id="1844318281">
      <w:marLeft w:val="0"/>
      <w:marRight w:val="0"/>
      <w:marTop w:val="0"/>
      <w:marBottom w:val="240"/>
      <w:divBdr>
        <w:top w:val="none" w:sz="0" w:space="0" w:color="auto"/>
        <w:left w:val="none" w:sz="0" w:space="0" w:color="auto"/>
        <w:bottom w:val="none" w:sz="0" w:space="0" w:color="auto"/>
        <w:right w:val="none" w:sz="0" w:space="0" w:color="auto"/>
      </w:divBdr>
    </w:div>
    <w:div w:id="1849128726">
      <w:marLeft w:val="0"/>
      <w:marRight w:val="0"/>
      <w:marTop w:val="0"/>
      <w:marBottom w:val="200"/>
      <w:divBdr>
        <w:top w:val="none" w:sz="0" w:space="0" w:color="auto"/>
        <w:left w:val="none" w:sz="0" w:space="0" w:color="auto"/>
        <w:bottom w:val="none" w:sz="0" w:space="0" w:color="auto"/>
        <w:right w:val="none" w:sz="0" w:space="0" w:color="auto"/>
      </w:divBdr>
    </w:div>
    <w:div w:id="1852065805">
      <w:marLeft w:val="0"/>
      <w:marRight w:val="0"/>
      <w:marTop w:val="0"/>
      <w:marBottom w:val="120"/>
      <w:divBdr>
        <w:top w:val="none" w:sz="0" w:space="0" w:color="auto"/>
        <w:left w:val="none" w:sz="0" w:space="0" w:color="auto"/>
        <w:bottom w:val="none" w:sz="0" w:space="0" w:color="auto"/>
        <w:right w:val="none" w:sz="0" w:space="0" w:color="auto"/>
      </w:divBdr>
      <w:divsChild>
        <w:div w:id="172233547">
          <w:marLeft w:val="0"/>
          <w:marRight w:val="0"/>
          <w:marTop w:val="0"/>
          <w:marBottom w:val="0"/>
          <w:divBdr>
            <w:top w:val="none" w:sz="0" w:space="0" w:color="auto"/>
            <w:left w:val="none" w:sz="0" w:space="0" w:color="auto"/>
            <w:bottom w:val="none" w:sz="0" w:space="0" w:color="auto"/>
            <w:right w:val="none" w:sz="0" w:space="0" w:color="auto"/>
          </w:divBdr>
        </w:div>
        <w:div w:id="655838219">
          <w:marLeft w:val="0"/>
          <w:marRight w:val="0"/>
          <w:marTop w:val="0"/>
          <w:marBottom w:val="0"/>
          <w:divBdr>
            <w:top w:val="none" w:sz="0" w:space="0" w:color="auto"/>
            <w:left w:val="none" w:sz="0" w:space="0" w:color="auto"/>
            <w:bottom w:val="none" w:sz="0" w:space="0" w:color="auto"/>
            <w:right w:val="none" w:sz="0" w:space="0" w:color="auto"/>
          </w:divBdr>
        </w:div>
        <w:div w:id="1864978459">
          <w:marLeft w:val="0"/>
          <w:marRight w:val="0"/>
          <w:marTop w:val="0"/>
          <w:marBottom w:val="0"/>
          <w:divBdr>
            <w:top w:val="none" w:sz="0" w:space="0" w:color="auto"/>
            <w:left w:val="none" w:sz="0" w:space="0" w:color="auto"/>
            <w:bottom w:val="none" w:sz="0" w:space="0" w:color="auto"/>
            <w:right w:val="none" w:sz="0" w:space="0" w:color="auto"/>
          </w:divBdr>
        </w:div>
        <w:div w:id="869492165">
          <w:marLeft w:val="0"/>
          <w:marRight w:val="0"/>
          <w:marTop w:val="0"/>
          <w:marBottom w:val="0"/>
          <w:divBdr>
            <w:top w:val="none" w:sz="0" w:space="0" w:color="auto"/>
            <w:left w:val="none" w:sz="0" w:space="0" w:color="auto"/>
            <w:bottom w:val="none" w:sz="0" w:space="0" w:color="auto"/>
            <w:right w:val="none" w:sz="0" w:space="0" w:color="auto"/>
          </w:divBdr>
        </w:div>
        <w:div w:id="1397317719">
          <w:marLeft w:val="0"/>
          <w:marRight w:val="0"/>
          <w:marTop w:val="0"/>
          <w:marBottom w:val="0"/>
          <w:divBdr>
            <w:top w:val="none" w:sz="0" w:space="0" w:color="auto"/>
            <w:left w:val="none" w:sz="0" w:space="0" w:color="auto"/>
            <w:bottom w:val="none" w:sz="0" w:space="0" w:color="auto"/>
            <w:right w:val="none" w:sz="0" w:space="0" w:color="auto"/>
          </w:divBdr>
        </w:div>
        <w:div w:id="273488511">
          <w:marLeft w:val="0"/>
          <w:marRight w:val="0"/>
          <w:marTop w:val="0"/>
          <w:marBottom w:val="0"/>
          <w:divBdr>
            <w:top w:val="none" w:sz="0" w:space="0" w:color="auto"/>
            <w:left w:val="none" w:sz="0" w:space="0" w:color="auto"/>
            <w:bottom w:val="none" w:sz="0" w:space="0" w:color="auto"/>
            <w:right w:val="none" w:sz="0" w:space="0" w:color="auto"/>
          </w:divBdr>
        </w:div>
        <w:div w:id="2010522778">
          <w:marLeft w:val="0"/>
          <w:marRight w:val="0"/>
          <w:marTop w:val="0"/>
          <w:marBottom w:val="0"/>
          <w:divBdr>
            <w:top w:val="none" w:sz="0" w:space="0" w:color="auto"/>
            <w:left w:val="none" w:sz="0" w:space="0" w:color="auto"/>
            <w:bottom w:val="none" w:sz="0" w:space="0" w:color="auto"/>
            <w:right w:val="none" w:sz="0" w:space="0" w:color="auto"/>
          </w:divBdr>
        </w:div>
        <w:div w:id="1288588943">
          <w:marLeft w:val="0"/>
          <w:marRight w:val="0"/>
          <w:marTop w:val="0"/>
          <w:marBottom w:val="0"/>
          <w:divBdr>
            <w:top w:val="none" w:sz="0" w:space="0" w:color="auto"/>
            <w:left w:val="none" w:sz="0" w:space="0" w:color="auto"/>
            <w:bottom w:val="none" w:sz="0" w:space="0" w:color="auto"/>
            <w:right w:val="none" w:sz="0" w:space="0" w:color="auto"/>
          </w:divBdr>
        </w:div>
        <w:div w:id="1651015271">
          <w:marLeft w:val="0"/>
          <w:marRight w:val="0"/>
          <w:marTop w:val="0"/>
          <w:marBottom w:val="0"/>
          <w:divBdr>
            <w:top w:val="none" w:sz="0" w:space="0" w:color="auto"/>
            <w:left w:val="none" w:sz="0" w:space="0" w:color="auto"/>
            <w:bottom w:val="none" w:sz="0" w:space="0" w:color="auto"/>
            <w:right w:val="none" w:sz="0" w:space="0" w:color="auto"/>
          </w:divBdr>
        </w:div>
        <w:div w:id="1977223440">
          <w:marLeft w:val="0"/>
          <w:marRight w:val="0"/>
          <w:marTop w:val="0"/>
          <w:marBottom w:val="0"/>
          <w:divBdr>
            <w:top w:val="none" w:sz="0" w:space="0" w:color="auto"/>
            <w:left w:val="none" w:sz="0" w:space="0" w:color="auto"/>
            <w:bottom w:val="none" w:sz="0" w:space="0" w:color="auto"/>
            <w:right w:val="none" w:sz="0" w:space="0" w:color="auto"/>
          </w:divBdr>
        </w:div>
        <w:div w:id="771121283">
          <w:marLeft w:val="0"/>
          <w:marRight w:val="0"/>
          <w:marTop w:val="0"/>
          <w:marBottom w:val="0"/>
          <w:divBdr>
            <w:top w:val="none" w:sz="0" w:space="0" w:color="auto"/>
            <w:left w:val="none" w:sz="0" w:space="0" w:color="auto"/>
            <w:bottom w:val="none" w:sz="0" w:space="0" w:color="auto"/>
            <w:right w:val="none" w:sz="0" w:space="0" w:color="auto"/>
          </w:divBdr>
        </w:div>
        <w:div w:id="351227916">
          <w:marLeft w:val="0"/>
          <w:marRight w:val="0"/>
          <w:marTop w:val="0"/>
          <w:marBottom w:val="0"/>
          <w:divBdr>
            <w:top w:val="none" w:sz="0" w:space="0" w:color="auto"/>
            <w:left w:val="none" w:sz="0" w:space="0" w:color="auto"/>
            <w:bottom w:val="none" w:sz="0" w:space="0" w:color="auto"/>
            <w:right w:val="none" w:sz="0" w:space="0" w:color="auto"/>
          </w:divBdr>
        </w:div>
        <w:div w:id="1877309919">
          <w:marLeft w:val="0"/>
          <w:marRight w:val="0"/>
          <w:marTop w:val="0"/>
          <w:marBottom w:val="0"/>
          <w:divBdr>
            <w:top w:val="none" w:sz="0" w:space="0" w:color="auto"/>
            <w:left w:val="none" w:sz="0" w:space="0" w:color="auto"/>
            <w:bottom w:val="none" w:sz="0" w:space="0" w:color="auto"/>
            <w:right w:val="none" w:sz="0" w:space="0" w:color="auto"/>
          </w:divBdr>
        </w:div>
        <w:div w:id="425612794">
          <w:marLeft w:val="0"/>
          <w:marRight w:val="0"/>
          <w:marTop w:val="0"/>
          <w:marBottom w:val="0"/>
          <w:divBdr>
            <w:top w:val="none" w:sz="0" w:space="0" w:color="auto"/>
            <w:left w:val="none" w:sz="0" w:space="0" w:color="auto"/>
            <w:bottom w:val="none" w:sz="0" w:space="0" w:color="auto"/>
            <w:right w:val="none" w:sz="0" w:space="0" w:color="auto"/>
          </w:divBdr>
        </w:div>
        <w:div w:id="2011903810">
          <w:marLeft w:val="0"/>
          <w:marRight w:val="0"/>
          <w:marTop w:val="0"/>
          <w:marBottom w:val="0"/>
          <w:divBdr>
            <w:top w:val="none" w:sz="0" w:space="0" w:color="auto"/>
            <w:left w:val="none" w:sz="0" w:space="0" w:color="auto"/>
            <w:bottom w:val="none" w:sz="0" w:space="0" w:color="auto"/>
            <w:right w:val="none" w:sz="0" w:space="0" w:color="auto"/>
          </w:divBdr>
        </w:div>
        <w:div w:id="137691239">
          <w:marLeft w:val="0"/>
          <w:marRight w:val="0"/>
          <w:marTop w:val="0"/>
          <w:marBottom w:val="0"/>
          <w:divBdr>
            <w:top w:val="none" w:sz="0" w:space="0" w:color="auto"/>
            <w:left w:val="none" w:sz="0" w:space="0" w:color="auto"/>
            <w:bottom w:val="none" w:sz="0" w:space="0" w:color="auto"/>
            <w:right w:val="none" w:sz="0" w:space="0" w:color="auto"/>
          </w:divBdr>
        </w:div>
        <w:div w:id="147089479">
          <w:marLeft w:val="0"/>
          <w:marRight w:val="0"/>
          <w:marTop w:val="0"/>
          <w:marBottom w:val="0"/>
          <w:divBdr>
            <w:top w:val="none" w:sz="0" w:space="0" w:color="auto"/>
            <w:left w:val="none" w:sz="0" w:space="0" w:color="auto"/>
            <w:bottom w:val="none" w:sz="0" w:space="0" w:color="auto"/>
            <w:right w:val="none" w:sz="0" w:space="0" w:color="auto"/>
          </w:divBdr>
        </w:div>
      </w:divsChild>
    </w:div>
    <w:div w:id="1852572546">
      <w:marLeft w:val="0"/>
      <w:marRight w:val="0"/>
      <w:marTop w:val="0"/>
      <w:marBottom w:val="120"/>
      <w:divBdr>
        <w:top w:val="none" w:sz="0" w:space="0" w:color="auto"/>
        <w:left w:val="none" w:sz="0" w:space="0" w:color="auto"/>
        <w:bottom w:val="none" w:sz="0" w:space="0" w:color="auto"/>
        <w:right w:val="none" w:sz="0" w:space="0" w:color="auto"/>
      </w:divBdr>
    </w:div>
    <w:div w:id="1860267458">
      <w:marLeft w:val="0"/>
      <w:marRight w:val="0"/>
      <w:marTop w:val="0"/>
      <w:marBottom w:val="0"/>
      <w:divBdr>
        <w:top w:val="none" w:sz="0" w:space="0" w:color="auto"/>
        <w:left w:val="none" w:sz="0" w:space="0" w:color="auto"/>
        <w:bottom w:val="none" w:sz="0" w:space="0" w:color="auto"/>
        <w:right w:val="none" w:sz="0" w:space="0" w:color="auto"/>
      </w:divBdr>
    </w:div>
    <w:div w:id="1862087578">
      <w:marLeft w:val="0"/>
      <w:marRight w:val="0"/>
      <w:marTop w:val="0"/>
      <w:marBottom w:val="240"/>
      <w:divBdr>
        <w:top w:val="none" w:sz="0" w:space="0" w:color="auto"/>
        <w:left w:val="none" w:sz="0" w:space="0" w:color="auto"/>
        <w:bottom w:val="none" w:sz="0" w:space="0" w:color="auto"/>
        <w:right w:val="none" w:sz="0" w:space="0" w:color="auto"/>
      </w:divBdr>
    </w:div>
    <w:div w:id="1865821378">
      <w:marLeft w:val="0"/>
      <w:marRight w:val="0"/>
      <w:marTop w:val="0"/>
      <w:marBottom w:val="0"/>
      <w:divBdr>
        <w:top w:val="none" w:sz="0" w:space="0" w:color="auto"/>
        <w:left w:val="none" w:sz="0" w:space="0" w:color="auto"/>
        <w:bottom w:val="none" w:sz="0" w:space="0" w:color="auto"/>
        <w:right w:val="none" w:sz="0" w:space="0" w:color="auto"/>
      </w:divBdr>
    </w:div>
    <w:div w:id="1867331125">
      <w:marLeft w:val="0"/>
      <w:marRight w:val="0"/>
      <w:marTop w:val="0"/>
      <w:marBottom w:val="60"/>
      <w:divBdr>
        <w:top w:val="none" w:sz="0" w:space="0" w:color="auto"/>
        <w:left w:val="none" w:sz="0" w:space="0" w:color="auto"/>
        <w:bottom w:val="none" w:sz="0" w:space="0" w:color="auto"/>
        <w:right w:val="none" w:sz="0" w:space="0" w:color="auto"/>
      </w:divBdr>
    </w:div>
    <w:div w:id="1867668736">
      <w:marLeft w:val="0"/>
      <w:marRight w:val="0"/>
      <w:marTop w:val="0"/>
      <w:marBottom w:val="120"/>
      <w:divBdr>
        <w:top w:val="none" w:sz="0" w:space="0" w:color="auto"/>
        <w:left w:val="none" w:sz="0" w:space="0" w:color="auto"/>
        <w:bottom w:val="none" w:sz="0" w:space="0" w:color="auto"/>
        <w:right w:val="none" w:sz="0" w:space="0" w:color="auto"/>
      </w:divBdr>
      <w:divsChild>
        <w:div w:id="1445730916">
          <w:marLeft w:val="0"/>
          <w:marRight w:val="0"/>
          <w:marTop w:val="0"/>
          <w:marBottom w:val="0"/>
          <w:divBdr>
            <w:top w:val="none" w:sz="0" w:space="0" w:color="auto"/>
            <w:left w:val="none" w:sz="0" w:space="0" w:color="auto"/>
            <w:bottom w:val="none" w:sz="0" w:space="0" w:color="auto"/>
            <w:right w:val="none" w:sz="0" w:space="0" w:color="auto"/>
          </w:divBdr>
        </w:div>
        <w:div w:id="2045866857">
          <w:marLeft w:val="0"/>
          <w:marRight w:val="0"/>
          <w:marTop w:val="0"/>
          <w:marBottom w:val="0"/>
          <w:divBdr>
            <w:top w:val="none" w:sz="0" w:space="0" w:color="auto"/>
            <w:left w:val="none" w:sz="0" w:space="0" w:color="auto"/>
            <w:bottom w:val="none" w:sz="0" w:space="0" w:color="auto"/>
            <w:right w:val="none" w:sz="0" w:space="0" w:color="auto"/>
          </w:divBdr>
        </w:div>
        <w:div w:id="735399958">
          <w:marLeft w:val="0"/>
          <w:marRight w:val="0"/>
          <w:marTop w:val="0"/>
          <w:marBottom w:val="0"/>
          <w:divBdr>
            <w:top w:val="none" w:sz="0" w:space="0" w:color="auto"/>
            <w:left w:val="none" w:sz="0" w:space="0" w:color="auto"/>
            <w:bottom w:val="none" w:sz="0" w:space="0" w:color="auto"/>
            <w:right w:val="none" w:sz="0" w:space="0" w:color="auto"/>
          </w:divBdr>
        </w:div>
        <w:div w:id="1832673104">
          <w:marLeft w:val="0"/>
          <w:marRight w:val="0"/>
          <w:marTop w:val="0"/>
          <w:marBottom w:val="0"/>
          <w:divBdr>
            <w:top w:val="none" w:sz="0" w:space="0" w:color="auto"/>
            <w:left w:val="none" w:sz="0" w:space="0" w:color="auto"/>
            <w:bottom w:val="none" w:sz="0" w:space="0" w:color="auto"/>
            <w:right w:val="none" w:sz="0" w:space="0" w:color="auto"/>
          </w:divBdr>
        </w:div>
        <w:div w:id="562066740">
          <w:marLeft w:val="0"/>
          <w:marRight w:val="0"/>
          <w:marTop w:val="0"/>
          <w:marBottom w:val="0"/>
          <w:divBdr>
            <w:top w:val="none" w:sz="0" w:space="0" w:color="auto"/>
            <w:left w:val="none" w:sz="0" w:space="0" w:color="auto"/>
            <w:bottom w:val="none" w:sz="0" w:space="0" w:color="auto"/>
            <w:right w:val="none" w:sz="0" w:space="0" w:color="auto"/>
          </w:divBdr>
        </w:div>
        <w:div w:id="69697197">
          <w:marLeft w:val="0"/>
          <w:marRight w:val="0"/>
          <w:marTop w:val="0"/>
          <w:marBottom w:val="0"/>
          <w:divBdr>
            <w:top w:val="none" w:sz="0" w:space="0" w:color="auto"/>
            <w:left w:val="none" w:sz="0" w:space="0" w:color="auto"/>
            <w:bottom w:val="none" w:sz="0" w:space="0" w:color="auto"/>
            <w:right w:val="none" w:sz="0" w:space="0" w:color="auto"/>
          </w:divBdr>
        </w:div>
        <w:div w:id="1670331119">
          <w:marLeft w:val="0"/>
          <w:marRight w:val="0"/>
          <w:marTop w:val="0"/>
          <w:marBottom w:val="0"/>
          <w:divBdr>
            <w:top w:val="none" w:sz="0" w:space="0" w:color="auto"/>
            <w:left w:val="none" w:sz="0" w:space="0" w:color="auto"/>
            <w:bottom w:val="none" w:sz="0" w:space="0" w:color="auto"/>
            <w:right w:val="none" w:sz="0" w:space="0" w:color="auto"/>
          </w:divBdr>
        </w:div>
        <w:div w:id="249392225">
          <w:marLeft w:val="0"/>
          <w:marRight w:val="0"/>
          <w:marTop w:val="0"/>
          <w:marBottom w:val="0"/>
          <w:divBdr>
            <w:top w:val="none" w:sz="0" w:space="0" w:color="auto"/>
            <w:left w:val="none" w:sz="0" w:space="0" w:color="auto"/>
            <w:bottom w:val="none" w:sz="0" w:space="0" w:color="auto"/>
            <w:right w:val="none" w:sz="0" w:space="0" w:color="auto"/>
          </w:divBdr>
        </w:div>
        <w:div w:id="1987083973">
          <w:marLeft w:val="0"/>
          <w:marRight w:val="0"/>
          <w:marTop w:val="0"/>
          <w:marBottom w:val="0"/>
          <w:divBdr>
            <w:top w:val="none" w:sz="0" w:space="0" w:color="auto"/>
            <w:left w:val="none" w:sz="0" w:space="0" w:color="auto"/>
            <w:bottom w:val="none" w:sz="0" w:space="0" w:color="auto"/>
            <w:right w:val="none" w:sz="0" w:space="0" w:color="auto"/>
          </w:divBdr>
        </w:div>
        <w:div w:id="120196118">
          <w:marLeft w:val="0"/>
          <w:marRight w:val="0"/>
          <w:marTop w:val="0"/>
          <w:marBottom w:val="0"/>
          <w:divBdr>
            <w:top w:val="none" w:sz="0" w:space="0" w:color="auto"/>
            <w:left w:val="none" w:sz="0" w:space="0" w:color="auto"/>
            <w:bottom w:val="none" w:sz="0" w:space="0" w:color="auto"/>
            <w:right w:val="none" w:sz="0" w:space="0" w:color="auto"/>
          </w:divBdr>
        </w:div>
        <w:div w:id="748649233">
          <w:marLeft w:val="0"/>
          <w:marRight w:val="0"/>
          <w:marTop w:val="0"/>
          <w:marBottom w:val="0"/>
          <w:divBdr>
            <w:top w:val="none" w:sz="0" w:space="0" w:color="auto"/>
            <w:left w:val="none" w:sz="0" w:space="0" w:color="auto"/>
            <w:bottom w:val="none" w:sz="0" w:space="0" w:color="auto"/>
            <w:right w:val="none" w:sz="0" w:space="0" w:color="auto"/>
          </w:divBdr>
        </w:div>
        <w:div w:id="1587961701">
          <w:marLeft w:val="0"/>
          <w:marRight w:val="0"/>
          <w:marTop w:val="0"/>
          <w:marBottom w:val="0"/>
          <w:divBdr>
            <w:top w:val="none" w:sz="0" w:space="0" w:color="auto"/>
            <w:left w:val="none" w:sz="0" w:space="0" w:color="auto"/>
            <w:bottom w:val="none" w:sz="0" w:space="0" w:color="auto"/>
            <w:right w:val="none" w:sz="0" w:space="0" w:color="auto"/>
          </w:divBdr>
        </w:div>
        <w:div w:id="1376202267">
          <w:marLeft w:val="0"/>
          <w:marRight w:val="0"/>
          <w:marTop w:val="0"/>
          <w:marBottom w:val="0"/>
          <w:divBdr>
            <w:top w:val="none" w:sz="0" w:space="0" w:color="auto"/>
            <w:left w:val="none" w:sz="0" w:space="0" w:color="auto"/>
            <w:bottom w:val="none" w:sz="0" w:space="0" w:color="auto"/>
            <w:right w:val="none" w:sz="0" w:space="0" w:color="auto"/>
          </w:divBdr>
        </w:div>
        <w:div w:id="1548950864">
          <w:marLeft w:val="0"/>
          <w:marRight w:val="0"/>
          <w:marTop w:val="0"/>
          <w:marBottom w:val="0"/>
          <w:divBdr>
            <w:top w:val="none" w:sz="0" w:space="0" w:color="auto"/>
            <w:left w:val="none" w:sz="0" w:space="0" w:color="auto"/>
            <w:bottom w:val="none" w:sz="0" w:space="0" w:color="auto"/>
            <w:right w:val="none" w:sz="0" w:space="0" w:color="auto"/>
          </w:divBdr>
        </w:div>
        <w:div w:id="384763661">
          <w:marLeft w:val="0"/>
          <w:marRight w:val="0"/>
          <w:marTop w:val="0"/>
          <w:marBottom w:val="0"/>
          <w:divBdr>
            <w:top w:val="none" w:sz="0" w:space="0" w:color="auto"/>
            <w:left w:val="none" w:sz="0" w:space="0" w:color="auto"/>
            <w:bottom w:val="none" w:sz="0" w:space="0" w:color="auto"/>
            <w:right w:val="none" w:sz="0" w:space="0" w:color="auto"/>
          </w:divBdr>
        </w:div>
        <w:div w:id="9572094">
          <w:marLeft w:val="0"/>
          <w:marRight w:val="0"/>
          <w:marTop w:val="0"/>
          <w:marBottom w:val="0"/>
          <w:divBdr>
            <w:top w:val="none" w:sz="0" w:space="0" w:color="auto"/>
            <w:left w:val="none" w:sz="0" w:space="0" w:color="auto"/>
            <w:bottom w:val="none" w:sz="0" w:space="0" w:color="auto"/>
            <w:right w:val="none" w:sz="0" w:space="0" w:color="auto"/>
          </w:divBdr>
        </w:div>
        <w:div w:id="1034423147">
          <w:marLeft w:val="0"/>
          <w:marRight w:val="0"/>
          <w:marTop w:val="0"/>
          <w:marBottom w:val="0"/>
          <w:divBdr>
            <w:top w:val="none" w:sz="0" w:space="0" w:color="auto"/>
            <w:left w:val="none" w:sz="0" w:space="0" w:color="auto"/>
            <w:bottom w:val="none" w:sz="0" w:space="0" w:color="auto"/>
            <w:right w:val="none" w:sz="0" w:space="0" w:color="auto"/>
          </w:divBdr>
        </w:div>
        <w:div w:id="462038401">
          <w:marLeft w:val="0"/>
          <w:marRight w:val="0"/>
          <w:marTop w:val="0"/>
          <w:marBottom w:val="0"/>
          <w:divBdr>
            <w:top w:val="none" w:sz="0" w:space="0" w:color="auto"/>
            <w:left w:val="none" w:sz="0" w:space="0" w:color="auto"/>
            <w:bottom w:val="none" w:sz="0" w:space="0" w:color="auto"/>
            <w:right w:val="none" w:sz="0" w:space="0" w:color="auto"/>
          </w:divBdr>
        </w:div>
        <w:div w:id="1638603785">
          <w:marLeft w:val="0"/>
          <w:marRight w:val="0"/>
          <w:marTop w:val="0"/>
          <w:marBottom w:val="0"/>
          <w:divBdr>
            <w:top w:val="none" w:sz="0" w:space="0" w:color="auto"/>
            <w:left w:val="none" w:sz="0" w:space="0" w:color="auto"/>
            <w:bottom w:val="none" w:sz="0" w:space="0" w:color="auto"/>
            <w:right w:val="none" w:sz="0" w:space="0" w:color="auto"/>
          </w:divBdr>
        </w:div>
        <w:div w:id="225148297">
          <w:marLeft w:val="0"/>
          <w:marRight w:val="0"/>
          <w:marTop w:val="0"/>
          <w:marBottom w:val="0"/>
          <w:divBdr>
            <w:top w:val="none" w:sz="0" w:space="0" w:color="auto"/>
            <w:left w:val="none" w:sz="0" w:space="0" w:color="auto"/>
            <w:bottom w:val="none" w:sz="0" w:space="0" w:color="auto"/>
            <w:right w:val="none" w:sz="0" w:space="0" w:color="auto"/>
          </w:divBdr>
        </w:div>
        <w:div w:id="592053410">
          <w:marLeft w:val="0"/>
          <w:marRight w:val="0"/>
          <w:marTop w:val="0"/>
          <w:marBottom w:val="0"/>
          <w:divBdr>
            <w:top w:val="none" w:sz="0" w:space="0" w:color="auto"/>
            <w:left w:val="none" w:sz="0" w:space="0" w:color="auto"/>
            <w:bottom w:val="none" w:sz="0" w:space="0" w:color="auto"/>
            <w:right w:val="none" w:sz="0" w:space="0" w:color="auto"/>
          </w:divBdr>
        </w:div>
        <w:div w:id="1256090366">
          <w:marLeft w:val="0"/>
          <w:marRight w:val="0"/>
          <w:marTop w:val="0"/>
          <w:marBottom w:val="0"/>
          <w:divBdr>
            <w:top w:val="none" w:sz="0" w:space="0" w:color="auto"/>
            <w:left w:val="none" w:sz="0" w:space="0" w:color="auto"/>
            <w:bottom w:val="none" w:sz="0" w:space="0" w:color="auto"/>
            <w:right w:val="none" w:sz="0" w:space="0" w:color="auto"/>
          </w:divBdr>
        </w:div>
        <w:div w:id="964240546">
          <w:marLeft w:val="0"/>
          <w:marRight w:val="0"/>
          <w:marTop w:val="0"/>
          <w:marBottom w:val="0"/>
          <w:divBdr>
            <w:top w:val="none" w:sz="0" w:space="0" w:color="auto"/>
            <w:left w:val="none" w:sz="0" w:space="0" w:color="auto"/>
            <w:bottom w:val="none" w:sz="0" w:space="0" w:color="auto"/>
            <w:right w:val="none" w:sz="0" w:space="0" w:color="auto"/>
          </w:divBdr>
        </w:div>
        <w:div w:id="1890994349">
          <w:marLeft w:val="0"/>
          <w:marRight w:val="0"/>
          <w:marTop w:val="0"/>
          <w:marBottom w:val="0"/>
          <w:divBdr>
            <w:top w:val="none" w:sz="0" w:space="0" w:color="auto"/>
            <w:left w:val="none" w:sz="0" w:space="0" w:color="auto"/>
            <w:bottom w:val="none" w:sz="0" w:space="0" w:color="auto"/>
            <w:right w:val="none" w:sz="0" w:space="0" w:color="auto"/>
          </w:divBdr>
        </w:div>
        <w:div w:id="860364479">
          <w:marLeft w:val="0"/>
          <w:marRight w:val="0"/>
          <w:marTop w:val="0"/>
          <w:marBottom w:val="0"/>
          <w:divBdr>
            <w:top w:val="none" w:sz="0" w:space="0" w:color="auto"/>
            <w:left w:val="none" w:sz="0" w:space="0" w:color="auto"/>
            <w:bottom w:val="none" w:sz="0" w:space="0" w:color="auto"/>
            <w:right w:val="none" w:sz="0" w:space="0" w:color="auto"/>
          </w:divBdr>
        </w:div>
        <w:div w:id="143393563">
          <w:marLeft w:val="0"/>
          <w:marRight w:val="0"/>
          <w:marTop w:val="0"/>
          <w:marBottom w:val="0"/>
          <w:divBdr>
            <w:top w:val="none" w:sz="0" w:space="0" w:color="auto"/>
            <w:left w:val="none" w:sz="0" w:space="0" w:color="auto"/>
            <w:bottom w:val="none" w:sz="0" w:space="0" w:color="auto"/>
            <w:right w:val="none" w:sz="0" w:space="0" w:color="auto"/>
          </w:divBdr>
        </w:div>
        <w:div w:id="437067138">
          <w:marLeft w:val="0"/>
          <w:marRight w:val="0"/>
          <w:marTop w:val="0"/>
          <w:marBottom w:val="0"/>
          <w:divBdr>
            <w:top w:val="none" w:sz="0" w:space="0" w:color="auto"/>
            <w:left w:val="none" w:sz="0" w:space="0" w:color="auto"/>
            <w:bottom w:val="none" w:sz="0" w:space="0" w:color="auto"/>
            <w:right w:val="none" w:sz="0" w:space="0" w:color="auto"/>
          </w:divBdr>
        </w:div>
        <w:div w:id="347220362">
          <w:marLeft w:val="0"/>
          <w:marRight w:val="0"/>
          <w:marTop w:val="0"/>
          <w:marBottom w:val="0"/>
          <w:divBdr>
            <w:top w:val="none" w:sz="0" w:space="0" w:color="auto"/>
            <w:left w:val="none" w:sz="0" w:space="0" w:color="auto"/>
            <w:bottom w:val="none" w:sz="0" w:space="0" w:color="auto"/>
            <w:right w:val="none" w:sz="0" w:space="0" w:color="auto"/>
          </w:divBdr>
        </w:div>
        <w:div w:id="528571175">
          <w:marLeft w:val="0"/>
          <w:marRight w:val="0"/>
          <w:marTop w:val="0"/>
          <w:marBottom w:val="0"/>
          <w:divBdr>
            <w:top w:val="none" w:sz="0" w:space="0" w:color="auto"/>
            <w:left w:val="none" w:sz="0" w:space="0" w:color="auto"/>
            <w:bottom w:val="none" w:sz="0" w:space="0" w:color="auto"/>
            <w:right w:val="none" w:sz="0" w:space="0" w:color="auto"/>
          </w:divBdr>
        </w:div>
        <w:div w:id="338315791">
          <w:marLeft w:val="0"/>
          <w:marRight w:val="0"/>
          <w:marTop w:val="0"/>
          <w:marBottom w:val="0"/>
          <w:divBdr>
            <w:top w:val="none" w:sz="0" w:space="0" w:color="auto"/>
            <w:left w:val="none" w:sz="0" w:space="0" w:color="auto"/>
            <w:bottom w:val="none" w:sz="0" w:space="0" w:color="auto"/>
            <w:right w:val="none" w:sz="0" w:space="0" w:color="auto"/>
          </w:divBdr>
        </w:div>
        <w:div w:id="1070926080">
          <w:marLeft w:val="0"/>
          <w:marRight w:val="0"/>
          <w:marTop w:val="0"/>
          <w:marBottom w:val="0"/>
          <w:divBdr>
            <w:top w:val="none" w:sz="0" w:space="0" w:color="auto"/>
            <w:left w:val="none" w:sz="0" w:space="0" w:color="auto"/>
            <w:bottom w:val="none" w:sz="0" w:space="0" w:color="auto"/>
            <w:right w:val="none" w:sz="0" w:space="0" w:color="auto"/>
          </w:divBdr>
        </w:div>
        <w:div w:id="1478498116">
          <w:marLeft w:val="0"/>
          <w:marRight w:val="0"/>
          <w:marTop w:val="0"/>
          <w:marBottom w:val="0"/>
          <w:divBdr>
            <w:top w:val="none" w:sz="0" w:space="0" w:color="auto"/>
            <w:left w:val="none" w:sz="0" w:space="0" w:color="auto"/>
            <w:bottom w:val="none" w:sz="0" w:space="0" w:color="auto"/>
            <w:right w:val="none" w:sz="0" w:space="0" w:color="auto"/>
          </w:divBdr>
        </w:div>
        <w:div w:id="480536332">
          <w:marLeft w:val="0"/>
          <w:marRight w:val="0"/>
          <w:marTop w:val="0"/>
          <w:marBottom w:val="0"/>
          <w:divBdr>
            <w:top w:val="none" w:sz="0" w:space="0" w:color="auto"/>
            <w:left w:val="none" w:sz="0" w:space="0" w:color="auto"/>
            <w:bottom w:val="none" w:sz="0" w:space="0" w:color="auto"/>
            <w:right w:val="none" w:sz="0" w:space="0" w:color="auto"/>
          </w:divBdr>
        </w:div>
        <w:div w:id="1402559131">
          <w:marLeft w:val="0"/>
          <w:marRight w:val="0"/>
          <w:marTop w:val="0"/>
          <w:marBottom w:val="0"/>
          <w:divBdr>
            <w:top w:val="none" w:sz="0" w:space="0" w:color="auto"/>
            <w:left w:val="none" w:sz="0" w:space="0" w:color="auto"/>
            <w:bottom w:val="none" w:sz="0" w:space="0" w:color="auto"/>
            <w:right w:val="none" w:sz="0" w:space="0" w:color="auto"/>
          </w:divBdr>
        </w:div>
        <w:div w:id="189034904">
          <w:marLeft w:val="0"/>
          <w:marRight w:val="0"/>
          <w:marTop w:val="0"/>
          <w:marBottom w:val="0"/>
          <w:divBdr>
            <w:top w:val="none" w:sz="0" w:space="0" w:color="auto"/>
            <w:left w:val="none" w:sz="0" w:space="0" w:color="auto"/>
            <w:bottom w:val="none" w:sz="0" w:space="0" w:color="auto"/>
            <w:right w:val="none" w:sz="0" w:space="0" w:color="auto"/>
          </w:divBdr>
        </w:div>
        <w:div w:id="198786015">
          <w:marLeft w:val="0"/>
          <w:marRight w:val="0"/>
          <w:marTop w:val="0"/>
          <w:marBottom w:val="0"/>
          <w:divBdr>
            <w:top w:val="none" w:sz="0" w:space="0" w:color="auto"/>
            <w:left w:val="none" w:sz="0" w:space="0" w:color="auto"/>
            <w:bottom w:val="none" w:sz="0" w:space="0" w:color="auto"/>
            <w:right w:val="none" w:sz="0" w:space="0" w:color="auto"/>
          </w:divBdr>
        </w:div>
        <w:div w:id="1675957277">
          <w:marLeft w:val="0"/>
          <w:marRight w:val="0"/>
          <w:marTop w:val="0"/>
          <w:marBottom w:val="0"/>
          <w:divBdr>
            <w:top w:val="none" w:sz="0" w:space="0" w:color="auto"/>
            <w:left w:val="none" w:sz="0" w:space="0" w:color="auto"/>
            <w:bottom w:val="none" w:sz="0" w:space="0" w:color="auto"/>
            <w:right w:val="none" w:sz="0" w:space="0" w:color="auto"/>
          </w:divBdr>
        </w:div>
        <w:div w:id="474689772">
          <w:marLeft w:val="0"/>
          <w:marRight w:val="0"/>
          <w:marTop w:val="0"/>
          <w:marBottom w:val="0"/>
          <w:divBdr>
            <w:top w:val="none" w:sz="0" w:space="0" w:color="auto"/>
            <w:left w:val="none" w:sz="0" w:space="0" w:color="auto"/>
            <w:bottom w:val="none" w:sz="0" w:space="0" w:color="auto"/>
            <w:right w:val="none" w:sz="0" w:space="0" w:color="auto"/>
          </w:divBdr>
        </w:div>
        <w:div w:id="1764059951">
          <w:marLeft w:val="0"/>
          <w:marRight w:val="0"/>
          <w:marTop w:val="0"/>
          <w:marBottom w:val="0"/>
          <w:divBdr>
            <w:top w:val="none" w:sz="0" w:space="0" w:color="auto"/>
            <w:left w:val="none" w:sz="0" w:space="0" w:color="auto"/>
            <w:bottom w:val="none" w:sz="0" w:space="0" w:color="auto"/>
            <w:right w:val="none" w:sz="0" w:space="0" w:color="auto"/>
          </w:divBdr>
        </w:div>
        <w:div w:id="99181378">
          <w:marLeft w:val="0"/>
          <w:marRight w:val="0"/>
          <w:marTop w:val="0"/>
          <w:marBottom w:val="0"/>
          <w:divBdr>
            <w:top w:val="none" w:sz="0" w:space="0" w:color="auto"/>
            <w:left w:val="none" w:sz="0" w:space="0" w:color="auto"/>
            <w:bottom w:val="none" w:sz="0" w:space="0" w:color="auto"/>
            <w:right w:val="none" w:sz="0" w:space="0" w:color="auto"/>
          </w:divBdr>
        </w:div>
        <w:div w:id="152914425">
          <w:marLeft w:val="0"/>
          <w:marRight w:val="0"/>
          <w:marTop w:val="0"/>
          <w:marBottom w:val="0"/>
          <w:divBdr>
            <w:top w:val="none" w:sz="0" w:space="0" w:color="auto"/>
            <w:left w:val="none" w:sz="0" w:space="0" w:color="auto"/>
            <w:bottom w:val="none" w:sz="0" w:space="0" w:color="auto"/>
            <w:right w:val="none" w:sz="0" w:space="0" w:color="auto"/>
          </w:divBdr>
        </w:div>
        <w:div w:id="1721855013">
          <w:marLeft w:val="0"/>
          <w:marRight w:val="0"/>
          <w:marTop w:val="0"/>
          <w:marBottom w:val="0"/>
          <w:divBdr>
            <w:top w:val="none" w:sz="0" w:space="0" w:color="auto"/>
            <w:left w:val="none" w:sz="0" w:space="0" w:color="auto"/>
            <w:bottom w:val="none" w:sz="0" w:space="0" w:color="auto"/>
            <w:right w:val="none" w:sz="0" w:space="0" w:color="auto"/>
          </w:divBdr>
        </w:div>
        <w:div w:id="1635060091">
          <w:marLeft w:val="0"/>
          <w:marRight w:val="0"/>
          <w:marTop w:val="0"/>
          <w:marBottom w:val="0"/>
          <w:divBdr>
            <w:top w:val="none" w:sz="0" w:space="0" w:color="auto"/>
            <w:left w:val="none" w:sz="0" w:space="0" w:color="auto"/>
            <w:bottom w:val="none" w:sz="0" w:space="0" w:color="auto"/>
            <w:right w:val="none" w:sz="0" w:space="0" w:color="auto"/>
          </w:divBdr>
        </w:div>
        <w:div w:id="1183131272">
          <w:marLeft w:val="0"/>
          <w:marRight w:val="0"/>
          <w:marTop w:val="0"/>
          <w:marBottom w:val="0"/>
          <w:divBdr>
            <w:top w:val="none" w:sz="0" w:space="0" w:color="auto"/>
            <w:left w:val="none" w:sz="0" w:space="0" w:color="auto"/>
            <w:bottom w:val="none" w:sz="0" w:space="0" w:color="auto"/>
            <w:right w:val="none" w:sz="0" w:space="0" w:color="auto"/>
          </w:divBdr>
        </w:div>
        <w:div w:id="852769367">
          <w:marLeft w:val="0"/>
          <w:marRight w:val="0"/>
          <w:marTop w:val="0"/>
          <w:marBottom w:val="0"/>
          <w:divBdr>
            <w:top w:val="none" w:sz="0" w:space="0" w:color="auto"/>
            <w:left w:val="none" w:sz="0" w:space="0" w:color="auto"/>
            <w:bottom w:val="none" w:sz="0" w:space="0" w:color="auto"/>
            <w:right w:val="none" w:sz="0" w:space="0" w:color="auto"/>
          </w:divBdr>
        </w:div>
        <w:div w:id="827942093">
          <w:marLeft w:val="0"/>
          <w:marRight w:val="0"/>
          <w:marTop w:val="0"/>
          <w:marBottom w:val="0"/>
          <w:divBdr>
            <w:top w:val="none" w:sz="0" w:space="0" w:color="auto"/>
            <w:left w:val="none" w:sz="0" w:space="0" w:color="auto"/>
            <w:bottom w:val="none" w:sz="0" w:space="0" w:color="auto"/>
            <w:right w:val="none" w:sz="0" w:space="0" w:color="auto"/>
          </w:divBdr>
        </w:div>
        <w:div w:id="751242820">
          <w:marLeft w:val="0"/>
          <w:marRight w:val="0"/>
          <w:marTop w:val="0"/>
          <w:marBottom w:val="0"/>
          <w:divBdr>
            <w:top w:val="none" w:sz="0" w:space="0" w:color="auto"/>
            <w:left w:val="none" w:sz="0" w:space="0" w:color="auto"/>
            <w:bottom w:val="none" w:sz="0" w:space="0" w:color="auto"/>
            <w:right w:val="none" w:sz="0" w:space="0" w:color="auto"/>
          </w:divBdr>
        </w:div>
      </w:divsChild>
    </w:div>
    <w:div w:id="1867676652">
      <w:marLeft w:val="0"/>
      <w:marRight w:val="0"/>
      <w:marTop w:val="0"/>
      <w:marBottom w:val="200"/>
      <w:divBdr>
        <w:top w:val="none" w:sz="0" w:space="0" w:color="auto"/>
        <w:left w:val="none" w:sz="0" w:space="0" w:color="auto"/>
        <w:bottom w:val="none" w:sz="0" w:space="0" w:color="auto"/>
        <w:right w:val="none" w:sz="0" w:space="0" w:color="auto"/>
      </w:divBdr>
    </w:div>
    <w:div w:id="1867719091">
      <w:marLeft w:val="0"/>
      <w:marRight w:val="0"/>
      <w:marTop w:val="0"/>
      <w:marBottom w:val="240"/>
      <w:divBdr>
        <w:top w:val="none" w:sz="0" w:space="0" w:color="auto"/>
        <w:left w:val="none" w:sz="0" w:space="0" w:color="auto"/>
        <w:bottom w:val="none" w:sz="0" w:space="0" w:color="auto"/>
        <w:right w:val="none" w:sz="0" w:space="0" w:color="auto"/>
      </w:divBdr>
    </w:div>
    <w:div w:id="1871604640">
      <w:marLeft w:val="0"/>
      <w:marRight w:val="0"/>
      <w:marTop w:val="0"/>
      <w:marBottom w:val="0"/>
      <w:divBdr>
        <w:top w:val="none" w:sz="0" w:space="0" w:color="auto"/>
        <w:left w:val="none" w:sz="0" w:space="0" w:color="auto"/>
        <w:bottom w:val="none" w:sz="0" w:space="0" w:color="auto"/>
        <w:right w:val="none" w:sz="0" w:space="0" w:color="auto"/>
      </w:divBdr>
    </w:div>
    <w:div w:id="1872842013">
      <w:marLeft w:val="0"/>
      <w:marRight w:val="0"/>
      <w:marTop w:val="0"/>
      <w:marBottom w:val="240"/>
      <w:divBdr>
        <w:top w:val="none" w:sz="0" w:space="0" w:color="auto"/>
        <w:left w:val="none" w:sz="0" w:space="0" w:color="auto"/>
        <w:bottom w:val="none" w:sz="0" w:space="0" w:color="auto"/>
        <w:right w:val="none" w:sz="0" w:space="0" w:color="auto"/>
      </w:divBdr>
    </w:div>
    <w:div w:id="1873686143">
      <w:marLeft w:val="0"/>
      <w:marRight w:val="0"/>
      <w:marTop w:val="260"/>
      <w:marBottom w:val="0"/>
      <w:divBdr>
        <w:top w:val="none" w:sz="0" w:space="0" w:color="auto"/>
        <w:left w:val="none" w:sz="0" w:space="0" w:color="auto"/>
        <w:bottom w:val="none" w:sz="0" w:space="0" w:color="auto"/>
        <w:right w:val="none" w:sz="0" w:space="0" w:color="auto"/>
      </w:divBdr>
    </w:div>
    <w:div w:id="1874729841">
      <w:marLeft w:val="0"/>
      <w:marRight w:val="0"/>
      <w:marTop w:val="0"/>
      <w:marBottom w:val="240"/>
      <w:divBdr>
        <w:top w:val="none" w:sz="0" w:space="0" w:color="auto"/>
        <w:left w:val="none" w:sz="0" w:space="0" w:color="auto"/>
        <w:bottom w:val="none" w:sz="0" w:space="0" w:color="auto"/>
        <w:right w:val="none" w:sz="0" w:space="0" w:color="auto"/>
      </w:divBdr>
    </w:div>
    <w:div w:id="1877303977">
      <w:marLeft w:val="0"/>
      <w:marRight w:val="0"/>
      <w:marTop w:val="0"/>
      <w:marBottom w:val="240"/>
      <w:divBdr>
        <w:top w:val="none" w:sz="0" w:space="0" w:color="auto"/>
        <w:left w:val="none" w:sz="0" w:space="0" w:color="auto"/>
        <w:bottom w:val="none" w:sz="0" w:space="0" w:color="auto"/>
        <w:right w:val="none" w:sz="0" w:space="0" w:color="auto"/>
      </w:divBdr>
    </w:div>
    <w:div w:id="1880125050">
      <w:marLeft w:val="0"/>
      <w:marRight w:val="0"/>
      <w:marTop w:val="0"/>
      <w:marBottom w:val="240"/>
      <w:divBdr>
        <w:top w:val="none" w:sz="0" w:space="0" w:color="auto"/>
        <w:left w:val="none" w:sz="0" w:space="0" w:color="auto"/>
        <w:bottom w:val="none" w:sz="0" w:space="0" w:color="auto"/>
        <w:right w:val="none" w:sz="0" w:space="0" w:color="auto"/>
      </w:divBdr>
    </w:div>
    <w:div w:id="1885016964">
      <w:marLeft w:val="0"/>
      <w:marRight w:val="0"/>
      <w:marTop w:val="0"/>
      <w:marBottom w:val="240"/>
      <w:divBdr>
        <w:top w:val="none" w:sz="0" w:space="0" w:color="auto"/>
        <w:left w:val="none" w:sz="0" w:space="0" w:color="auto"/>
        <w:bottom w:val="none" w:sz="0" w:space="0" w:color="auto"/>
        <w:right w:val="none" w:sz="0" w:space="0" w:color="auto"/>
      </w:divBdr>
    </w:div>
    <w:div w:id="1893536236">
      <w:marLeft w:val="0"/>
      <w:marRight w:val="0"/>
      <w:marTop w:val="200"/>
      <w:marBottom w:val="0"/>
      <w:divBdr>
        <w:top w:val="none" w:sz="0" w:space="0" w:color="auto"/>
        <w:left w:val="none" w:sz="0" w:space="0" w:color="auto"/>
        <w:bottom w:val="none" w:sz="0" w:space="0" w:color="auto"/>
        <w:right w:val="none" w:sz="0" w:space="0" w:color="auto"/>
      </w:divBdr>
    </w:div>
    <w:div w:id="1897471758">
      <w:marLeft w:val="0"/>
      <w:marRight w:val="0"/>
      <w:marTop w:val="0"/>
      <w:marBottom w:val="120"/>
      <w:divBdr>
        <w:top w:val="none" w:sz="0" w:space="0" w:color="auto"/>
        <w:left w:val="none" w:sz="0" w:space="0" w:color="auto"/>
        <w:bottom w:val="none" w:sz="0" w:space="0" w:color="auto"/>
        <w:right w:val="none" w:sz="0" w:space="0" w:color="auto"/>
      </w:divBdr>
    </w:div>
    <w:div w:id="1898275079">
      <w:marLeft w:val="0"/>
      <w:marRight w:val="0"/>
      <w:marTop w:val="0"/>
      <w:marBottom w:val="240"/>
      <w:divBdr>
        <w:top w:val="none" w:sz="0" w:space="0" w:color="auto"/>
        <w:left w:val="none" w:sz="0" w:space="0" w:color="auto"/>
        <w:bottom w:val="none" w:sz="0" w:space="0" w:color="auto"/>
        <w:right w:val="none" w:sz="0" w:space="0" w:color="auto"/>
      </w:divBdr>
    </w:div>
    <w:div w:id="1898855759">
      <w:marLeft w:val="0"/>
      <w:marRight w:val="0"/>
      <w:marTop w:val="0"/>
      <w:marBottom w:val="240"/>
      <w:divBdr>
        <w:top w:val="none" w:sz="0" w:space="0" w:color="auto"/>
        <w:left w:val="none" w:sz="0" w:space="0" w:color="auto"/>
        <w:bottom w:val="none" w:sz="0" w:space="0" w:color="auto"/>
        <w:right w:val="none" w:sz="0" w:space="0" w:color="auto"/>
      </w:divBdr>
    </w:div>
    <w:div w:id="1900553193">
      <w:marLeft w:val="0"/>
      <w:marRight w:val="0"/>
      <w:marTop w:val="0"/>
      <w:marBottom w:val="0"/>
      <w:divBdr>
        <w:top w:val="none" w:sz="0" w:space="0" w:color="auto"/>
        <w:left w:val="none" w:sz="0" w:space="0" w:color="auto"/>
        <w:bottom w:val="none" w:sz="0" w:space="0" w:color="auto"/>
        <w:right w:val="none" w:sz="0" w:space="0" w:color="auto"/>
      </w:divBdr>
    </w:div>
    <w:div w:id="1901017711">
      <w:marLeft w:val="0"/>
      <w:marRight w:val="0"/>
      <w:marTop w:val="0"/>
      <w:marBottom w:val="0"/>
      <w:divBdr>
        <w:top w:val="none" w:sz="0" w:space="0" w:color="auto"/>
        <w:left w:val="none" w:sz="0" w:space="0" w:color="auto"/>
        <w:bottom w:val="none" w:sz="0" w:space="0" w:color="auto"/>
        <w:right w:val="none" w:sz="0" w:space="0" w:color="auto"/>
      </w:divBdr>
    </w:div>
    <w:div w:id="1901943829">
      <w:marLeft w:val="0"/>
      <w:marRight w:val="0"/>
      <w:marTop w:val="0"/>
      <w:marBottom w:val="240"/>
      <w:divBdr>
        <w:top w:val="none" w:sz="0" w:space="0" w:color="auto"/>
        <w:left w:val="none" w:sz="0" w:space="0" w:color="auto"/>
        <w:bottom w:val="none" w:sz="0" w:space="0" w:color="auto"/>
        <w:right w:val="none" w:sz="0" w:space="0" w:color="auto"/>
      </w:divBdr>
    </w:div>
    <w:div w:id="1906867789">
      <w:marLeft w:val="0"/>
      <w:marRight w:val="0"/>
      <w:marTop w:val="0"/>
      <w:marBottom w:val="240"/>
      <w:divBdr>
        <w:top w:val="none" w:sz="0" w:space="0" w:color="auto"/>
        <w:left w:val="none" w:sz="0" w:space="0" w:color="auto"/>
        <w:bottom w:val="none" w:sz="0" w:space="0" w:color="auto"/>
        <w:right w:val="none" w:sz="0" w:space="0" w:color="auto"/>
      </w:divBdr>
    </w:div>
    <w:div w:id="1908026870">
      <w:marLeft w:val="0"/>
      <w:marRight w:val="0"/>
      <w:marTop w:val="0"/>
      <w:marBottom w:val="240"/>
      <w:divBdr>
        <w:top w:val="none" w:sz="0" w:space="0" w:color="auto"/>
        <w:left w:val="none" w:sz="0" w:space="0" w:color="auto"/>
        <w:bottom w:val="none" w:sz="0" w:space="0" w:color="auto"/>
        <w:right w:val="none" w:sz="0" w:space="0" w:color="auto"/>
      </w:divBdr>
    </w:div>
    <w:div w:id="1909533665">
      <w:marLeft w:val="0"/>
      <w:marRight w:val="0"/>
      <w:marTop w:val="0"/>
      <w:marBottom w:val="60"/>
      <w:divBdr>
        <w:top w:val="none" w:sz="0" w:space="0" w:color="auto"/>
        <w:left w:val="none" w:sz="0" w:space="0" w:color="auto"/>
        <w:bottom w:val="none" w:sz="0" w:space="0" w:color="auto"/>
        <w:right w:val="none" w:sz="0" w:space="0" w:color="auto"/>
      </w:divBdr>
    </w:div>
    <w:div w:id="1910581094">
      <w:marLeft w:val="0"/>
      <w:marRight w:val="0"/>
      <w:marTop w:val="0"/>
      <w:marBottom w:val="0"/>
      <w:divBdr>
        <w:top w:val="none" w:sz="0" w:space="0" w:color="auto"/>
        <w:left w:val="none" w:sz="0" w:space="0" w:color="auto"/>
        <w:bottom w:val="none" w:sz="0" w:space="0" w:color="auto"/>
        <w:right w:val="none" w:sz="0" w:space="0" w:color="auto"/>
      </w:divBdr>
      <w:divsChild>
        <w:div w:id="1867059841">
          <w:marLeft w:val="0"/>
          <w:marRight w:val="0"/>
          <w:marTop w:val="0"/>
          <w:marBottom w:val="0"/>
          <w:divBdr>
            <w:top w:val="none" w:sz="0" w:space="0" w:color="auto"/>
            <w:left w:val="none" w:sz="0" w:space="0" w:color="auto"/>
            <w:bottom w:val="none" w:sz="0" w:space="0" w:color="auto"/>
            <w:right w:val="none" w:sz="0" w:space="0" w:color="auto"/>
          </w:divBdr>
        </w:div>
      </w:divsChild>
    </w:div>
    <w:div w:id="1915815109">
      <w:marLeft w:val="0"/>
      <w:marRight w:val="0"/>
      <w:marTop w:val="0"/>
      <w:marBottom w:val="240"/>
      <w:divBdr>
        <w:top w:val="none" w:sz="0" w:space="0" w:color="auto"/>
        <w:left w:val="none" w:sz="0" w:space="0" w:color="auto"/>
        <w:bottom w:val="none" w:sz="0" w:space="0" w:color="auto"/>
        <w:right w:val="none" w:sz="0" w:space="0" w:color="auto"/>
      </w:divBdr>
    </w:div>
    <w:div w:id="1919512847">
      <w:marLeft w:val="0"/>
      <w:marRight w:val="0"/>
      <w:marTop w:val="0"/>
      <w:marBottom w:val="120"/>
      <w:divBdr>
        <w:top w:val="none" w:sz="0" w:space="0" w:color="auto"/>
        <w:left w:val="none" w:sz="0" w:space="0" w:color="auto"/>
        <w:bottom w:val="none" w:sz="0" w:space="0" w:color="auto"/>
        <w:right w:val="none" w:sz="0" w:space="0" w:color="auto"/>
      </w:divBdr>
    </w:div>
    <w:div w:id="1920559201">
      <w:marLeft w:val="0"/>
      <w:marRight w:val="0"/>
      <w:marTop w:val="0"/>
      <w:marBottom w:val="0"/>
      <w:divBdr>
        <w:top w:val="none" w:sz="0" w:space="0" w:color="auto"/>
        <w:left w:val="none" w:sz="0" w:space="0" w:color="auto"/>
        <w:bottom w:val="none" w:sz="0" w:space="0" w:color="auto"/>
        <w:right w:val="none" w:sz="0" w:space="0" w:color="auto"/>
      </w:divBdr>
      <w:divsChild>
        <w:div w:id="688797779">
          <w:marLeft w:val="0"/>
          <w:marRight w:val="0"/>
          <w:marTop w:val="0"/>
          <w:marBottom w:val="0"/>
          <w:divBdr>
            <w:top w:val="none" w:sz="0" w:space="0" w:color="auto"/>
            <w:left w:val="none" w:sz="0" w:space="0" w:color="auto"/>
            <w:bottom w:val="none" w:sz="0" w:space="0" w:color="auto"/>
            <w:right w:val="none" w:sz="0" w:space="0" w:color="auto"/>
          </w:divBdr>
          <w:divsChild>
            <w:div w:id="1494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3643">
      <w:marLeft w:val="0"/>
      <w:marRight w:val="0"/>
      <w:marTop w:val="0"/>
      <w:marBottom w:val="240"/>
      <w:divBdr>
        <w:top w:val="none" w:sz="0" w:space="0" w:color="auto"/>
        <w:left w:val="none" w:sz="0" w:space="0" w:color="auto"/>
        <w:bottom w:val="none" w:sz="0" w:space="0" w:color="auto"/>
        <w:right w:val="none" w:sz="0" w:space="0" w:color="auto"/>
      </w:divBdr>
    </w:div>
    <w:div w:id="1928727345">
      <w:marLeft w:val="0"/>
      <w:marRight w:val="0"/>
      <w:marTop w:val="0"/>
      <w:marBottom w:val="240"/>
      <w:divBdr>
        <w:top w:val="none" w:sz="0" w:space="0" w:color="auto"/>
        <w:left w:val="none" w:sz="0" w:space="0" w:color="auto"/>
        <w:bottom w:val="none" w:sz="0" w:space="0" w:color="auto"/>
        <w:right w:val="none" w:sz="0" w:space="0" w:color="auto"/>
      </w:divBdr>
    </w:div>
    <w:div w:id="1929926064">
      <w:marLeft w:val="0"/>
      <w:marRight w:val="0"/>
      <w:marTop w:val="0"/>
      <w:marBottom w:val="240"/>
      <w:divBdr>
        <w:top w:val="none" w:sz="0" w:space="0" w:color="auto"/>
        <w:left w:val="none" w:sz="0" w:space="0" w:color="auto"/>
        <w:bottom w:val="none" w:sz="0" w:space="0" w:color="auto"/>
        <w:right w:val="none" w:sz="0" w:space="0" w:color="auto"/>
      </w:divBdr>
    </w:div>
    <w:div w:id="1932424392">
      <w:marLeft w:val="0"/>
      <w:marRight w:val="0"/>
      <w:marTop w:val="0"/>
      <w:marBottom w:val="200"/>
      <w:divBdr>
        <w:top w:val="none" w:sz="0" w:space="0" w:color="auto"/>
        <w:left w:val="none" w:sz="0" w:space="0" w:color="auto"/>
        <w:bottom w:val="none" w:sz="0" w:space="0" w:color="auto"/>
        <w:right w:val="none" w:sz="0" w:space="0" w:color="auto"/>
      </w:divBdr>
    </w:div>
    <w:div w:id="1932884073">
      <w:marLeft w:val="0"/>
      <w:marRight w:val="0"/>
      <w:marTop w:val="0"/>
      <w:marBottom w:val="240"/>
      <w:divBdr>
        <w:top w:val="none" w:sz="0" w:space="0" w:color="auto"/>
        <w:left w:val="none" w:sz="0" w:space="0" w:color="auto"/>
        <w:bottom w:val="none" w:sz="0" w:space="0" w:color="auto"/>
        <w:right w:val="none" w:sz="0" w:space="0" w:color="auto"/>
      </w:divBdr>
    </w:div>
    <w:div w:id="1932927966">
      <w:marLeft w:val="0"/>
      <w:marRight w:val="0"/>
      <w:marTop w:val="0"/>
      <w:marBottom w:val="120"/>
      <w:divBdr>
        <w:top w:val="none" w:sz="0" w:space="0" w:color="auto"/>
        <w:left w:val="none" w:sz="0" w:space="0" w:color="auto"/>
        <w:bottom w:val="none" w:sz="0" w:space="0" w:color="auto"/>
        <w:right w:val="none" w:sz="0" w:space="0" w:color="auto"/>
      </w:divBdr>
    </w:div>
    <w:div w:id="1934974670">
      <w:marLeft w:val="0"/>
      <w:marRight w:val="0"/>
      <w:marTop w:val="0"/>
      <w:marBottom w:val="0"/>
      <w:divBdr>
        <w:top w:val="none" w:sz="0" w:space="0" w:color="auto"/>
        <w:left w:val="none" w:sz="0" w:space="0" w:color="auto"/>
        <w:bottom w:val="none" w:sz="0" w:space="0" w:color="auto"/>
        <w:right w:val="none" w:sz="0" w:space="0" w:color="auto"/>
      </w:divBdr>
    </w:div>
    <w:div w:id="1935701625">
      <w:marLeft w:val="0"/>
      <w:marRight w:val="0"/>
      <w:marTop w:val="0"/>
      <w:marBottom w:val="240"/>
      <w:divBdr>
        <w:top w:val="none" w:sz="0" w:space="0" w:color="auto"/>
        <w:left w:val="none" w:sz="0" w:space="0" w:color="auto"/>
        <w:bottom w:val="none" w:sz="0" w:space="0" w:color="auto"/>
        <w:right w:val="none" w:sz="0" w:space="0" w:color="auto"/>
      </w:divBdr>
    </w:div>
    <w:div w:id="1937402128">
      <w:marLeft w:val="0"/>
      <w:marRight w:val="0"/>
      <w:marTop w:val="0"/>
      <w:marBottom w:val="240"/>
      <w:divBdr>
        <w:top w:val="none" w:sz="0" w:space="0" w:color="auto"/>
        <w:left w:val="none" w:sz="0" w:space="0" w:color="auto"/>
        <w:bottom w:val="none" w:sz="0" w:space="0" w:color="auto"/>
        <w:right w:val="none" w:sz="0" w:space="0" w:color="auto"/>
      </w:divBdr>
    </w:div>
    <w:div w:id="1939099517">
      <w:marLeft w:val="0"/>
      <w:marRight w:val="0"/>
      <w:marTop w:val="0"/>
      <w:marBottom w:val="0"/>
      <w:divBdr>
        <w:top w:val="none" w:sz="0" w:space="0" w:color="auto"/>
        <w:left w:val="none" w:sz="0" w:space="0" w:color="auto"/>
        <w:bottom w:val="none" w:sz="0" w:space="0" w:color="auto"/>
        <w:right w:val="none" w:sz="0" w:space="0" w:color="auto"/>
      </w:divBdr>
      <w:divsChild>
        <w:div w:id="286207249">
          <w:marLeft w:val="0"/>
          <w:marRight w:val="0"/>
          <w:marTop w:val="0"/>
          <w:marBottom w:val="0"/>
          <w:divBdr>
            <w:top w:val="none" w:sz="0" w:space="0" w:color="auto"/>
            <w:left w:val="none" w:sz="0" w:space="0" w:color="auto"/>
            <w:bottom w:val="none" w:sz="0" w:space="0" w:color="auto"/>
            <w:right w:val="none" w:sz="0" w:space="0" w:color="auto"/>
          </w:divBdr>
        </w:div>
      </w:divsChild>
    </w:div>
    <w:div w:id="1939436169">
      <w:marLeft w:val="0"/>
      <w:marRight w:val="0"/>
      <w:marTop w:val="0"/>
      <w:marBottom w:val="240"/>
      <w:divBdr>
        <w:top w:val="none" w:sz="0" w:space="0" w:color="auto"/>
        <w:left w:val="none" w:sz="0" w:space="0" w:color="auto"/>
        <w:bottom w:val="none" w:sz="0" w:space="0" w:color="auto"/>
        <w:right w:val="none" w:sz="0" w:space="0" w:color="auto"/>
      </w:divBdr>
    </w:div>
    <w:div w:id="1950887648">
      <w:marLeft w:val="0"/>
      <w:marRight w:val="0"/>
      <w:marTop w:val="0"/>
      <w:marBottom w:val="0"/>
      <w:divBdr>
        <w:top w:val="none" w:sz="0" w:space="0" w:color="auto"/>
        <w:left w:val="none" w:sz="0" w:space="0" w:color="auto"/>
        <w:bottom w:val="none" w:sz="0" w:space="0" w:color="auto"/>
        <w:right w:val="none" w:sz="0" w:space="0" w:color="auto"/>
      </w:divBdr>
      <w:divsChild>
        <w:div w:id="1720397143">
          <w:marLeft w:val="0"/>
          <w:marRight w:val="0"/>
          <w:marTop w:val="0"/>
          <w:marBottom w:val="0"/>
          <w:divBdr>
            <w:top w:val="none" w:sz="0" w:space="0" w:color="auto"/>
            <w:left w:val="none" w:sz="0" w:space="0" w:color="auto"/>
            <w:bottom w:val="none" w:sz="0" w:space="0" w:color="auto"/>
            <w:right w:val="none" w:sz="0" w:space="0" w:color="auto"/>
          </w:divBdr>
        </w:div>
      </w:divsChild>
    </w:div>
    <w:div w:id="1957444729">
      <w:marLeft w:val="0"/>
      <w:marRight w:val="0"/>
      <w:marTop w:val="0"/>
      <w:marBottom w:val="240"/>
      <w:divBdr>
        <w:top w:val="none" w:sz="0" w:space="0" w:color="auto"/>
        <w:left w:val="none" w:sz="0" w:space="0" w:color="auto"/>
        <w:bottom w:val="none" w:sz="0" w:space="0" w:color="auto"/>
        <w:right w:val="none" w:sz="0" w:space="0" w:color="auto"/>
      </w:divBdr>
    </w:div>
    <w:div w:id="1959753557">
      <w:marLeft w:val="0"/>
      <w:marRight w:val="0"/>
      <w:marTop w:val="0"/>
      <w:marBottom w:val="0"/>
      <w:divBdr>
        <w:top w:val="none" w:sz="0" w:space="0" w:color="auto"/>
        <w:left w:val="none" w:sz="0" w:space="0" w:color="auto"/>
        <w:bottom w:val="none" w:sz="0" w:space="0" w:color="auto"/>
        <w:right w:val="none" w:sz="0" w:space="0" w:color="auto"/>
      </w:divBdr>
      <w:divsChild>
        <w:div w:id="1837381702">
          <w:marLeft w:val="0"/>
          <w:marRight w:val="0"/>
          <w:marTop w:val="0"/>
          <w:marBottom w:val="0"/>
          <w:divBdr>
            <w:top w:val="none" w:sz="0" w:space="0" w:color="auto"/>
            <w:left w:val="none" w:sz="0" w:space="0" w:color="auto"/>
            <w:bottom w:val="none" w:sz="0" w:space="0" w:color="auto"/>
            <w:right w:val="none" w:sz="0" w:space="0" w:color="auto"/>
          </w:divBdr>
        </w:div>
      </w:divsChild>
    </w:div>
    <w:div w:id="1962490924">
      <w:marLeft w:val="0"/>
      <w:marRight w:val="0"/>
      <w:marTop w:val="0"/>
      <w:marBottom w:val="240"/>
      <w:divBdr>
        <w:top w:val="none" w:sz="0" w:space="0" w:color="auto"/>
        <w:left w:val="none" w:sz="0" w:space="0" w:color="auto"/>
        <w:bottom w:val="none" w:sz="0" w:space="0" w:color="auto"/>
        <w:right w:val="none" w:sz="0" w:space="0" w:color="auto"/>
      </w:divBdr>
    </w:div>
    <w:div w:id="1964925795">
      <w:marLeft w:val="0"/>
      <w:marRight w:val="0"/>
      <w:marTop w:val="0"/>
      <w:marBottom w:val="0"/>
      <w:divBdr>
        <w:top w:val="none" w:sz="0" w:space="0" w:color="auto"/>
        <w:left w:val="none" w:sz="0" w:space="0" w:color="auto"/>
        <w:bottom w:val="none" w:sz="0" w:space="0" w:color="auto"/>
        <w:right w:val="none" w:sz="0" w:space="0" w:color="auto"/>
      </w:divBdr>
      <w:divsChild>
        <w:div w:id="6251286">
          <w:marLeft w:val="0"/>
          <w:marRight w:val="0"/>
          <w:marTop w:val="0"/>
          <w:marBottom w:val="0"/>
          <w:divBdr>
            <w:top w:val="none" w:sz="0" w:space="0" w:color="auto"/>
            <w:left w:val="none" w:sz="0" w:space="0" w:color="auto"/>
            <w:bottom w:val="none" w:sz="0" w:space="0" w:color="auto"/>
            <w:right w:val="none" w:sz="0" w:space="0" w:color="auto"/>
          </w:divBdr>
        </w:div>
      </w:divsChild>
    </w:div>
    <w:div w:id="1966428246">
      <w:marLeft w:val="0"/>
      <w:marRight w:val="0"/>
      <w:marTop w:val="0"/>
      <w:marBottom w:val="60"/>
      <w:divBdr>
        <w:top w:val="none" w:sz="0" w:space="0" w:color="auto"/>
        <w:left w:val="none" w:sz="0" w:space="0" w:color="auto"/>
        <w:bottom w:val="none" w:sz="0" w:space="0" w:color="auto"/>
        <w:right w:val="none" w:sz="0" w:space="0" w:color="auto"/>
      </w:divBdr>
    </w:div>
    <w:div w:id="1967854211">
      <w:marLeft w:val="0"/>
      <w:marRight w:val="0"/>
      <w:marTop w:val="0"/>
      <w:marBottom w:val="0"/>
      <w:divBdr>
        <w:top w:val="none" w:sz="0" w:space="0" w:color="auto"/>
        <w:left w:val="none" w:sz="0" w:space="0" w:color="auto"/>
        <w:bottom w:val="none" w:sz="0" w:space="0" w:color="auto"/>
        <w:right w:val="none" w:sz="0" w:space="0" w:color="auto"/>
      </w:divBdr>
    </w:div>
    <w:div w:id="1969895628">
      <w:marLeft w:val="0"/>
      <w:marRight w:val="0"/>
      <w:marTop w:val="0"/>
      <w:marBottom w:val="120"/>
      <w:divBdr>
        <w:top w:val="none" w:sz="0" w:space="0" w:color="auto"/>
        <w:left w:val="none" w:sz="0" w:space="0" w:color="auto"/>
        <w:bottom w:val="none" w:sz="0" w:space="0" w:color="auto"/>
        <w:right w:val="none" w:sz="0" w:space="0" w:color="auto"/>
      </w:divBdr>
      <w:divsChild>
        <w:div w:id="94980424">
          <w:marLeft w:val="0"/>
          <w:marRight w:val="0"/>
          <w:marTop w:val="0"/>
          <w:marBottom w:val="0"/>
          <w:divBdr>
            <w:top w:val="none" w:sz="0" w:space="0" w:color="auto"/>
            <w:left w:val="none" w:sz="0" w:space="0" w:color="auto"/>
            <w:bottom w:val="none" w:sz="0" w:space="0" w:color="auto"/>
            <w:right w:val="none" w:sz="0" w:space="0" w:color="auto"/>
          </w:divBdr>
        </w:div>
        <w:div w:id="1812672715">
          <w:marLeft w:val="0"/>
          <w:marRight w:val="0"/>
          <w:marTop w:val="0"/>
          <w:marBottom w:val="0"/>
          <w:divBdr>
            <w:top w:val="none" w:sz="0" w:space="0" w:color="auto"/>
            <w:left w:val="none" w:sz="0" w:space="0" w:color="auto"/>
            <w:bottom w:val="none" w:sz="0" w:space="0" w:color="auto"/>
            <w:right w:val="none" w:sz="0" w:space="0" w:color="auto"/>
          </w:divBdr>
        </w:div>
        <w:div w:id="2036080881">
          <w:marLeft w:val="0"/>
          <w:marRight w:val="0"/>
          <w:marTop w:val="0"/>
          <w:marBottom w:val="0"/>
          <w:divBdr>
            <w:top w:val="none" w:sz="0" w:space="0" w:color="auto"/>
            <w:left w:val="none" w:sz="0" w:space="0" w:color="auto"/>
            <w:bottom w:val="none" w:sz="0" w:space="0" w:color="auto"/>
            <w:right w:val="none" w:sz="0" w:space="0" w:color="auto"/>
          </w:divBdr>
        </w:div>
      </w:divsChild>
    </w:div>
    <w:div w:id="1970015736">
      <w:marLeft w:val="0"/>
      <w:marRight w:val="0"/>
      <w:marTop w:val="0"/>
      <w:marBottom w:val="240"/>
      <w:divBdr>
        <w:top w:val="none" w:sz="0" w:space="0" w:color="auto"/>
        <w:left w:val="none" w:sz="0" w:space="0" w:color="auto"/>
        <w:bottom w:val="none" w:sz="0" w:space="0" w:color="auto"/>
        <w:right w:val="none" w:sz="0" w:space="0" w:color="auto"/>
      </w:divBdr>
    </w:div>
    <w:div w:id="1971399394">
      <w:marLeft w:val="0"/>
      <w:marRight w:val="0"/>
      <w:marTop w:val="0"/>
      <w:marBottom w:val="240"/>
      <w:divBdr>
        <w:top w:val="none" w:sz="0" w:space="0" w:color="auto"/>
        <w:left w:val="none" w:sz="0" w:space="0" w:color="auto"/>
        <w:bottom w:val="none" w:sz="0" w:space="0" w:color="auto"/>
        <w:right w:val="none" w:sz="0" w:space="0" w:color="auto"/>
      </w:divBdr>
    </w:div>
    <w:div w:id="1972204463">
      <w:marLeft w:val="0"/>
      <w:marRight w:val="0"/>
      <w:marTop w:val="0"/>
      <w:marBottom w:val="0"/>
      <w:divBdr>
        <w:top w:val="none" w:sz="0" w:space="0" w:color="auto"/>
        <w:left w:val="none" w:sz="0" w:space="0" w:color="auto"/>
        <w:bottom w:val="none" w:sz="0" w:space="0" w:color="auto"/>
        <w:right w:val="none" w:sz="0" w:space="0" w:color="auto"/>
      </w:divBdr>
      <w:divsChild>
        <w:div w:id="1071848339">
          <w:marLeft w:val="0"/>
          <w:marRight w:val="0"/>
          <w:marTop w:val="0"/>
          <w:marBottom w:val="0"/>
          <w:divBdr>
            <w:top w:val="none" w:sz="0" w:space="0" w:color="auto"/>
            <w:left w:val="none" w:sz="0" w:space="0" w:color="auto"/>
            <w:bottom w:val="none" w:sz="0" w:space="0" w:color="auto"/>
            <w:right w:val="none" w:sz="0" w:space="0" w:color="auto"/>
          </w:divBdr>
        </w:div>
      </w:divsChild>
    </w:div>
    <w:div w:id="1975527509">
      <w:marLeft w:val="0"/>
      <w:marRight w:val="0"/>
      <w:marTop w:val="0"/>
      <w:marBottom w:val="240"/>
      <w:divBdr>
        <w:top w:val="none" w:sz="0" w:space="0" w:color="auto"/>
        <w:left w:val="none" w:sz="0" w:space="0" w:color="auto"/>
        <w:bottom w:val="none" w:sz="0" w:space="0" w:color="auto"/>
        <w:right w:val="none" w:sz="0" w:space="0" w:color="auto"/>
      </w:divBdr>
    </w:div>
    <w:div w:id="1980765796">
      <w:marLeft w:val="0"/>
      <w:marRight w:val="0"/>
      <w:marTop w:val="0"/>
      <w:marBottom w:val="200"/>
      <w:divBdr>
        <w:top w:val="none" w:sz="0" w:space="0" w:color="auto"/>
        <w:left w:val="none" w:sz="0" w:space="0" w:color="auto"/>
        <w:bottom w:val="none" w:sz="0" w:space="0" w:color="auto"/>
        <w:right w:val="none" w:sz="0" w:space="0" w:color="auto"/>
      </w:divBdr>
    </w:div>
    <w:div w:id="1987082223">
      <w:marLeft w:val="0"/>
      <w:marRight w:val="0"/>
      <w:marTop w:val="0"/>
      <w:marBottom w:val="0"/>
      <w:divBdr>
        <w:top w:val="none" w:sz="0" w:space="0" w:color="auto"/>
        <w:left w:val="none" w:sz="0" w:space="0" w:color="auto"/>
        <w:bottom w:val="none" w:sz="0" w:space="0" w:color="auto"/>
        <w:right w:val="none" w:sz="0" w:space="0" w:color="auto"/>
      </w:divBdr>
      <w:divsChild>
        <w:div w:id="814109641">
          <w:marLeft w:val="0"/>
          <w:marRight w:val="0"/>
          <w:marTop w:val="0"/>
          <w:marBottom w:val="0"/>
          <w:divBdr>
            <w:top w:val="none" w:sz="0" w:space="0" w:color="auto"/>
            <w:left w:val="none" w:sz="0" w:space="0" w:color="auto"/>
            <w:bottom w:val="none" w:sz="0" w:space="0" w:color="auto"/>
            <w:right w:val="none" w:sz="0" w:space="0" w:color="auto"/>
          </w:divBdr>
        </w:div>
      </w:divsChild>
    </w:div>
    <w:div w:id="1990747953">
      <w:marLeft w:val="0"/>
      <w:marRight w:val="0"/>
      <w:marTop w:val="0"/>
      <w:marBottom w:val="60"/>
      <w:divBdr>
        <w:top w:val="none" w:sz="0" w:space="0" w:color="auto"/>
        <w:left w:val="none" w:sz="0" w:space="0" w:color="auto"/>
        <w:bottom w:val="none" w:sz="0" w:space="0" w:color="auto"/>
        <w:right w:val="none" w:sz="0" w:space="0" w:color="auto"/>
      </w:divBdr>
    </w:div>
    <w:div w:id="1991053123">
      <w:marLeft w:val="0"/>
      <w:marRight w:val="0"/>
      <w:marTop w:val="0"/>
      <w:marBottom w:val="60"/>
      <w:divBdr>
        <w:top w:val="none" w:sz="0" w:space="0" w:color="auto"/>
        <w:left w:val="none" w:sz="0" w:space="0" w:color="auto"/>
        <w:bottom w:val="none" w:sz="0" w:space="0" w:color="auto"/>
        <w:right w:val="none" w:sz="0" w:space="0" w:color="auto"/>
      </w:divBdr>
    </w:div>
    <w:div w:id="1992129115">
      <w:marLeft w:val="0"/>
      <w:marRight w:val="0"/>
      <w:marTop w:val="0"/>
      <w:marBottom w:val="0"/>
      <w:divBdr>
        <w:top w:val="none" w:sz="0" w:space="0" w:color="auto"/>
        <w:left w:val="none" w:sz="0" w:space="0" w:color="auto"/>
        <w:bottom w:val="none" w:sz="0" w:space="0" w:color="auto"/>
        <w:right w:val="none" w:sz="0" w:space="0" w:color="auto"/>
      </w:divBdr>
      <w:divsChild>
        <w:div w:id="280499361">
          <w:marLeft w:val="0"/>
          <w:marRight w:val="0"/>
          <w:marTop w:val="0"/>
          <w:marBottom w:val="0"/>
          <w:divBdr>
            <w:top w:val="none" w:sz="0" w:space="0" w:color="auto"/>
            <w:left w:val="none" w:sz="0" w:space="0" w:color="auto"/>
            <w:bottom w:val="none" w:sz="0" w:space="0" w:color="auto"/>
            <w:right w:val="none" w:sz="0" w:space="0" w:color="auto"/>
          </w:divBdr>
        </w:div>
      </w:divsChild>
    </w:div>
    <w:div w:id="1992978766">
      <w:marLeft w:val="0"/>
      <w:marRight w:val="0"/>
      <w:marTop w:val="0"/>
      <w:marBottom w:val="0"/>
      <w:divBdr>
        <w:top w:val="none" w:sz="0" w:space="0" w:color="auto"/>
        <w:left w:val="none" w:sz="0" w:space="0" w:color="auto"/>
        <w:bottom w:val="none" w:sz="0" w:space="0" w:color="auto"/>
        <w:right w:val="none" w:sz="0" w:space="0" w:color="auto"/>
      </w:divBdr>
      <w:divsChild>
        <w:div w:id="319038710">
          <w:marLeft w:val="0"/>
          <w:marRight w:val="0"/>
          <w:marTop w:val="0"/>
          <w:marBottom w:val="0"/>
          <w:divBdr>
            <w:top w:val="none" w:sz="0" w:space="0" w:color="auto"/>
            <w:left w:val="none" w:sz="0" w:space="0" w:color="auto"/>
            <w:bottom w:val="none" w:sz="0" w:space="0" w:color="auto"/>
            <w:right w:val="none" w:sz="0" w:space="0" w:color="auto"/>
          </w:divBdr>
        </w:div>
      </w:divsChild>
    </w:div>
    <w:div w:id="1995836883">
      <w:marLeft w:val="0"/>
      <w:marRight w:val="0"/>
      <w:marTop w:val="0"/>
      <w:marBottom w:val="240"/>
      <w:divBdr>
        <w:top w:val="none" w:sz="0" w:space="0" w:color="auto"/>
        <w:left w:val="none" w:sz="0" w:space="0" w:color="auto"/>
        <w:bottom w:val="none" w:sz="0" w:space="0" w:color="auto"/>
        <w:right w:val="none" w:sz="0" w:space="0" w:color="auto"/>
      </w:divBdr>
    </w:div>
    <w:div w:id="1998877555">
      <w:marLeft w:val="0"/>
      <w:marRight w:val="0"/>
      <w:marTop w:val="0"/>
      <w:marBottom w:val="240"/>
      <w:divBdr>
        <w:top w:val="none" w:sz="0" w:space="0" w:color="auto"/>
        <w:left w:val="none" w:sz="0" w:space="0" w:color="auto"/>
        <w:bottom w:val="none" w:sz="0" w:space="0" w:color="auto"/>
        <w:right w:val="none" w:sz="0" w:space="0" w:color="auto"/>
      </w:divBdr>
    </w:div>
    <w:div w:id="1999919662">
      <w:marLeft w:val="0"/>
      <w:marRight w:val="0"/>
      <w:marTop w:val="0"/>
      <w:marBottom w:val="0"/>
      <w:divBdr>
        <w:top w:val="none" w:sz="0" w:space="0" w:color="auto"/>
        <w:left w:val="none" w:sz="0" w:space="0" w:color="auto"/>
        <w:bottom w:val="none" w:sz="0" w:space="0" w:color="auto"/>
        <w:right w:val="none" w:sz="0" w:space="0" w:color="auto"/>
      </w:divBdr>
      <w:divsChild>
        <w:div w:id="1971938030">
          <w:marLeft w:val="0"/>
          <w:marRight w:val="0"/>
          <w:marTop w:val="0"/>
          <w:marBottom w:val="0"/>
          <w:divBdr>
            <w:top w:val="none" w:sz="0" w:space="0" w:color="auto"/>
            <w:left w:val="none" w:sz="0" w:space="0" w:color="auto"/>
            <w:bottom w:val="none" w:sz="0" w:space="0" w:color="auto"/>
            <w:right w:val="none" w:sz="0" w:space="0" w:color="auto"/>
          </w:divBdr>
        </w:div>
      </w:divsChild>
    </w:div>
    <w:div w:id="2000690342">
      <w:marLeft w:val="0"/>
      <w:marRight w:val="0"/>
      <w:marTop w:val="0"/>
      <w:marBottom w:val="240"/>
      <w:divBdr>
        <w:top w:val="none" w:sz="0" w:space="0" w:color="auto"/>
        <w:left w:val="none" w:sz="0" w:space="0" w:color="auto"/>
        <w:bottom w:val="none" w:sz="0" w:space="0" w:color="auto"/>
        <w:right w:val="none" w:sz="0" w:space="0" w:color="auto"/>
      </w:divBdr>
    </w:div>
    <w:div w:id="2004313297">
      <w:marLeft w:val="0"/>
      <w:marRight w:val="0"/>
      <w:marTop w:val="0"/>
      <w:marBottom w:val="200"/>
      <w:divBdr>
        <w:top w:val="none" w:sz="0" w:space="0" w:color="auto"/>
        <w:left w:val="none" w:sz="0" w:space="0" w:color="auto"/>
        <w:bottom w:val="none" w:sz="0" w:space="0" w:color="auto"/>
        <w:right w:val="none" w:sz="0" w:space="0" w:color="auto"/>
      </w:divBdr>
    </w:div>
    <w:div w:id="2006127325">
      <w:marLeft w:val="0"/>
      <w:marRight w:val="0"/>
      <w:marTop w:val="0"/>
      <w:marBottom w:val="0"/>
      <w:divBdr>
        <w:top w:val="none" w:sz="0" w:space="0" w:color="auto"/>
        <w:left w:val="none" w:sz="0" w:space="0" w:color="auto"/>
        <w:bottom w:val="none" w:sz="0" w:space="0" w:color="auto"/>
        <w:right w:val="none" w:sz="0" w:space="0" w:color="auto"/>
      </w:divBdr>
      <w:divsChild>
        <w:div w:id="1740521206">
          <w:marLeft w:val="0"/>
          <w:marRight w:val="0"/>
          <w:marTop w:val="0"/>
          <w:marBottom w:val="0"/>
          <w:divBdr>
            <w:top w:val="none" w:sz="0" w:space="0" w:color="auto"/>
            <w:left w:val="none" w:sz="0" w:space="0" w:color="auto"/>
            <w:bottom w:val="none" w:sz="0" w:space="0" w:color="auto"/>
            <w:right w:val="none" w:sz="0" w:space="0" w:color="auto"/>
          </w:divBdr>
        </w:div>
      </w:divsChild>
    </w:div>
    <w:div w:id="2006742212">
      <w:marLeft w:val="0"/>
      <w:marRight w:val="0"/>
      <w:marTop w:val="0"/>
      <w:marBottom w:val="0"/>
      <w:divBdr>
        <w:top w:val="none" w:sz="0" w:space="0" w:color="auto"/>
        <w:left w:val="none" w:sz="0" w:space="0" w:color="auto"/>
        <w:bottom w:val="none" w:sz="0" w:space="0" w:color="auto"/>
        <w:right w:val="none" w:sz="0" w:space="0" w:color="auto"/>
      </w:divBdr>
      <w:divsChild>
        <w:div w:id="1587419398">
          <w:marLeft w:val="0"/>
          <w:marRight w:val="0"/>
          <w:marTop w:val="0"/>
          <w:marBottom w:val="0"/>
          <w:divBdr>
            <w:top w:val="none" w:sz="0" w:space="0" w:color="auto"/>
            <w:left w:val="none" w:sz="0" w:space="0" w:color="auto"/>
            <w:bottom w:val="none" w:sz="0" w:space="0" w:color="auto"/>
            <w:right w:val="none" w:sz="0" w:space="0" w:color="auto"/>
          </w:divBdr>
        </w:div>
      </w:divsChild>
    </w:div>
    <w:div w:id="2006743563">
      <w:marLeft w:val="0"/>
      <w:marRight w:val="0"/>
      <w:marTop w:val="0"/>
      <w:marBottom w:val="240"/>
      <w:divBdr>
        <w:top w:val="none" w:sz="0" w:space="0" w:color="auto"/>
        <w:left w:val="none" w:sz="0" w:space="0" w:color="auto"/>
        <w:bottom w:val="none" w:sz="0" w:space="0" w:color="auto"/>
        <w:right w:val="none" w:sz="0" w:space="0" w:color="auto"/>
      </w:divBdr>
    </w:div>
    <w:div w:id="2013531640">
      <w:marLeft w:val="0"/>
      <w:marRight w:val="0"/>
      <w:marTop w:val="0"/>
      <w:marBottom w:val="0"/>
      <w:divBdr>
        <w:top w:val="none" w:sz="0" w:space="0" w:color="auto"/>
        <w:left w:val="none" w:sz="0" w:space="0" w:color="auto"/>
        <w:bottom w:val="none" w:sz="0" w:space="0" w:color="auto"/>
        <w:right w:val="none" w:sz="0" w:space="0" w:color="auto"/>
      </w:divBdr>
      <w:divsChild>
        <w:div w:id="671638061">
          <w:marLeft w:val="0"/>
          <w:marRight w:val="0"/>
          <w:marTop w:val="0"/>
          <w:marBottom w:val="0"/>
          <w:divBdr>
            <w:top w:val="none" w:sz="0" w:space="0" w:color="auto"/>
            <w:left w:val="none" w:sz="0" w:space="0" w:color="auto"/>
            <w:bottom w:val="none" w:sz="0" w:space="0" w:color="auto"/>
            <w:right w:val="none" w:sz="0" w:space="0" w:color="auto"/>
          </w:divBdr>
        </w:div>
      </w:divsChild>
    </w:div>
    <w:div w:id="2013872049">
      <w:marLeft w:val="0"/>
      <w:marRight w:val="0"/>
      <w:marTop w:val="0"/>
      <w:marBottom w:val="0"/>
      <w:divBdr>
        <w:top w:val="none" w:sz="0" w:space="0" w:color="auto"/>
        <w:left w:val="none" w:sz="0" w:space="0" w:color="auto"/>
        <w:bottom w:val="none" w:sz="0" w:space="0" w:color="auto"/>
        <w:right w:val="none" w:sz="0" w:space="0" w:color="auto"/>
      </w:divBdr>
      <w:divsChild>
        <w:div w:id="648555630">
          <w:marLeft w:val="0"/>
          <w:marRight w:val="0"/>
          <w:marTop w:val="0"/>
          <w:marBottom w:val="0"/>
          <w:divBdr>
            <w:top w:val="none" w:sz="0" w:space="0" w:color="auto"/>
            <w:left w:val="none" w:sz="0" w:space="0" w:color="auto"/>
            <w:bottom w:val="none" w:sz="0" w:space="0" w:color="auto"/>
            <w:right w:val="none" w:sz="0" w:space="0" w:color="auto"/>
          </w:divBdr>
        </w:div>
        <w:div w:id="20523235">
          <w:marLeft w:val="0"/>
          <w:marRight w:val="0"/>
          <w:marTop w:val="0"/>
          <w:marBottom w:val="0"/>
          <w:divBdr>
            <w:top w:val="none" w:sz="0" w:space="0" w:color="auto"/>
            <w:left w:val="none" w:sz="0" w:space="0" w:color="auto"/>
            <w:bottom w:val="none" w:sz="0" w:space="0" w:color="auto"/>
            <w:right w:val="none" w:sz="0" w:space="0" w:color="auto"/>
          </w:divBdr>
        </w:div>
      </w:divsChild>
    </w:div>
    <w:div w:id="2021589449">
      <w:marLeft w:val="0"/>
      <w:marRight w:val="0"/>
      <w:marTop w:val="0"/>
      <w:marBottom w:val="0"/>
      <w:divBdr>
        <w:top w:val="none" w:sz="0" w:space="0" w:color="auto"/>
        <w:left w:val="none" w:sz="0" w:space="0" w:color="auto"/>
        <w:bottom w:val="none" w:sz="0" w:space="0" w:color="auto"/>
        <w:right w:val="none" w:sz="0" w:space="0" w:color="auto"/>
      </w:divBdr>
    </w:div>
    <w:div w:id="2023823261">
      <w:marLeft w:val="0"/>
      <w:marRight w:val="0"/>
      <w:marTop w:val="0"/>
      <w:marBottom w:val="0"/>
      <w:divBdr>
        <w:top w:val="none" w:sz="0" w:space="0" w:color="auto"/>
        <w:left w:val="none" w:sz="0" w:space="0" w:color="auto"/>
        <w:bottom w:val="none" w:sz="0" w:space="0" w:color="auto"/>
        <w:right w:val="none" w:sz="0" w:space="0" w:color="auto"/>
      </w:divBdr>
      <w:divsChild>
        <w:div w:id="410087318">
          <w:marLeft w:val="0"/>
          <w:marRight w:val="0"/>
          <w:marTop w:val="0"/>
          <w:marBottom w:val="0"/>
          <w:divBdr>
            <w:top w:val="none" w:sz="0" w:space="0" w:color="auto"/>
            <w:left w:val="none" w:sz="0" w:space="0" w:color="auto"/>
            <w:bottom w:val="none" w:sz="0" w:space="0" w:color="auto"/>
            <w:right w:val="none" w:sz="0" w:space="0" w:color="auto"/>
          </w:divBdr>
        </w:div>
      </w:divsChild>
    </w:div>
    <w:div w:id="2024895372">
      <w:marLeft w:val="0"/>
      <w:marRight w:val="0"/>
      <w:marTop w:val="0"/>
      <w:marBottom w:val="0"/>
      <w:divBdr>
        <w:top w:val="none" w:sz="0" w:space="0" w:color="auto"/>
        <w:left w:val="none" w:sz="0" w:space="0" w:color="auto"/>
        <w:bottom w:val="none" w:sz="0" w:space="0" w:color="auto"/>
        <w:right w:val="none" w:sz="0" w:space="0" w:color="auto"/>
      </w:divBdr>
      <w:divsChild>
        <w:div w:id="1304191056">
          <w:marLeft w:val="0"/>
          <w:marRight w:val="0"/>
          <w:marTop w:val="0"/>
          <w:marBottom w:val="0"/>
          <w:divBdr>
            <w:top w:val="none" w:sz="0" w:space="0" w:color="auto"/>
            <w:left w:val="none" w:sz="0" w:space="0" w:color="auto"/>
            <w:bottom w:val="none" w:sz="0" w:space="0" w:color="auto"/>
            <w:right w:val="none" w:sz="0" w:space="0" w:color="auto"/>
          </w:divBdr>
        </w:div>
      </w:divsChild>
    </w:div>
    <w:div w:id="2028291684">
      <w:marLeft w:val="0"/>
      <w:marRight w:val="0"/>
      <w:marTop w:val="0"/>
      <w:marBottom w:val="240"/>
      <w:divBdr>
        <w:top w:val="none" w:sz="0" w:space="0" w:color="auto"/>
        <w:left w:val="none" w:sz="0" w:space="0" w:color="auto"/>
        <w:bottom w:val="none" w:sz="0" w:space="0" w:color="auto"/>
        <w:right w:val="none" w:sz="0" w:space="0" w:color="auto"/>
      </w:divBdr>
    </w:div>
    <w:div w:id="2029016654">
      <w:marLeft w:val="0"/>
      <w:marRight w:val="0"/>
      <w:marTop w:val="0"/>
      <w:marBottom w:val="200"/>
      <w:divBdr>
        <w:top w:val="none" w:sz="0" w:space="0" w:color="auto"/>
        <w:left w:val="none" w:sz="0" w:space="0" w:color="auto"/>
        <w:bottom w:val="none" w:sz="0" w:space="0" w:color="auto"/>
        <w:right w:val="none" w:sz="0" w:space="0" w:color="auto"/>
      </w:divBdr>
    </w:div>
    <w:div w:id="2038584513">
      <w:marLeft w:val="0"/>
      <w:marRight w:val="0"/>
      <w:marTop w:val="0"/>
      <w:marBottom w:val="240"/>
      <w:divBdr>
        <w:top w:val="none" w:sz="0" w:space="0" w:color="auto"/>
        <w:left w:val="none" w:sz="0" w:space="0" w:color="auto"/>
        <w:bottom w:val="none" w:sz="0" w:space="0" w:color="auto"/>
        <w:right w:val="none" w:sz="0" w:space="0" w:color="auto"/>
      </w:divBdr>
    </w:div>
    <w:div w:id="2043705292">
      <w:marLeft w:val="0"/>
      <w:marRight w:val="0"/>
      <w:marTop w:val="0"/>
      <w:marBottom w:val="120"/>
      <w:divBdr>
        <w:top w:val="none" w:sz="0" w:space="0" w:color="auto"/>
        <w:left w:val="none" w:sz="0" w:space="0" w:color="auto"/>
        <w:bottom w:val="none" w:sz="0" w:space="0" w:color="auto"/>
        <w:right w:val="none" w:sz="0" w:space="0" w:color="auto"/>
      </w:divBdr>
      <w:divsChild>
        <w:div w:id="205066512">
          <w:marLeft w:val="0"/>
          <w:marRight w:val="0"/>
          <w:marTop w:val="0"/>
          <w:marBottom w:val="0"/>
          <w:divBdr>
            <w:top w:val="none" w:sz="0" w:space="0" w:color="auto"/>
            <w:left w:val="none" w:sz="0" w:space="0" w:color="auto"/>
            <w:bottom w:val="none" w:sz="0" w:space="0" w:color="auto"/>
            <w:right w:val="none" w:sz="0" w:space="0" w:color="auto"/>
          </w:divBdr>
        </w:div>
      </w:divsChild>
    </w:div>
    <w:div w:id="2047176175">
      <w:marLeft w:val="0"/>
      <w:marRight w:val="0"/>
      <w:marTop w:val="0"/>
      <w:marBottom w:val="0"/>
      <w:divBdr>
        <w:top w:val="none" w:sz="0" w:space="0" w:color="auto"/>
        <w:left w:val="none" w:sz="0" w:space="0" w:color="auto"/>
        <w:bottom w:val="none" w:sz="0" w:space="0" w:color="auto"/>
        <w:right w:val="none" w:sz="0" w:space="0" w:color="auto"/>
      </w:divBdr>
      <w:divsChild>
        <w:div w:id="1323117187">
          <w:marLeft w:val="0"/>
          <w:marRight w:val="0"/>
          <w:marTop w:val="0"/>
          <w:marBottom w:val="0"/>
          <w:divBdr>
            <w:top w:val="none" w:sz="0" w:space="0" w:color="auto"/>
            <w:left w:val="none" w:sz="0" w:space="0" w:color="auto"/>
            <w:bottom w:val="none" w:sz="0" w:space="0" w:color="auto"/>
            <w:right w:val="none" w:sz="0" w:space="0" w:color="auto"/>
          </w:divBdr>
        </w:div>
      </w:divsChild>
    </w:div>
    <w:div w:id="2048681855">
      <w:marLeft w:val="0"/>
      <w:marRight w:val="0"/>
      <w:marTop w:val="0"/>
      <w:marBottom w:val="0"/>
      <w:divBdr>
        <w:top w:val="none" w:sz="0" w:space="0" w:color="auto"/>
        <w:left w:val="none" w:sz="0" w:space="0" w:color="auto"/>
        <w:bottom w:val="none" w:sz="0" w:space="0" w:color="auto"/>
        <w:right w:val="none" w:sz="0" w:space="0" w:color="auto"/>
      </w:divBdr>
    </w:div>
    <w:div w:id="2049840023">
      <w:marLeft w:val="0"/>
      <w:marRight w:val="0"/>
      <w:marTop w:val="0"/>
      <w:marBottom w:val="0"/>
      <w:divBdr>
        <w:top w:val="none" w:sz="0" w:space="0" w:color="auto"/>
        <w:left w:val="none" w:sz="0" w:space="0" w:color="auto"/>
        <w:bottom w:val="none" w:sz="0" w:space="0" w:color="auto"/>
        <w:right w:val="none" w:sz="0" w:space="0" w:color="auto"/>
      </w:divBdr>
      <w:divsChild>
        <w:div w:id="199051946">
          <w:marLeft w:val="0"/>
          <w:marRight w:val="0"/>
          <w:marTop w:val="0"/>
          <w:marBottom w:val="0"/>
          <w:divBdr>
            <w:top w:val="none" w:sz="0" w:space="0" w:color="auto"/>
            <w:left w:val="none" w:sz="0" w:space="0" w:color="auto"/>
            <w:bottom w:val="none" w:sz="0" w:space="0" w:color="auto"/>
            <w:right w:val="none" w:sz="0" w:space="0" w:color="auto"/>
          </w:divBdr>
        </w:div>
      </w:divsChild>
    </w:div>
    <w:div w:id="2051565391">
      <w:marLeft w:val="0"/>
      <w:marRight w:val="0"/>
      <w:marTop w:val="0"/>
      <w:marBottom w:val="120"/>
      <w:divBdr>
        <w:top w:val="none" w:sz="0" w:space="0" w:color="auto"/>
        <w:left w:val="none" w:sz="0" w:space="0" w:color="auto"/>
        <w:bottom w:val="none" w:sz="0" w:space="0" w:color="auto"/>
        <w:right w:val="none" w:sz="0" w:space="0" w:color="auto"/>
      </w:divBdr>
    </w:div>
    <w:div w:id="2052221975">
      <w:marLeft w:val="0"/>
      <w:marRight w:val="0"/>
      <w:marTop w:val="0"/>
      <w:marBottom w:val="0"/>
      <w:divBdr>
        <w:top w:val="none" w:sz="0" w:space="0" w:color="auto"/>
        <w:left w:val="none" w:sz="0" w:space="0" w:color="auto"/>
        <w:bottom w:val="none" w:sz="0" w:space="0" w:color="auto"/>
        <w:right w:val="none" w:sz="0" w:space="0" w:color="auto"/>
      </w:divBdr>
      <w:divsChild>
        <w:div w:id="355010557">
          <w:marLeft w:val="0"/>
          <w:marRight w:val="0"/>
          <w:marTop w:val="0"/>
          <w:marBottom w:val="0"/>
          <w:divBdr>
            <w:top w:val="none" w:sz="0" w:space="0" w:color="auto"/>
            <w:left w:val="none" w:sz="0" w:space="0" w:color="auto"/>
            <w:bottom w:val="none" w:sz="0" w:space="0" w:color="auto"/>
            <w:right w:val="none" w:sz="0" w:space="0" w:color="auto"/>
          </w:divBdr>
        </w:div>
      </w:divsChild>
    </w:div>
    <w:div w:id="2056808915">
      <w:marLeft w:val="0"/>
      <w:marRight w:val="0"/>
      <w:marTop w:val="300"/>
      <w:marBottom w:val="0"/>
      <w:divBdr>
        <w:top w:val="none" w:sz="0" w:space="0" w:color="auto"/>
        <w:left w:val="none" w:sz="0" w:space="0" w:color="auto"/>
        <w:bottom w:val="none" w:sz="0" w:space="0" w:color="auto"/>
        <w:right w:val="none" w:sz="0" w:space="0" w:color="auto"/>
      </w:divBdr>
    </w:div>
    <w:div w:id="2064402479">
      <w:marLeft w:val="0"/>
      <w:marRight w:val="0"/>
      <w:marTop w:val="0"/>
      <w:marBottom w:val="60"/>
      <w:divBdr>
        <w:top w:val="none" w:sz="0" w:space="0" w:color="auto"/>
        <w:left w:val="none" w:sz="0" w:space="0" w:color="auto"/>
        <w:bottom w:val="none" w:sz="0" w:space="0" w:color="auto"/>
        <w:right w:val="none" w:sz="0" w:space="0" w:color="auto"/>
      </w:divBdr>
    </w:div>
    <w:div w:id="2067752645">
      <w:marLeft w:val="0"/>
      <w:marRight w:val="0"/>
      <w:marTop w:val="0"/>
      <w:marBottom w:val="60"/>
      <w:divBdr>
        <w:top w:val="none" w:sz="0" w:space="0" w:color="auto"/>
        <w:left w:val="none" w:sz="0" w:space="0" w:color="auto"/>
        <w:bottom w:val="none" w:sz="0" w:space="0" w:color="auto"/>
        <w:right w:val="none" w:sz="0" w:space="0" w:color="auto"/>
      </w:divBdr>
    </w:div>
    <w:div w:id="2071418748">
      <w:marLeft w:val="0"/>
      <w:marRight w:val="0"/>
      <w:marTop w:val="0"/>
      <w:marBottom w:val="240"/>
      <w:divBdr>
        <w:top w:val="none" w:sz="0" w:space="0" w:color="auto"/>
        <w:left w:val="none" w:sz="0" w:space="0" w:color="auto"/>
        <w:bottom w:val="none" w:sz="0" w:space="0" w:color="auto"/>
        <w:right w:val="none" w:sz="0" w:space="0" w:color="auto"/>
      </w:divBdr>
    </w:div>
    <w:div w:id="2072262507">
      <w:marLeft w:val="0"/>
      <w:marRight w:val="0"/>
      <w:marTop w:val="0"/>
      <w:marBottom w:val="60"/>
      <w:divBdr>
        <w:top w:val="none" w:sz="0" w:space="0" w:color="auto"/>
        <w:left w:val="none" w:sz="0" w:space="0" w:color="auto"/>
        <w:bottom w:val="none" w:sz="0" w:space="0" w:color="auto"/>
        <w:right w:val="none" w:sz="0" w:space="0" w:color="auto"/>
      </w:divBdr>
    </w:div>
    <w:div w:id="2080210473">
      <w:marLeft w:val="0"/>
      <w:marRight w:val="0"/>
      <w:marTop w:val="0"/>
      <w:marBottom w:val="120"/>
      <w:divBdr>
        <w:top w:val="none" w:sz="0" w:space="0" w:color="auto"/>
        <w:left w:val="none" w:sz="0" w:space="0" w:color="auto"/>
        <w:bottom w:val="none" w:sz="0" w:space="0" w:color="auto"/>
        <w:right w:val="none" w:sz="0" w:space="0" w:color="auto"/>
      </w:divBdr>
      <w:divsChild>
        <w:div w:id="1846941245">
          <w:marLeft w:val="0"/>
          <w:marRight w:val="0"/>
          <w:marTop w:val="0"/>
          <w:marBottom w:val="0"/>
          <w:divBdr>
            <w:top w:val="none" w:sz="0" w:space="0" w:color="auto"/>
            <w:left w:val="none" w:sz="0" w:space="0" w:color="auto"/>
            <w:bottom w:val="none" w:sz="0" w:space="0" w:color="auto"/>
            <w:right w:val="none" w:sz="0" w:space="0" w:color="auto"/>
          </w:divBdr>
        </w:div>
      </w:divsChild>
    </w:div>
    <w:div w:id="2085105969">
      <w:marLeft w:val="0"/>
      <w:marRight w:val="0"/>
      <w:marTop w:val="0"/>
      <w:marBottom w:val="240"/>
      <w:divBdr>
        <w:top w:val="none" w:sz="0" w:space="0" w:color="auto"/>
        <w:left w:val="none" w:sz="0" w:space="0" w:color="auto"/>
        <w:bottom w:val="none" w:sz="0" w:space="0" w:color="auto"/>
        <w:right w:val="none" w:sz="0" w:space="0" w:color="auto"/>
      </w:divBdr>
    </w:div>
    <w:div w:id="2093889844">
      <w:marLeft w:val="0"/>
      <w:marRight w:val="0"/>
      <w:marTop w:val="0"/>
      <w:marBottom w:val="0"/>
      <w:divBdr>
        <w:top w:val="none" w:sz="0" w:space="0" w:color="auto"/>
        <w:left w:val="none" w:sz="0" w:space="0" w:color="auto"/>
        <w:bottom w:val="none" w:sz="0" w:space="0" w:color="auto"/>
        <w:right w:val="none" w:sz="0" w:space="0" w:color="auto"/>
      </w:divBdr>
      <w:divsChild>
        <w:div w:id="1271933611">
          <w:marLeft w:val="0"/>
          <w:marRight w:val="0"/>
          <w:marTop w:val="0"/>
          <w:marBottom w:val="0"/>
          <w:divBdr>
            <w:top w:val="none" w:sz="0" w:space="0" w:color="auto"/>
            <w:left w:val="none" w:sz="0" w:space="0" w:color="auto"/>
            <w:bottom w:val="none" w:sz="0" w:space="0" w:color="auto"/>
            <w:right w:val="none" w:sz="0" w:space="0" w:color="auto"/>
          </w:divBdr>
        </w:div>
      </w:divsChild>
    </w:div>
    <w:div w:id="2099017871">
      <w:marLeft w:val="0"/>
      <w:marRight w:val="0"/>
      <w:marTop w:val="0"/>
      <w:marBottom w:val="0"/>
      <w:divBdr>
        <w:top w:val="none" w:sz="0" w:space="0" w:color="auto"/>
        <w:left w:val="none" w:sz="0" w:space="0" w:color="auto"/>
        <w:bottom w:val="none" w:sz="0" w:space="0" w:color="auto"/>
        <w:right w:val="none" w:sz="0" w:space="0" w:color="auto"/>
      </w:divBdr>
    </w:div>
    <w:div w:id="2099210415">
      <w:marLeft w:val="0"/>
      <w:marRight w:val="0"/>
      <w:marTop w:val="0"/>
      <w:marBottom w:val="0"/>
      <w:divBdr>
        <w:top w:val="none" w:sz="0" w:space="0" w:color="auto"/>
        <w:left w:val="none" w:sz="0" w:space="0" w:color="auto"/>
        <w:bottom w:val="none" w:sz="0" w:space="0" w:color="auto"/>
        <w:right w:val="none" w:sz="0" w:space="0" w:color="auto"/>
      </w:divBdr>
      <w:divsChild>
        <w:div w:id="213584126">
          <w:marLeft w:val="0"/>
          <w:marRight w:val="0"/>
          <w:marTop w:val="0"/>
          <w:marBottom w:val="0"/>
          <w:divBdr>
            <w:top w:val="none" w:sz="0" w:space="0" w:color="auto"/>
            <w:left w:val="none" w:sz="0" w:space="0" w:color="auto"/>
            <w:bottom w:val="none" w:sz="0" w:space="0" w:color="auto"/>
            <w:right w:val="none" w:sz="0" w:space="0" w:color="auto"/>
          </w:divBdr>
        </w:div>
      </w:divsChild>
    </w:div>
    <w:div w:id="2101366467">
      <w:marLeft w:val="0"/>
      <w:marRight w:val="0"/>
      <w:marTop w:val="0"/>
      <w:marBottom w:val="160"/>
      <w:divBdr>
        <w:top w:val="none" w:sz="0" w:space="0" w:color="auto"/>
        <w:left w:val="none" w:sz="0" w:space="0" w:color="auto"/>
        <w:bottom w:val="none" w:sz="0" w:space="0" w:color="auto"/>
        <w:right w:val="none" w:sz="0" w:space="0" w:color="auto"/>
      </w:divBdr>
    </w:div>
    <w:div w:id="2102098287">
      <w:marLeft w:val="0"/>
      <w:marRight w:val="0"/>
      <w:marTop w:val="0"/>
      <w:marBottom w:val="240"/>
      <w:divBdr>
        <w:top w:val="none" w:sz="0" w:space="0" w:color="auto"/>
        <w:left w:val="none" w:sz="0" w:space="0" w:color="auto"/>
        <w:bottom w:val="none" w:sz="0" w:space="0" w:color="auto"/>
        <w:right w:val="none" w:sz="0" w:space="0" w:color="auto"/>
      </w:divBdr>
    </w:div>
    <w:div w:id="2105566186">
      <w:marLeft w:val="0"/>
      <w:marRight w:val="0"/>
      <w:marTop w:val="0"/>
      <w:marBottom w:val="0"/>
      <w:divBdr>
        <w:top w:val="none" w:sz="0" w:space="0" w:color="auto"/>
        <w:left w:val="none" w:sz="0" w:space="0" w:color="auto"/>
        <w:bottom w:val="none" w:sz="0" w:space="0" w:color="auto"/>
        <w:right w:val="none" w:sz="0" w:space="0" w:color="auto"/>
      </w:divBdr>
    </w:div>
    <w:div w:id="2111074981">
      <w:marLeft w:val="0"/>
      <w:marRight w:val="0"/>
      <w:marTop w:val="0"/>
      <w:marBottom w:val="240"/>
      <w:divBdr>
        <w:top w:val="none" w:sz="0" w:space="0" w:color="auto"/>
        <w:left w:val="none" w:sz="0" w:space="0" w:color="auto"/>
        <w:bottom w:val="none" w:sz="0" w:space="0" w:color="auto"/>
        <w:right w:val="none" w:sz="0" w:space="0" w:color="auto"/>
      </w:divBdr>
    </w:div>
    <w:div w:id="2118015128">
      <w:marLeft w:val="0"/>
      <w:marRight w:val="0"/>
      <w:marTop w:val="0"/>
      <w:marBottom w:val="240"/>
      <w:divBdr>
        <w:top w:val="none" w:sz="0" w:space="0" w:color="auto"/>
        <w:left w:val="none" w:sz="0" w:space="0" w:color="auto"/>
        <w:bottom w:val="none" w:sz="0" w:space="0" w:color="auto"/>
        <w:right w:val="none" w:sz="0" w:space="0" w:color="auto"/>
      </w:divBdr>
    </w:div>
    <w:div w:id="2118938304">
      <w:marLeft w:val="0"/>
      <w:marRight w:val="0"/>
      <w:marTop w:val="0"/>
      <w:marBottom w:val="240"/>
      <w:divBdr>
        <w:top w:val="none" w:sz="0" w:space="0" w:color="auto"/>
        <w:left w:val="none" w:sz="0" w:space="0" w:color="auto"/>
        <w:bottom w:val="none" w:sz="0" w:space="0" w:color="auto"/>
        <w:right w:val="none" w:sz="0" w:space="0" w:color="auto"/>
      </w:divBdr>
    </w:div>
    <w:div w:id="2120488085">
      <w:marLeft w:val="0"/>
      <w:marRight w:val="0"/>
      <w:marTop w:val="0"/>
      <w:marBottom w:val="200"/>
      <w:divBdr>
        <w:top w:val="none" w:sz="0" w:space="0" w:color="auto"/>
        <w:left w:val="none" w:sz="0" w:space="0" w:color="auto"/>
        <w:bottom w:val="none" w:sz="0" w:space="0" w:color="auto"/>
        <w:right w:val="none" w:sz="0" w:space="0" w:color="auto"/>
      </w:divBdr>
    </w:div>
    <w:div w:id="2125033182">
      <w:marLeft w:val="0"/>
      <w:marRight w:val="0"/>
      <w:marTop w:val="0"/>
      <w:marBottom w:val="0"/>
      <w:divBdr>
        <w:top w:val="none" w:sz="0" w:space="0" w:color="auto"/>
        <w:left w:val="none" w:sz="0" w:space="0" w:color="auto"/>
        <w:bottom w:val="none" w:sz="0" w:space="0" w:color="auto"/>
        <w:right w:val="none" w:sz="0" w:space="0" w:color="auto"/>
      </w:divBdr>
      <w:divsChild>
        <w:div w:id="1029450244">
          <w:marLeft w:val="0"/>
          <w:marRight w:val="0"/>
          <w:marTop w:val="0"/>
          <w:marBottom w:val="0"/>
          <w:divBdr>
            <w:top w:val="none" w:sz="0" w:space="0" w:color="auto"/>
            <w:left w:val="none" w:sz="0" w:space="0" w:color="auto"/>
            <w:bottom w:val="none" w:sz="0" w:space="0" w:color="auto"/>
            <w:right w:val="none" w:sz="0" w:space="0" w:color="auto"/>
          </w:divBdr>
        </w:div>
      </w:divsChild>
    </w:div>
    <w:div w:id="2126539412">
      <w:marLeft w:val="0"/>
      <w:marRight w:val="0"/>
      <w:marTop w:val="0"/>
      <w:marBottom w:val="0"/>
      <w:divBdr>
        <w:top w:val="none" w:sz="0" w:space="0" w:color="auto"/>
        <w:left w:val="none" w:sz="0" w:space="0" w:color="auto"/>
        <w:bottom w:val="none" w:sz="0" w:space="0" w:color="auto"/>
        <w:right w:val="none" w:sz="0" w:space="0" w:color="auto"/>
      </w:divBdr>
      <w:divsChild>
        <w:div w:id="692078093">
          <w:marLeft w:val="0"/>
          <w:marRight w:val="0"/>
          <w:marTop w:val="0"/>
          <w:marBottom w:val="0"/>
          <w:divBdr>
            <w:top w:val="none" w:sz="0" w:space="0" w:color="auto"/>
            <w:left w:val="none" w:sz="0" w:space="0" w:color="auto"/>
            <w:bottom w:val="none" w:sz="0" w:space="0" w:color="auto"/>
            <w:right w:val="none" w:sz="0" w:space="0" w:color="auto"/>
          </w:divBdr>
        </w:div>
      </w:divsChild>
    </w:div>
    <w:div w:id="2130126683">
      <w:marLeft w:val="0"/>
      <w:marRight w:val="0"/>
      <w:marTop w:val="0"/>
      <w:marBottom w:val="0"/>
      <w:divBdr>
        <w:top w:val="none" w:sz="0" w:space="0" w:color="auto"/>
        <w:left w:val="none" w:sz="0" w:space="0" w:color="auto"/>
        <w:bottom w:val="none" w:sz="0" w:space="0" w:color="auto"/>
        <w:right w:val="none" w:sz="0" w:space="0" w:color="auto"/>
      </w:divBdr>
      <w:divsChild>
        <w:div w:id="1115296352">
          <w:marLeft w:val="0"/>
          <w:marRight w:val="0"/>
          <w:marTop w:val="0"/>
          <w:marBottom w:val="0"/>
          <w:divBdr>
            <w:top w:val="none" w:sz="0" w:space="0" w:color="auto"/>
            <w:left w:val="none" w:sz="0" w:space="0" w:color="auto"/>
            <w:bottom w:val="none" w:sz="0" w:space="0" w:color="auto"/>
            <w:right w:val="none" w:sz="0" w:space="0" w:color="auto"/>
          </w:divBdr>
        </w:div>
      </w:divsChild>
    </w:div>
    <w:div w:id="2130859826">
      <w:marLeft w:val="0"/>
      <w:marRight w:val="0"/>
      <w:marTop w:val="0"/>
      <w:marBottom w:val="0"/>
      <w:divBdr>
        <w:top w:val="none" w:sz="0" w:space="0" w:color="auto"/>
        <w:left w:val="none" w:sz="0" w:space="0" w:color="auto"/>
        <w:bottom w:val="none" w:sz="0" w:space="0" w:color="auto"/>
        <w:right w:val="none" w:sz="0" w:space="0" w:color="auto"/>
      </w:divBdr>
      <w:divsChild>
        <w:div w:id="820075012">
          <w:marLeft w:val="0"/>
          <w:marRight w:val="0"/>
          <w:marTop w:val="0"/>
          <w:marBottom w:val="0"/>
          <w:divBdr>
            <w:top w:val="none" w:sz="0" w:space="0" w:color="auto"/>
            <w:left w:val="none" w:sz="0" w:space="0" w:color="auto"/>
            <w:bottom w:val="none" w:sz="0" w:space="0" w:color="auto"/>
            <w:right w:val="none" w:sz="0" w:space="0" w:color="auto"/>
          </w:divBdr>
        </w:div>
      </w:divsChild>
    </w:div>
    <w:div w:id="2131316069">
      <w:marLeft w:val="0"/>
      <w:marRight w:val="0"/>
      <w:marTop w:val="0"/>
      <w:marBottom w:val="0"/>
      <w:divBdr>
        <w:top w:val="none" w:sz="0" w:space="0" w:color="auto"/>
        <w:left w:val="none" w:sz="0" w:space="0" w:color="auto"/>
        <w:bottom w:val="none" w:sz="0" w:space="0" w:color="auto"/>
        <w:right w:val="none" w:sz="0" w:space="0" w:color="auto"/>
      </w:divBdr>
      <w:divsChild>
        <w:div w:id="520970370">
          <w:marLeft w:val="0"/>
          <w:marRight w:val="0"/>
          <w:marTop w:val="0"/>
          <w:marBottom w:val="0"/>
          <w:divBdr>
            <w:top w:val="none" w:sz="0" w:space="0" w:color="auto"/>
            <w:left w:val="none" w:sz="0" w:space="0" w:color="auto"/>
            <w:bottom w:val="none" w:sz="0" w:space="0" w:color="auto"/>
            <w:right w:val="none" w:sz="0" w:space="0" w:color="auto"/>
          </w:divBdr>
        </w:div>
      </w:divsChild>
    </w:div>
    <w:div w:id="2131392501">
      <w:marLeft w:val="0"/>
      <w:marRight w:val="0"/>
      <w:marTop w:val="0"/>
      <w:marBottom w:val="120"/>
      <w:divBdr>
        <w:top w:val="none" w:sz="0" w:space="0" w:color="auto"/>
        <w:left w:val="none" w:sz="0" w:space="0" w:color="auto"/>
        <w:bottom w:val="none" w:sz="0" w:space="0" w:color="auto"/>
        <w:right w:val="none" w:sz="0" w:space="0" w:color="auto"/>
      </w:divBdr>
    </w:div>
    <w:div w:id="2134442710">
      <w:marLeft w:val="0"/>
      <w:marRight w:val="0"/>
      <w:marTop w:val="0"/>
      <w:marBottom w:val="240"/>
      <w:divBdr>
        <w:top w:val="none" w:sz="0" w:space="0" w:color="auto"/>
        <w:left w:val="none" w:sz="0" w:space="0" w:color="auto"/>
        <w:bottom w:val="none" w:sz="0" w:space="0" w:color="auto"/>
        <w:right w:val="none" w:sz="0" w:space="0" w:color="auto"/>
      </w:divBdr>
    </w:div>
    <w:div w:id="2136636594">
      <w:marLeft w:val="0"/>
      <w:marRight w:val="0"/>
      <w:marTop w:val="0"/>
      <w:marBottom w:val="240"/>
      <w:divBdr>
        <w:top w:val="none" w:sz="0" w:space="0" w:color="auto"/>
        <w:left w:val="none" w:sz="0" w:space="0" w:color="auto"/>
        <w:bottom w:val="none" w:sz="0" w:space="0" w:color="auto"/>
        <w:right w:val="none" w:sz="0" w:space="0" w:color="auto"/>
      </w:divBdr>
    </w:div>
    <w:div w:id="2139105891">
      <w:marLeft w:val="0"/>
      <w:marRight w:val="0"/>
      <w:marTop w:val="0"/>
      <w:marBottom w:val="120"/>
      <w:divBdr>
        <w:top w:val="none" w:sz="0" w:space="0" w:color="auto"/>
        <w:left w:val="none" w:sz="0" w:space="0" w:color="auto"/>
        <w:bottom w:val="none" w:sz="0" w:space="0" w:color="auto"/>
        <w:right w:val="none" w:sz="0" w:space="0" w:color="auto"/>
      </w:divBdr>
    </w:div>
    <w:div w:id="2140566884">
      <w:marLeft w:val="0"/>
      <w:marRight w:val="0"/>
      <w:marTop w:val="200"/>
      <w:marBottom w:val="0"/>
      <w:divBdr>
        <w:top w:val="none" w:sz="0" w:space="0" w:color="auto"/>
        <w:left w:val="none" w:sz="0" w:space="0" w:color="auto"/>
        <w:bottom w:val="none" w:sz="0" w:space="0" w:color="auto"/>
        <w:right w:val="none" w:sz="0" w:space="0" w:color="auto"/>
      </w:divBdr>
    </w:div>
    <w:div w:id="2145657544">
      <w:marLeft w:val="0"/>
      <w:marRight w:val="0"/>
      <w:marTop w:val="240"/>
      <w:marBottom w:val="0"/>
      <w:divBdr>
        <w:top w:val="none" w:sz="0" w:space="0" w:color="auto"/>
        <w:left w:val="none" w:sz="0" w:space="0" w:color="auto"/>
        <w:bottom w:val="none" w:sz="0" w:space="0" w:color="auto"/>
        <w:right w:val="none" w:sz="0" w:space="0" w:color="auto"/>
      </w:divBdr>
    </w:div>
    <w:div w:id="2146002864">
      <w:marLeft w:val="0"/>
      <w:marRight w:val="0"/>
      <w:marTop w:val="0"/>
      <w:marBottom w:val="0"/>
      <w:divBdr>
        <w:top w:val="none" w:sz="0" w:space="0" w:color="auto"/>
        <w:left w:val="none" w:sz="0" w:space="0" w:color="auto"/>
        <w:bottom w:val="none" w:sz="0" w:space="0" w:color="auto"/>
        <w:right w:val="none" w:sz="0" w:space="0" w:color="auto"/>
      </w:divBdr>
      <w:divsChild>
        <w:div w:id="11019475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789460/000110465914027167/a14-10353_1ex10d2.htm" TargetMode="External"/><Relationship Id="rId18" Type="http://schemas.openxmlformats.org/officeDocument/2006/relationships/hyperlink" Target="http://www.sec.gov/Archives/edgar/data/789460/000155837016003246/int-20151231ex1024bff55.htm" TargetMode="External"/><Relationship Id="rId26" Type="http://schemas.openxmlformats.org/officeDocument/2006/relationships/hyperlink" Target="http://www.sec.gov/Archives/edgar/data/789460/000162828018002457/a2017q4ex1017.htm" TargetMode="External"/><Relationship Id="rId39" Type="http://schemas.openxmlformats.org/officeDocument/2006/relationships/hyperlink" Target="http://www.sec.gov/Archives/edgar/data/789460/000162828019008923/annexitoamendmentno5.htm" TargetMode="External"/><Relationship Id="rId21" Type="http://schemas.openxmlformats.org/officeDocument/2006/relationships/hyperlink" Target="http://www.sec.gov/Archives/edgar/data/789460/000155837015001275/int-20150630ex1015b0497.htm" TargetMode="External"/><Relationship Id="rId34" Type="http://schemas.openxmlformats.org/officeDocument/2006/relationships/hyperlink" Target="http://www.sec.gov/Archives/edgar/data/789460/000110465913075419/a13-22173_1ex10d1.htm" TargetMode="External"/><Relationship Id="rId42" Type="http://schemas.openxmlformats.org/officeDocument/2006/relationships/hyperlink" Target="a2020q4ex311.htm" TargetMode="External"/><Relationship Id="rId7" Type="http://schemas.openxmlformats.org/officeDocument/2006/relationships/hyperlink" Target="http://www.sec.gov/Archives/edgar/data/789460/000115752309008255/a6106663ex3_1.txt" TargetMode="External"/><Relationship Id="rId2" Type="http://schemas.openxmlformats.org/officeDocument/2006/relationships/settings" Target="settings.xml"/><Relationship Id="rId16" Type="http://schemas.openxmlformats.org/officeDocument/2006/relationships/hyperlink" Target="http://www.sec.gov/Archives/edgar/data/789460/000110465916125102/a16-12742_1ex10d1.htm" TargetMode="External"/><Relationship Id="rId29" Type="http://schemas.openxmlformats.org/officeDocument/2006/relationships/hyperlink" Target="http://www.sec.gov/Archives/edgar/data/789460/000162828017007371/a2017q2ex104.htm" TargetMode="External"/><Relationship Id="rId1" Type="http://schemas.openxmlformats.org/officeDocument/2006/relationships/styles" Target="styles.xml"/><Relationship Id="rId6" Type="http://schemas.openxmlformats.org/officeDocument/2006/relationships/hyperlink" Target="http://www.sec.gov/Archives/edgar/data/789460/000119312505018689/dex992.htm" TargetMode="External"/><Relationship Id="rId11" Type="http://schemas.openxmlformats.org/officeDocument/2006/relationships/hyperlink" Target="http://www.sec.gov/Archives/edgar/data/789460/000115752311005202/a6842908_ex101.htm" TargetMode="External"/><Relationship Id="rId24" Type="http://schemas.openxmlformats.org/officeDocument/2006/relationships/hyperlink" Target="http://www.sec.gov/Archives/edgar/data/789460/000110465914054975/a14-13976_1ex10d1.htm" TargetMode="External"/><Relationship Id="rId32" Type="http://schemas.openxmlformats.org/officeDocument/2006/relationships/hyperlink" Target="http://www.sec.gov/Archives/edgar/data/789460/000162828018002457/a2017q4ex1025.htm" TargetMode="External"/><Relationship Id="rId37" Type="http://schemas.openxmlformats.org/officeDocument/2006/relationships/hyperlink" Target="http://www.sec.gov/Archives/edgar/data/789460/000162828017007371/a2017q2ex102.htm" TargetMode="External"/><Relationship Id="rId40" Type="http://schemas.openxmlformats.org/officeDocument/2006/relationships/hyperlink" Target="a2020q410kex211.htm" TargetMode="External"/><Relationship Id="rId45" Type="http://schemas.openxmlformats.org/officeDocument/2006/relationships/fontTable" Target="fontTable.xml"/><Relationship Id="rId5" Type="http://schemas.openxmlformats.org/officeDocument/2006/relationships/image" Target="file:///E:\projects\LLMs\new_data_collection\data_new\htm\WORLD%20KINECT%20CORP\int-20201231_g2.jpg" TargetMode="External"/><Relationship Id="rId15" Type="http://schemas.openxmlformats.org/officeDocument/2006/relationships/hyperlink" Target="http://www.sec.gov/Archives/edgar/data/789460/000162828017007371/a2017q2ex101.htm" TargetMode="External"/><Relationship Id="rId23" Type="http://schemas.openxmlformats.org/officeDocument/2006/relationships/hyperlink" Target="http://www.sec.gov/Archives/edgar/data/789460/000162828018002457/a2017q4ex1014.htm" TargetMode="External"/><Relationship Id="rId28" Type="http://schemas.openxmlformats.org/officeDocument/2006/relationships/hyperlink" Target="http://www.sec.gov/Archives/edgar/data/789460/000162828018002457/a2017q4ex1021.htm" TargetMode="External"/><Relationship Id="rId36" Type="http://schemas.openxmlformats.org/officeDocument/2006/relationships/hyperlink" Target="http://www.sec.gov/Archives/edgar/data/789460/000162828016020385/amendmentno2.htm" TargetMode="External"/><Relationship Id="rId10" Type="http://schemas.openxmlformats.org/officeDocument/2006/relationships/hyperlink" Target="http://www.sec.gov/Archives/edgar/data/789460/000119312508061911/dex102.htm" TargetMode="External"/><Relationship Id="rId19" Type="http://schemas.openxmlformats.org/officeDocument/2006/relationships/hyperlink" Target="http://www.sec.gov/Archives/edgar/data/789460/000162828019002382/a2018q4ex1010.htm" TargetMode="External"/><Relationship Id="rId31" Type="http://schemas.openxmlformats.org/officeDocument/2006/relationships/hyperlink" Target="http://www.sec.gov/Archives/edgar/data/789460/000162828018002457/a2017q4ex1024.htm" TargetMode="External"/><Relationship Id="rId44" Type="http://schemas.openxmlformats.org/officeDocument/2006/relationships/hyperlink" Target="a2020q4ex321.htm" TargetMode="External"/><Relationship Id="rId4" Type="http://schemas.openxmlformats.org/officeDocument/2006/relationships/image" Target="file:///E:\projects\LLMs\new_data_collection\data_new\htm\WORLD%20KINECT%20CORP\int-20201231_g1.jpg" TargetMode="External"/><Relationship Id="rId9" Type="http://schemas.openxmlformats.org/officeDocument/2006/relationships/hyperlink" Target="http://www.sec.gov/Archives/edgar/data/789460/000162828020002590/a2019q410kex41.htm" TargetMode="External"/><Relationship Id="rId14" Type="http://schemas.openxmlformats.org/officeDocument/2006/relationships/hyperlink" Target="http://www.sec.gov/Archives/edgar/data/789460/000119312507081302/dex102.htm" TargetMode="External"/><Relationship Id="rId22" Type="http://schemas.openxmlformats.org/officeDocument/2006/relationships/hyperlink" Target="http://www.sec.gov/Archives/edgar/data/789460/000162828018002457/a2017q4ex1012.htm" TargetMode="External"/><Relationship Id="rId27" Type="http://schemas.openxmlformats.org/officeDocument/2006/relationships/hyperlink" Target="http://www.sec.gov/Archives/edgar/data/789460/000110465914054975/a14-13976_1ex10d2.htm" TargetMode="External"/><Relationship Id="rId30" Type="http://schemas.openxmlformats.org/officeDocument/2006/relationships/hyperlink" Target="http://www.sec.gov/Archives/edgar/data/789460/000162828017007371/a2017q2ex105.htm" TargetMode="External"/><Relationship Id="rId35" Type="http://schemas.openxmlformats.org/officeDocument/2006/relationships/hyperlink" Target="http://www.sec.gov/Archives/edgar/data/789460/000155837015000030/int-20150130ex10147ad65.htm" TargetMode="External"/><Relationship Id="rId43" Type="http://schemas.openxmlformats.org/officeDocument/2006/relationships/hyperlink" Target="a2020q4ex312.htm" TargetMode="External"/><Relationship Id="rId8" Type="http://schemas.openxmlformats.org/officeDocument/2006/relationships/hyperlink" Target="http://www.sec.gov/Archives/edgar/data/789460/000115752311005202/a6842908_ex31.htm" TargetMode="External"/><Relationship Id="rId3" Type="http://schemas.openxmlformats.org/officeDocument/2006/relationships/webSettings" Target="webSettings.xml"/><Relationship Id="rId12" Type="http://schemas.openxmlformats.org/officeDocument/2006/relationships/hyperlink" Target="http://www.sec.gov/Archives/edgar/data/789460/000115752312001808/a50230904ex10_1.htm" TargetMode="External"/><Relationship Id="rId17" Type="http://schemas.openxmlformats.org/officeDocument/2006/relationships/hyperlink" Target="http://www.sec.gov/Archives/edgar/data/789460/000110465920066201/tm2020851d1_ex10-1.htm" TargetMode="External"/><Relationship Id="rId25" Type="http://schemas.openxmlformats.org/officeDocument/2006/relationships/hyperlink" Target="http://www.sec.gov/Archives/edgar/data/789460/000162828017001482/a2016q4ex1015.htm" TargetMode="External"/><Relationship Id="rId33" Type="http://schemas.openxmlformats.org/officeDocument/2006/relationships/hyperlink" Target="a202010kex1024.htm" TargetMode="External"/><Relationship Id="rId38" Type="http://schemas.openxmlformats.org/officeDocument/2006/relationships/hyperlink" Target="http://www.sec.gov/Archives/edgar/data/789460/000162828018002457/a2017q4ex1030.htm" TargetMode="External"/><Relationship Id="rId46" Type="http://schemas.openxmlformats.org/officeDocument/2006/relationships/theme" Target="theme/theme1.xml"/><Relationship Id="rId20" Type="http://schemas.openxmlformats.org/officeDocument/2006/relationships/hyperlink" Target="http://www.sec.gov/Archives/edgar/data/789460/000162828018002457/a2017q4ex1010.htm" TargetMode="External"/><Relationship Id="rId41" Type="http://schemas.openxmlformats.org/officeDocument/2006/relationships/hyperlink" Target="a2020q410kex2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58118</Words>
  <Characters>331273</Characters>
  <Application>Microsoft Office Word</Application>
  <DocSecurity>0</DocSecurity>
  <Lines>2760</Lines>
  <Paragraphs>777</Paragraphs>
  <ScaleCrop>false</ScaleCrop>
  <Company/>
  <LinksUpToDate>false</LinksUpToDate>
  <CharactersWithSpaces>388614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int-20201231</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