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67E53">
      <w:pPr>
        <w:divId w:val="214317240"/>
        <w:rPr>
          <w:rFonts w:eastAsia="Times New Roman"/>
          <w:vanish/>
        </w:rPr>
      </w:pPr>
      <w:r>
        <w:rPr>
          <w:rFonts w:eastAsia="Times New Roman"/>
          <w:vanish/>
        </w:rPr>
        <w:t>0000789460falseDecember 312021Q2http://fasb.org/us-gaap/2021-01-31#AccountingStandardsUpdate201613Member00007894602021-01-012021-06-30xbrli:shares00007894602021-07-23iso4217:USD00007894602021-06-3000007894602020-12-31iso4217:USDxbrli:shares</w:t>
      </w:r>
      <w:r>
        <w:rPr>
          <w:rFonts w:eastAsia="Times New Roman"/>
          <w:vanish/>
        </w:rPr>
        <w:t>00007894602021-04-012021-06-3000007894602020-04-012020-06-3000007894602020-01-012020-06-300000789460us-gaap:FairValueMeasurementsNonrecurringMember2021-01-012021-06-300000789460us-gaap:CommonStockMember2020-12-310000789460us-gaap:AdditionalPaidInCapitalMem</w:t>
      </w:r>
      <w:r>
        <w:rPr>
          <w:rFonts w:eastAsia="Times New Roman"/>
          <w:vanish/>
        </w:rPr>
        <w:t>ber2020-12-310000789460us-gaap:RetainedEarningsMember2020-12-310000789460us-gaap:AccumulatedOtherComprehensiveIncomeMember2020-12-310000789460us-gaap:ParentMember2020-12-310000789460us-gaap:NoncontrollingInterestMember2020-12-310000789460us-gaap:RetainedEa</w:t>
      </w:r>
      <w:r>
        <w:rPr>
          <w:rFonts w:eastAsia="Times New Roman"/>
          <w:vanish/>
        </w:rPr>
        <w:t>rningsMember2021-01-012021-03-310000789460us-gaap:ParentMember2021-01-012021-03-3100007894602021-01-012021-03-310000789460us-gaap:AdditionalPaidInCapitalMember2021-01-012021-03-310000789460us-gaap:CommonStockMember2021-01-012021-03-310000789460us-gaap:Accu</w:t>
      </w:r>
      <w:r>
        <w:rPr>
          <w:rFonts w:eastAsia="Times New Roman"/>
          <w:vanish/>
        </w:rPr>
        <w:t>mulatedOtherComprehensiveIncomeMember2021-01-012021-03-310000789460us-gaap:CommonStockMember2021-03-310000789460us-gaap:AdditionalPaidInCapitalMember2021-03-310000789460us-gaap:RetainedEarningsMember2021-03-310000789460us-gaap:AccumulatedOtherComprehensive</w:t>
      </w:r>
      <w:r>
        <w:rPr>
          <w:rFonts w:eastAsia="Times New Roman"/>
          <w:vanish/>
        </w:rPr>
        <w:t>IncomeMember2021-03-310000789460us-gaap:ParentMember2021-03-310000789460us-gaap:NoncontrollingInterestMember2021-03-3100007894602021-03-310000789460us-gaap:RetainedEarningsMember2021-04-012021-06-300000789460us-gaap:ParentMember2021-04-012021-06-3000007894</w:t>
      </w:r>
      <w:r>
        <w:rPr>
          <w:rFonts w:eastAsia="Times New Roman"/>
          <w:vanish/>
        </w:rPr>
        <w:t>60us-gaap:NoncontrollingInterestMember2021-04-012021-06-300000789460us-gaap:AdditionalPaidInCapitalMember2021-04-012021-06-300000789460us-gaap:CommonStockMember2021-04-012021-06-300000789460us-gaap:AccumulatedOtherComprehensiveIncomeMember2021-04-012021-06</w:t>
      </w:r>
      <w:r>
        <w:rPr>
          <w:rFonts w:eastAsia="Times New Roman"/>
          <w:vanish/>
        </w:rPr>
        <w:t>-300000789460us-gaap:CommonStockMember2021-06-300000789460us-gaap:AdditionalPaidInCapitalMember2021-06-300000789460us-gaap:RetainedEarningsMember2021-06-300000789460us-gaap:AccumulatedOtherComprehensiveIncomeMember2021-06-300000789460us-gaap:ParentMember20</w:t>
      </w:r>
      <w:r>
        <w:rPr>
          <w:rFonts w:eastAsia="Times New Roman"/>
          <w:vanish/>
        </w:rPr>
        <w:t>21-06-300000789460us-gaap:NoncontrollingInterestMember2021-06-300000789460us-gaap:CommonStockMember2019-12-310000789460us-gaap:AdditionalPaidInCapitalMember2019-12-310000789460us-gaap:RetainedEarningsMember2019-12-310000789460us-gaap:AccumulatedOtherCompre</w:t>
      </w:r>
      <w:r>
        <w:rPr>
          <w:rFonts w:eastAsia="Times New Roman"/>
          <w:vanish/>
        </w:rPr>
        <w:t>hensiveIncomeMember2019-12-310000789460us-gaap:ParentMember2019-12-310000789460us-gaap:NoncontrollingInterestMember2019-12-3100007894602019-12-3100007894602019-01-012019-12-310000789460srt:CumulativeEffectPeriodOfAdoptionAdjustmentMemberus-gaap:RetainedEar</w:t>
      </w:r>
      <w:r>
        <w:rPr>
          <w:rFonts w:eastAsia="Times New Roman"/>
          <w:vanish/>
        </w:rPr>
        <w:t>ningsMember2019-12-310000789460srt:CumulativeEffectPeriodOfAdoptionAdjustmentMemberus-gaap:ParentMember2019-12-310000789460srt:CumulativeEffectPeriodOfAdoptionAdjustmentMember2019-12-310000789460us-gaap:RetainedEarningsMember2020-01-012020-03-310000789460u</w:t>
      </w:r>
      <w:r>
        <w:rPr>
          <w:rFonts w:eastAsia="Times New Roman"/>
          <w:vanish/>
        </w:rPr>
        <w:t>s-gaap:ParentMember2020-01-012020-03-310000789460us-gaap:NoncontrollingInterestMember2020-01-012020-03-3100007894602020-01-012020-03-310000789460us-gaap:AdditionalPaidInCapitalMember2020-01-012020-03-310000789460us-gaap:CommonStockMember2020-01-012020-03-3</w:t>
      </w:r>
      <w:r>
        <w:rPr>
          <w:rFonts w:eastAsia="Times New Roman"/>
          <w:vanish/>
        </w:rPr>
        <w:t>10000789460us-gaap:AccumulatedOtherComprehensiveIncomeMember2020-01-012020-03-310000789460us-gaap:CommonStockMember2020-03-310000789460us-gaap:AdditionalPaidInCapitalMember2020-03-310000789460us-gaap:RetainedEarningsMember2020-03-310000789460us-gaap:Accumu</w:t>
      </w:r>
      <w:r>
        <w:rPr>
          <w:rFonts w:eastAsia="Times New Roman"/>
          <w:vanish/>
        </w:rPr>
        <w:t>latedOtherComprehensiveIncomeMember2020-03-310000789460us-gaap:ParentMember2020-03-310000789460us-gaap:NoncontrollingInterestMember2020-03-3100007894602020-03-310000789460us-gaap:RetainedEarningsMember2020-04-012020-06-300000789460us-gaap:ParentMember2020-</w:t>
      </w:r>
      <w:r>
        <w:rPr>
          <w:rFonts w:eastAsia="Times New Roman"/>
          <w:vanish/>
        </w:rPr>
        <w:t>04-012020-06-300000789460us-gaap:NoncontrollingInterestMember2020-04-012020-06-300000789460us-gaap:AdditionalPaidInCapitalMember2020-04-012020-06-300000789460us-gaap:CommonStockMember2020-04-012020-06-300000789460us-gaap:AccumulatedOtherComprehensiveIncome</w:t>
      </w:r>
      <w:r>
        <w:rPr>
          <w:rFonts w:eastAsia="Times New Roman"/>
          <w:vanish/>
        </w:rPr>
        <w:t>Member2020-04-012020-06-300000789460us-gaap:CommonStockMember2020-06-300000789460us-gaap:AdditionalPaidInCapitalMember2020-06-300000789460us-gaap:RetainedEarningsMember2020-06-300000789460us-gaap:AccumulatedOtherComprehensiveIncomeMember2020-06-30000078946</w:t>
      </w:r>
      <w:r>
        <w:rPr>
          <w:rFonts w:eastAsia="Times New Roman"/>
          <w:vanish/>
        </w:rPr>
        <w:t>0us-gaap:ParentMember2020-06-300000789460us-gaap:NoncontrollingInterestMember2020-06-3000007894602020-06-3000007894602021-04-092021-04-090000789460us-gaap:SubsequentEventMember2021-07-012021-07-0100007894602020-04-092020-04-0900007894602020-07-022020-07-02</w:t>
      </w:r>
      <w:r>
        <w:rPr>
          <w:rFonts w:eastAsia="Times New Roman"/>
          <w:vanish/>
        </w:rPr>
        <w:t>xbrli:pure0000789460srt:MaximumMember2021-06-300000789460srt:MinimumMemberus-gaap:LondonInterbankOfferedRateLIBORMember2021-06-300000789460srt:MaximumMemberus-gaap:LondonInterbankOfferedRateLIBORMember2021-06-300000789460int:UniversalWeatherAndAviationInc.</w:t>
      </w:r>
      <w:r>
        <w:rPr>
          <w:rFonts w:eastAsia="Times New Roman"/>
          <w:vanish/>
        </w:rPr>
        <w:t>Member2021-04-012021-06-300000789460int:UniversalWeatherAndAviationInc.Member2021-06-300000789460us-gaap:DesignatedAsHedgingInstrumentMemberint:ShortTermDerivativeAssetsNetMemberus-gaap:CommodityContractMember2021-06-300000789460us-gaap:DesignatedAsHedging</w:t>
      </w:r>
      <w:r>
        <w:rPr>
          <w:rFonts w:eastAsia="Times New Roman"/>
          <w:vanish/>
        </w:rPr>
        <w:t>InstrumentMemberint:ShortTermDerivativeAssetsNetMemberus-gaap:CommodityContractMember2020-12-310000789460int:AccruedExpensesAndOtherCurrentLiabilitiesMemberus-gaap:DesignatedAsHedgingInstrumentMemberus-gaap:CommodityContractMember2021-06-300000789460int:Ac</w:t>
      </w:r>
      <w:r>
        <w:rPr>
          <w:rFonts w:eastAsia="Times New Roman"/>
          <w:vanish/>
        </w:rPr>
        <w:t>cruedExpensesAndOtherCurrentLiabilitiesMemberus-gaap:DesignatedAsHedgingInstrumentMemberus-gaap:CommodityContractMember2020-12-310000789460us-gaap:OtherNoncurrentLiabilitiesMemberus-gaap:DesignatedAsHedgingInstrumentMemberus-gaap:CommodityContractMember202</w:t>
      </w:r>
      <w:r>
        <w:rPr>
          <w:rFonts w:eastAsia="Times New Roman"/>
          <w:vanish/>
        </w:rPr>
        <w:t>1-06-300000789460us-gaap:OtherNoncurrentLiabilitiesMemberus-gaap:DesignatedAsHedgingInstrumentMemberus-gaap:CommodityContractMember2020-12-310000789460int:IdentifiableIntangibleAndOtherNonCurrentAssetsMemberus-gaap:InterestRateContractMemberus-gaap:Designa</w:t>
      </w:r>
      <w:r>
        <w:rPr>
          <w:rFonts w:eastAsia="Times New Roman"/>
          <w:vanish/>
        </w:rPr>
        <w:t>tedAsHedgingInstrumentMember2021-06-300000789460int:IdentifiableIntangibleAndOtherNonCurrentAssetsMemberus-gaap:InterestRateContractMemberus-gaap:DesignatedAsHedgingInstrumentMember2020-12-310000789460us-gaap:InterestRateContractMemberint:AccruedExpensesAn</w:t>
      </w:r>
      <w:r>
        <w:rPr>
          <w:rFonts w:eastAsia="Times New Roman"/>
          <w:vanish/>
        </w:rPr>
        <w:t>dOtherCurrentLiabilitiesMemberus-gaap:DesignatedAsHedgingInstrumentMember2021-06-300000789460us-gaap:InterestRateContractMemberint:AccruedExpensesAndOtherCurrentLiabilitiesMemberus-gaap:DesignatedAsHedgingInstrumentMember2020-12-310000789460us-gaap:Interes</w:t>
      </w:r>
      <w:r>
        <w:rPr>
          <w:rFonts w:eastAsia="Times New Roman"/>
          <w:vanish/>
        </w:rPr>
        <w:t>tRateContractMemberus-gaap:OtherNoncurrentLiabilitiesMemberus-gaap:DesignatedAsHedgingInstrumentMember2021-06-300000789460us-gaap:InterestRateContractMemberus-gaap:OtherNoncurrentLiabilitiesMemberus-gaap:DesignatedAsHedgingInstrumentMember2020-12-310000789</w:t>
      </w:r>
      <w:r>
        <w:rPr>
          <w:rFonts w:eastAsia="Times New Roman"/>
          <w:vanish/>
        </w:rPr>
        <w:t>460us-gaap:DesignatedAsHedgingInstrumentMember2021-06-300000789460us-gaap:DesignatedAsHedgingInstrumentMember2020-12-310000789460us-gaap:NondesignatedMemberint:ShortTermDerivativeAssetsNetMemberus-gaap:CommodityContractMember2021-06-300000789460us-gaap:Non</w:t>
      </w:r>
      <w:r>
        <w:rPr>
          <w:rFonts w:eastAsia="Times New Roman"/>
          <w:vanish/>
        </w:rPr>
        <w:t>designatedMemberint:ShortTermDerivativeAssetsNetMemberus-gaap:CommodityContractMember2020-12-310000789460int:IdentifiableIntangibleAndOtherNonCurrentAssetsMemberus-gaap:NondesignatedMemberus-gaap:CommodityContractMember2021-06-300000789460int:IdentifiableI</w:t>
      </w:r>
      <w:r>
        <w:rPr>
          <w:rFonts w:eastAsia="Times New Roman"/>
          <w:vanish/>
        </w:rPr>
        <w:t>ntangibleAndOtherNonCurrentAssetsMemberus-gaap:NondesignatedMemberus-gaap:CommodityContractMember2020-12-310000789460int:AccruedExpensesAndOtherCurrentLiabilitiesMemberus-gaap:NondesignatedMemberus-gaap:CommodityContractMember2021-06-300000789460int:Accrue</w:t>
      </w:r>
      <w:r>
        <w:rPr>
          <w:rFonts w:eastAsia="Times New Roman"/>
          <w:vanish/>
        </w:rPr>
        <w:t>dExpensesAndOtherCurrentLiabilitiesMemberus-gaap:NondesignatedMemberus-gaap:CommodityContractMember2020-12-310000789460us-gaap:OtherNoncurrentLiabilitiesMemberus-gaap:NondesignatedMemberus-gaap:CommodityContractMember2021-06-300000789460us-gaap:OtherNoncur</w:t>
      </w:r>
      <w:r>
        <w:rPr>
          <w:rFonts w:eastAsia="Times New Roman"/>
          <w:vanish/>
        </w:rPr>
        <w:t>rentLiabilitiesMemberus-gaap:NondesignatedMemberus-gaap:CommodityContractMember2020-12-310000789460us-gaap:NondesignatedMemberus-gaap:ForeignExchangeContractMemberint:ShortTermDerivativeAssetsNetMember2021-06-300000789460us-gaap:NondesignatedMemberus-gaap:</w:t>
      </w:r>
      <w:r>
        <w:rPr>
          <w:rFonts w:eastAsia="Times New Roman"/>
          <w:vanish/>
        </w:rPr>
        <w:t>ForeignExchangeContractMemberint:ShortTermDerivativeAssetsNetMember2020-12-310000789460int:IdentifiableIntangibleAndOtherNonCurrentAssetsMemberus-gaap:NondesignatedMemberus-gaap:ForeignExchangeContractMember2021-06-300000789460int:IdentifiableIntangibleAnd</w:t>
      </w:r>
      <w:r>
        <w:rPr>
          <w:rFonts w:eastAsia="Times New Roman"/>
          <w:vanish/>
        </w:rPr>
        <w:t>OtherNonCurrentAssetsMemberus-gaap:NondesignatedMemberus-gaap:ForeignExchangeContractMember2020-12-310000789460int:AccruedExpensesAndOtherCurrentLiabilitiesMemberus-gaap:NondesignatedMemberus-gaap:ForeignExchangeContractMember2021-06-300000789460int:Accrue</w:t>
      </w:r>
      <w:r>
        <w:rPr>
          <w:rFonts w:eastAsia="Times New Roman"/>
          <w:vanish/>
        </w:rPr>
        <w:t>dExpensesAndOtherCurrentLiabilitiesMemberus-gaap:NondesignatedMemberus-gaap:ForeignExchangeContractMember2020-12-310000789460us-gaap:OtherNoncurrentLiabilitiesMemberus-gaap:NondesignatedMemberus-gaap:ForeignExchangeContractMember2021-06-300000789460us-gaap</w:t>
      </w:r>
      <w:r>
        <w:rPr>
          <w:rFonts w:eastAsia="Times New Roman"/>
          <w:vanish/>
        </w:rPr>
        <w:t>:OtherNoncurrentLiabilitiesMemberus-gaap:NondesignatedMemberus-gaap:ForeignExchangeContractMember2020-12-310000789460us-gaap:NondesignatedMember2021-06-300000789460us-gaap:NondesignatedMember2020-12-31utr:bbl0000789460us-gaap:CommodityContractMemberus-gaap</w:t>
      </w:r>
      <w:r>
        <w:rPr>
          <w:rFonts w:eastAsia="Times New Roman"/>
          <w:vanish/>
        </w:rPr>
        <w:t>:LongMember2021-01-012021-06-300000789460us-gaap:ShortMemberus-gaap:CommodityContractMember2021-01-012021-06-300000789460us-gaap:ForeignExchangeContractMemberus-gaap:ShortMembercurrency:USD2021-06-300000789460us-gaap:ForeignExchangeContractMemberus-gaap:Lo</w:t>
      </w:r>
      <w:r>
        <w:rPr>
          <w:rFonts w:eastAsia="Times New Roman"/>
          <w:vanish/>
        </w:rPr>
        <w:t>ngMembercurrency:USD2021-06-300000789460us-gaap:SalesMember2021-04-012021-06-300000789460us-gaap:CostOfSalesMember2021-04-012021-06-300000789460int:InterestExpenseAndOtherFinancingCostsMember2021-04-012021-06-300000789460us-gaap:SalesMember2020-04-012020-0</w:t>
      </w:r>
      <w:r>
        <w:rPr>
          <w:rFonts w:eastAsia="Times New Roman"/>
          <w:vanish/>
        </w:rPr>
        <w:t>6-300000789460us-gaap:CostOfSalesMember2020-04-012020-06-300000789460int:InterestExpenseAndOtherFinancingCostsMember2020-04-012020-06-300000789460us-gaap:SalesMemberus-gaap:CommodityContractMember2021-04-012021-06-300000789460us-gaap:CostOfSalesMemberus-ga</w:t>
      </w:r>
      <w:r>
        <w:rPr>
          <w:rFonts w:eastAsia="Times New Roman"/>
          <w:vanish/>
        </w:rPr>
        <w:t>ap:CommodityContractMember2021-04-012021-06-300000789460us-gaap:CommodityContractMemberint:InterestExpenseAndOtherFinancingCostsMember2021-04-012021-06-300000789460us-gaap:SalesMemberus-gaap:CommodityContractMember2020-04-012020-06-300000789460us-gaap:Cost</w:t>
      </w:r>
      <w:r>
        <w:rPr>
          <w:rFonts w:eastAsia="Times New Roman"/>
          <w:vanish/>
        </w:rPr>
        <w:t>OfSalesMemberus-gaap:CommodityContractMember2020-04-012020-06-300000789460us-gaap:CommodityContractMemberint:InterestExpenseAndOtherFinancingCostsMember2020-04-012020-06-300000789460us-gaap:InterestRateContractMemberus-gaap:SalesMember2021-04-012021-06-300</w:t>
      </w:r>
      <w:r>
        <w:rPr>
          <w:rFonts w:eastAsia="Times New Roman"/>
          <w:vanish/>
        </w:rPr>
        <w:t>000789460us-gaap:InterestRateContractMemberus-gaap:CostOfSalesMember2021-04-012021-06-300000789460us-gaap:InterestRateContractMemberint:InterestExpenseAndOtherFinancingCostsMember2021-04-012021-06-300000789460us-gaap:InterestRateContractMemberus-gaap:Sales</w:t>
      </w:r>
      <w:r>
        <w:rPr>
          <w:rFonts w:eastAsia="Times New Roman"/>
          <w:vanish/>
        </w:rPr>
        <w:t>Member2020-04-012020-06-300000789460us-gaap:InterestRateContractMemberus-gaap:CostOfSalesMember2020-04-012020-06-300000789460us-gaap:InterestRateContractMemberint:InterestExpenseAndOtherFinancingCostsMember2020-04-012020-06-300000789460us-gaap:SalesMember2</w:t>
      </w:r>
      <w:r>
        <w:rPr>
          <w:rFonts w:eastAsia="Times New Roman"/>
          <w:vanish/>
        </w:rPr>
        <w:t>021-01-012021-06-300000789460us-gaap:CostOfSalesMember2021-01-012021-06-300000789460int:InterestExpenseAndOtherFinancingCostsMember2021-01-012021-06-300000789460us-gaap:SalesMember2020-01-012020-06-300000789460us-gaap:CostOfSalesMember2020-01-012020-06-300</w:t>
      </w:r>
      <w:r>
        <w:rPr>
          <w:rFonts w:eastAsia="Times New Roman"/>
          <w:vanish/>
        </w:rPr>
        <w:t>000789460int:InterestExpenseAndOtherFinancingCostsMember2020-01-012020-06-300000789460us-gaap:SalesMemberus-gaap:CommodityContractMember2021-01-012021-06-300000789460us-gaap:CostOfSalesMemberus-gaap:CommodityContractMember2021-01-012021-06-300000789460us-g</w:t>
      </w:r>
      <w:r>
        <w:rPr>
          <w:rFonts w:eastAsia="Times New Roman"/>
          <w:vanish/>
        </w:rPr>
        <w:t>aap:CommodityContractMemberint:InterestExpenseAndOtherFinancingCostsMember2021-01-012021-06-300000789460us-gaap:SalesMemberus-gaap:CommodityContractMember2020-01-012020-06-300000789460us-gaap:CostOfSalesMemberus-gaap:CommodityContractMember2020-01-012020-0</w:t>
      </w:r>
      <w:r>
        <w:rPr>
          <w:rFonts w:eastAsia="Times New Roman"/>
          <w:vanish/>
        </w:rPr>
        <w:t>6-300000789460us-gaap:CommodityContractMemberint:InterestExpenseAndOtherFinancingCostsMember2020-01-012020-06-300000789460us-gaap:InterestRateContractMemberus-gaap:SalesMember2021-01-012021-06-300000789460us-gaap:InterestRateContractMemberus-gaap:CostOfSal</w:t>
      </w:r>
      <w:r>
        <w:rPr>
          <w:rFonts w:eastAsia="Times New Roman"/>
          <w:vanish/>
        </w:rPr>
        <w:t>esMember2021-01-012021-06-300000789460us-gaap:InterestRateContractMemberint:InterestExpenseAndOtherFinancingCostsMember2021-01-012021-06-300000789460us-gaap:InterestRateContractMemberus-gaap:SalesMember2020-01-012020-06-300000789460us-gaap:InterestRateCont</w:t>
      </w:r>
      <w:r>
        <w:rPr>
          <w:rFonts w:eastAsia="Times New Roman"/>
          <w:vanish/>
        </w:rPr>
        <w:t>ractMemberus-gaap:CostOfSalesMember2020-01-012020-06-300000789460us-gaap:InterestRateContractMemberint:InterestExpenseAndOtherFinancingCostsMember2020-01-012020-06-300000789460us-gaap:SalesMemberus-gaap:DesignatedAsHedgingInstrumentMemberus-gaap:CommodityC</w:t>
      </w:r>
      <w:r>
        <w:rPr>
          <w:rFonts w:eastAsia="Times New Roman"/>
          <w:vanish/>
        </w:rPr>
        <w:t>ontractMember2021-04-012021-06-300000789460us-gaap:SalesMemberus-gaap:DesignatedAsHedgingInstrumentMemberus-gaap:CommodityContractMember2020-04-012020-06-300000789460us-gaap:SalesMemberus-gaap:DesignatedAsHedgingInstrumentMemberus-gaap:CommodityContractMem</w:t>
      </w:r>
      <w:r>
        <w:rPr>
          <w:rFonts w:eastAsia="Times New Roman"/>
          <w:vanish/>
        </w:rPr>
        <w:t>ber2021-01-012021-06-300000789460us-gaap:SalesMemberus-gaap:DesignatedAsHedgingInstrumentMemberus-gaap:CommodityContractMember2020-01-012020-06-300000789460us-gaap:CostOfSalesMemberus-gaap:DesignatedAsHedgingInstrumentMemberus-gaap:CommodityContractMember2</w:t>
      </w:r>
      <w:r>
        <w:rPr>
          <w:rFonts w:eastAsia="Times New Roman"/>
          <w:vanish/>
        </w:rPr>
        <w:t>021-04-012021-06-300000789460us-gaap:CostOfSalesMemberus-gaap:DesignatedAsHedgingInstrumentMemberus-gaap:CommodityContractMember2020-04-012020-06-300000789460us-gaap:CostOfSalesMemberus-gaap:DesignatedAsHedgingInstrumentMemberus-gaap:CommodityContractMembe</w:t>
      </w:r>
      <w:r>
        <w:rPr>
          <w:rFonts w:eastAsia="Times New Roman"/>
          <w:vanish/>
        </w:rPr>
        <w:t>r2021-01-012021-06-300000789460us-gaap:CostOfSalesMemberus-gaap:DesignatedAsHedgingInstrumentMemberus-gaap:CommodityContractMember2020-01-012020-06-300000789460us-gaap:InterestRateContractMemberus-gaap:DesignatedAsHedgingInstrumentMemberint:InterestExpense</w:t>
      </w:r>
      <w:r>
        <w:rPr>
          <w:rFonts w:eastAsia="Times New Roman"/>
          <w:vanish/>
        </w:rPr>
        <w:t>AndOtherFinancingCostsMember2021-04-012021-06-300000789460us-gaap:InterestRateContractMemberus-gaap:DesignatedAsHedgingInstrumentMemberint:InterestExpenseAndOtherFinancingCostsMember2020-04-012020-06-300000789460us-gaap:InterestRateContractMemberus-gaap:De</w:t>
      </w:r>
      <w:r>
        <w:rPr>
          <w:rFonts w:eastAsia="Times New Roman"/>
          <w:vanish/>
        </w:rPr>
        <w:t>signatedAsHedgingInstrumentMemberint:InterestExpenseAndOtherFinancingCostsMember2021-01-012021-06-300000789460us-gaap:InterestRateContractMemberus-gaap:DesignatedAsHedgingInstrumentMemberint:InterestExpenseAndOtherFinancingCostsMember2020-01-012020-06-3000</w:t>
      </w:r>
      <w:r>
        <w:rPr>
          <w:rFonts w:eastAsia="Times New Roman"/>
          <w:vanish/>
        </w:rPr>
        <w:t>00789460us-gaap:DesignatedAsHedgingInstrumentMember2021-04-012021-06-300000789460us-gaap:DesignatedAsHedgingInstrumentMember2020-04-012020-06-300000789460us-gaap:DesignatedAsHedgingInstrumentMember2021-01-012021-06-300000789460us-gaap:DesignatedAsHedgingIn</w:t>
      </w:r>
      <w:r>
        <w:rPr>
          <w:rFonts w:eastAsia="Times New Roman"/>
          <w:vanish/>
        </w:rPr>
        <w:t>strumentMember2020-01-012020-06-300000789460us-gaap:SalesMemberus-gaap:NondesignatedMemberus-gaap:CommodityContractMember2021-04-012021-06-300000789460us-gaap:SalesMemberus-gaap:NondesignatedMemberus-gaap:CommodityContractMember2020-04-012020-06-3000007894</w:t>
      </w:r>
      <w:r>
        <w:rPr>
          <w:rFonts w:eastAsia="Times New Roman"/>
          <w:vanish/>
        </w:rPr>
        <w:t>60us-gaap:SalesMemberus-gaap:NondesignatedMemberus-gaap:CommodityContractMember2021-01-012021-06-300000789460us-gaap:SalesMemberus-gaap:NondesignatedMemberus-gaap:CommodityContractMember2020-01-012020-06-300000789460us-gaap:CostOfSalesMemberus-gaap:Nondesi</w:t>
      </w:r>
      <w:r>
        <w:rPr>
          <w:rFonts w:eastAsia="Times New Roman"/>
          <w:vanish/>
        </w:rPr>
        <w:t>gnatedMemberus-gaap:CommodityContractMember2021-04-012021-06-300000789460us-gaap:CostOfSalesMemberus-gaap:NondesignatedMemberus-gaap:CommodityContractMember2020-04-012020-06-300000789460us-gaap:CostOfSalesMemberus-gaap:NondesignatedMemberus-gaap:CommodityC</w:t>
      </w:r>
      <w:r>
        <w:rPr>
          <w:rFonts w:eastAsia="Times New Roman"/>
          <w:vanish/>
        </w:rPr>
        <w:t>ontractMember2021-01-012021-06-300000789460us-gaap:CostOfSalesMemberus-gaap:NondesignatedMemberus-gaap:CommodityContractMember2020-01-012020-06-300000789460us-gaap:NondesignatedMemberus-gaap:CommodityContractMember2021-04-012021-06-300000789460us-gaap:Nond</w:t>
      </w:r>
      <w:r>
        <w:rPr>
          <w:rFonts w:eastAsia="Times New Roman"/>
          <w:vanish/>
        </w:rPr>
        <w:t>esignatedMemberus-gaap:CommodityContractMember2020-04-012020-06-300000789460us-gaap:NondesignatedMemberus-gaap:CommodityContractMember2021-01-012021-06-300000789460us-gaap:NondesignatedMemberus-gaap:CommodityContractMember2020-01-012020-06-300000789460us-g</w:t>
      </w:r>
      <w:r>
        <w:rPr>
          <w:rFonts w:eastAsia="Times New Roman"/>
          <w:vanish/>
        </w:rPr>
        <w:t>aap:SalesMemberus-gaap:NondesignatedMemberus-gaap:ForeignExchangeContractMember2021-04-012021-06-300000789460us-gaap:SalesMemberus-gaap:NondesignatedMemberus-gaap:ForeignExchangeContractMember2020-04-012020-06-300000789460us-gaap:SalesMemberus-gaap:Nondesi</w:t>
      </w:r>
      <w:r>
        <w:rPr>
          <w:rFonts w:eastAsia="Times New Roman"/>
          <w:vanish/>
        </w:rPr>
        <w:t>gnatedMemberus-gaap:ForeignExchangeContractMember2021-01-012021-06-300000789460us-gaap:SalesMemberus-gaap:NondesignatedMemberus-gaap:ForeignExchangeContractMember2020-01-012020-06-300000789460us-gaap:NondesignatedMemberus-gaap:ForeignExchangeContractMember</w:t>
      </w:r>
      <w:r>
        <w:rPr>
          <w:rFonts w:eastAsia="Times New Roman"/>
          <w:vanish/>
        </w:rPr>
        <w:t>int:InterestExpenseAndOtherFinancingCostsMember2021-04-012021-06-300000789460us-gaap:NondesignatedMemberus-gaap:ForeignExchangeContractMemberint:InterestExpenseAndOtherFinancingCostsMember2020-04-012020-06-300000789460us-gaap:NondesignatedMemberus-gaap:For</w:t>
      </w:r>
      <w:r>
        <w:rPr>
          <w:rFonts w:eastAsia="Times New Roman"/>
          <w:vanish/>
        </w:rPr>
        <w:t>eignExchangeContractMemberint:InterestExpenseAndOtherFinancingCostsMember2021-01-012021-06-300000789460us-gaap:NondesignatedMemberus-gaap:ForeignExchangeContractMemberint:InterestExpenseAndOtherFinancingCostsMember2020-01-012020-06-300000789460us-gaap:Nond</w:t>
      </w:r>
      <w:r>
        <w:rPr>
          <w:rFonts w:eastAsia="Times New Roman"/>
          <w:vanish/>
        </w:rPr>
        <w:t>esignatedMemberus-gaap:ForeignExchangeContractMember2021-04-012021-06-300000789460us-gaap:NondesignatedMemberus-gaap:ForeignExchangeContractMember2020-04-012020-06-300000789460us-gaap:NondesignatedMemberus-gaap:ForeignExchangeContractMember2021-01-012021-0</w:t>
      </w:r>
      <w:r>
        <w:rPr>
          <w:rFonts w:eastAsia="Times New Roman"/>
          <w:vanish/>
        </w:rPr>
        <w:t>6-300000789460us-gaap:NondesignatedMemberus-gaap:ForeignExchangeContractMember2020-01-012020-06-300000789460us-gaap:NondesignatedMember2021-04-012021-06-300000789460us-gaap:NondesignatedMember2020-04-012020-06-300000789460us-gaap:NondesignatedMember2021-01</w:t>
      </w:r>
      <w:r>
        <w:rPr>
          <w:rFonts w:eastAsia="Times New Roman"/>
          <w:vanish/>
        </w:rPr>
        <w:t>-012021-06-300000789460us-gaap:NondesignatedMember2020-01-012020-06-300000789460us-gaap:SeniorNotesMemberint:TermLoansMember2021-06-300000789460us-gaap:SeniorNotesMemberint:TermLoansMember2020-12-310000789460int:OtherDebtMember2021-06-300000789460int:Other</w:t>
      </w:r>
      <w:r>
        <w:rPr>
          <w:rFonts w:eastAsia="Times New Roman"/>
          <w:vanish/>
        </w:rPr>
        <w:t>DebtMember2020-12-310000789460us-gaap:FairValueInputsLevel1Memberus-gaap:CommodityContractMemberus-gaap:FairValueMeasurementsRecurringMember2021-06-300000789460us-gaap:FairValueInputsLevel2Memberus-gaap:CommodityContractMemberus-gaap:FairValueMeasurementsR</w:t>
      </w:r>
      <w:r>
        <w:rPr>
          <w:rFonts w:eastAsia="Times New Roman"/>
          <w:vanish/>
        </w:rPr>
        <w:t>ecurringMember2021-06-300000789460us-gaap:FairValueInputsLevel3Memberus-gaap:CommodityContractMemberus-gaap:FairValueMeasurementsRecurringMember2021-06-300000789460us-gaap:CommodityContractMemberus-gaap:FairValueMeasurementsRecurringMember2021-06-300000789</w:t>
      </w:r>
      <w:r>
        <w:rPr>
          <w:rFonts w:eastAsia="Times New Roman"/>
          <w:vanish/>
        </w:rPr>
        <w:t>460us-gaap:FairValueInputsLevel1Memberus-gaap:ForeignExchangeContractMemberus-gaap:FairValueMeasurementsRecurringMember2021-06-300000789460us-gaap:FairValueInputsLevel2Memberus-gaap:ForeignExchangeContractMemberus-gaap:FairValueMeasurementsRecurringMember2</w:t>
      </w:r>
      <w:r>
        <w:rPr>
          <w:rFonts w:eastAsia="Times New Roman"/>
          <w:vanish/>
        </w:rPr>
        <w:t>021-06-300000789460us-gaap:FairValueInputsLevel3Memberus-gaap:ForeignExchangeContractMemberus-gaap:FairValueMeasurementsRecurringMember2021-06-300000789460us-gaap:ForeignExchangeContractMemberus-gaap:FairValueMeasurementsRecurringMember2021-06-300000789460</w:t>
      </w:r>
      <w:r>
        <w:rPr>
          <w:rFonts w:eastAsia="Times New Roman"/>
          <w:vanish/>
        </w:rPr>
        <w:t>us-gaap:FairValueInputsLevel1Memberus-gaap:FairValueMeasurementsRecurringMemberus-gaap:InterestRateContractMember2021-06-300000789460us-gaap:FairValueInputsLevel2Memberus-gaap:FairValueMeasurementsRecurringMemberus-gaap:InterestRateContractMember2021-06-30</w:t>
      </w:r>
      <w:r>
        <w:rPr>
          <w:rFonts w:eastAsia="Times New Roman"/>
          <w:vanish/>
        </w:rPr>
        <w:t>0000789460us-gaap:FairValueInputsLevel3Memberus-gaap:FairValueMeasurementsRecurringMemberus-gaap:InterestRateContractMember2021-06-300000789460us-gaap:FairValueMeasurementsRecurringMemberus-gaap:InterestRateContractMember2021-06-300000789460us-gaap:CashSur</w:t>
      </w:r>
      <w:r>
        <w:rPr>
          <w:rFonts w:eastAsia="Times New Roman"/>
          <w:vanish/>
        </w:rPr>
        <w:t>renderValueMemberus-gaap:FairValueInputsLevel1Memberus-gaap:FairValueMeasurementsRecurringMember2021-06-300000789460us-gaap:CashSurrenderValueMemberus-gaap:FairValueInputsLevel2Memberus-gaap:FairValueMeasurementsRecurringMember2021-06-300000789460us-gaap:C</w:t>
      </w:r>
      <w:r>
        <w:rPr>
          <w:rFonts w:eastAsia="Times New Roman"/>
          <w:vanish/>
        </w:rPr>
        <w:t>ashSurrenderValueMemberus-gaap:FairValueInputsLevel3Memberus-gaap:FairValueMeasurementsRecurringMember2021-06-300000789460us-gaap:CashSurrenderValueMemberus-gaap:FairValueMeasurementsRecurringMember2021-06-300000789460us-gaap:FairValueInputsLevel1Memberus-</w:t>
      </w:r>
      <w:r>
        <w:rPr>
          <w:rFonts w:eastAsia="Times New Roman"/>
          <w:vanish/>
        </w:rPr>
        <w:t>gaap:FairValueMeasurementsRecurringMember2021-06-300000789460us-gaap:FairValueInputsLevel2Memberus-gaap:FairValueMeasurementsRecurringMember2021-06-300000789460us-gaap:FairValueInputsLevel3Memberus-gaap:FairValueMeasurementsRecurringMember2021-06-300000789</w:t>
      </w:r>
      <w:r>
        <w:rPr>
          <w:rFonts w:eastAsia="Times New Roman"/>
          <w:vanish/>
        </w:rPr>
        <w:t>460us-gaap:FairValueMeasurementsRecurringMember2021-06-300000789460us-gaap:FairValueInputsLevel1Memberus-gaap:CommodityContractMemberus-gaap:FairValueMeasurementsRecurringMember2020-12-310000789460us-gaap:FairValueInputsLevel2Memberus-gaap:CommodityContrac</w:t>
      </w:r>
      <w:r>
        <w:rPr>
          <w:rFonts w:eastAsia="Times New Roman"/>
          <w:vanish/>
        </w:rPr>
        <w:t>tMemberus-gaap:FairValueMeasurementsRecurringMember2020-12-310000789460us-gaap:FairValueInputsLevel3Memberus-gaap:CommodityContractMemberus-gaap:FairValueMeasurementsRecurringMember2020-12-310000789460us-gaap:CommodityContractMemberus-gaap:FairValueMeasure</w:t>
      </w:r>
      <w:r>
        <w:rPr>
          <w:rFonts w:eastAsia="Times New Roman"/>
          <w:vanish/>
        </w:rPr>
        <w:t>mentsRecurringMember2020-12-310000789460us-gaap:FairValueInputsLevel1Memberus-gaap:ForeignExchangeContractMemberus-gaap:FairValueMeasurementsRecurringMember2020-12-310000789460us-gaap:FairValueInputsLevel2Memberus-gaap:ForeignExchangeContractMemberus-gaap:</w:t>
      </w:r>
      <w:r>
        <w:rPr>
          <w:rFonts w:eastAsia="Times New Roman"/>
          <w:vanish/>
        </w:rPr>
        <w:t>FairValueMeasurementsRecurringMember2020-12-310000789460us-gaap:FairValueInputsLevel3Memberus-gaap:ForeignExchangeContractMemberus-gaap:FairValueMeasurementsRecurringMember2020-12-310000789460us-gaap:ForeignExchangeContractMemberus-gaap:FairValueMeasuremen</w:t>
      </w:r>
      <w:r>
        <w:rPr>
          <w:rFonts w:eastAsia="Times New Roman"/>
          <w:vanish/>
        </w:rPr>
        <w:t>tsRecurringMember2020-12-310000789460us-gaap:CashSurrenderValueMemberus-gaap:FairValueInputsLevel1Memberus-gaap:FairValueMeasurementsRecurringMember2020-12-310000789460us-gaap:CashSurrenderValueMemberus-gaap:FairValueInputsLevel2Memberus-gaap:FairValueMeas</w:t>
      </w:r>
      <w:r>
        <w:rPr>
          <w:rFonts w:eastAsia="Times New Roman"/>
          <w:vanish/>
        </w:rPr>
        <w:t>urementsRecurringMember2020-12-310000789460us-gaap:CashSurrenderValueMemberus-gaap:FairValueInputsLevel3Memberus-gaap:FairValueMeasurementsRecurringMember2020-12-310000789460us-gaap:CashSurrenderValueMemberus-gaap:FairValueMeasurementsRecurringMember2020-1</w:t>
      </w:r>
      <w:r>
        <w:rPr>
          <w:rFonts w:eastAsia="Times New Roman"/>
          <w:vanish/>
        </w:rPr>
        <w:t>2-310000789460us-gaap:FairValueInputsLevel1Memberus-gaap:FairValueMeasurementsRecurringMember2020-12-310000789460us-gaap:FairValueInputsLevel2Memberus-gaap:FairValueMeasurementsRecurringMember2020-12-310000789460us-gaap:FairValueInputsLevel3Memberus-gaap:F</w:t>
      </w:r>
      <w:r>
        <w:rPr>
          <w:rFonts w:eastAsia="Times New Roman"/>
          <w:vanish/>
        </w:rPr>
        <w:t>airValueMeasurementsRecurringMember2020-12-310000789460us-gaap:FairValueMeasurementsRecurringMember2020-12-310000789460us-gaap:FairValueInputsLevel1Memberus-gaap:FairValueMeasurementsRecurringMemberus-gaap:InterestRateContractMember2020-12-310000789460us-g</w:t>
      </w:r>
      <w:r>
        <w:rPr>
          <w:rFonts w:eastAsia="Times New Roman"/>
          <w:vanish/>
        </w:rPr>
        <w:t>aap:FairValueInputsLevel2Memberus-gaap:FairValueMeasurementsRecurringMemberus-gaap:InterestRateContractMember2020-12-310000789460us-gaap:FairValueInputsLevel3Memberus-gaap:FairValueMeasurementsRecurringMemberus-gaap:InterestRateContractMember2020-12-310000</w:t>
      </w:r>
      <w:r>
        <w:rPr>
          <w:rFonts w:eastAsia="Times New Roman"/>
          <w:vanish/>
        </w:rPr>
        <w:t>789460us-gaap:FairValueMeasurementsRecurringMemberus-gaap:InterestRateContractMember2020-12-310000789460us-gaap:CommodityContractMember2021-06-300000789460us-gaap:InterestRateContractMember2021-06-300000789460us-gaap:ForeignExchangeContractMember2021-06-30</w:t>
      </w:r>
      <w:r>
        <w:rPr>
          <w:rFonts w:eastAsia="Times New Roman"/>
          <w:vanish/>
        </w:rPr>
        <w:t>0000789460us-gaap:CommodityContractMember2020-12-310000789460us-gaap:ForeignExchangeContractMember2020-12-310000789460us-gaap:InterestRateContractMember2020-12-310000789460int:LargestCounterpartyMemberint:CreditExposureMemberus-gaap:CreditConcentrationRisk</w:t>
      </w:r>
      <w:r>
        <w:rPr>
          <w:rFonts w:eastAsia="Times New Roman"/>
          <w:vanish/>
        </w:rPr>
        <w:t>Member2021-06-300000789460srt:AsiaPacificMemberint:AviationSegmentMember2021-04-012021-06-300000789460srt:AsiaPacificMemberint:AviationSegmentMember2020-04-012020-06-300000789460srt:AsiaPacificMemberint:AviationSegmentMember2021-01-012021-06-300000789460sr</w:t>
      </w:r>
      <w:r>
        <w:rPr>
          <w:rFonts w:eastAsia="Times New Roman"/>
          <w:vanish/>
        </w:rPr>
        <w:t>t:AsiaPacificMemberint:AviationSegmentMember2020-01-012020-06-300000789460srt:AsiaPacificMemberint:LandSegmentMember2021-04-012021-06-300000789460srt:AsiaPacificMemberint:LandSegmentMember2020-04-012020-06-300000789460srt:AsiaPacificMemberint:LandSegmentMe</w:t>
      </w:r>
      <w:r>
        <w:rPr>
          <w:rFonts w:eastAsia="Times New Roman"/>
          <w:vanish/>
        </w:rPr>
        <w:t>mber2021-01-012021-06-300000789460srt:AsiaPacificMemberint:LandSegmentMember2020-01-012020-06-300000789460int:MarineSegmentMembersrt:AsiaPacificMember2021-04-012021-06-300000789460int:MarineSegmentMembersrt:AsiaPacificMember2020-04-012020-06-300000789460in</w:t>
      </w:r>
      <w:r>
        <w:rPr>
          <w:rFonts w:eastAsia="Times New Roman"/>
          <w:vanish/>
        </w:rPr>
        <w:t>t:MarineSegmentMembersrt:AsiaPacificMember2021-01-012021-06-300000789460int:MarineSegmentMembersrt:AsiaPacificMember2020-01-012020-06-300000789460srt:AsiaPacificMember2021-04-012021-06-300000789460srt:AsiaPacificMember2020-04-012020-06-300000789460srt:Asia</w:t>
      </w:r>
      <w:r>
        <w:rPr>
          <w:rFonts w:eastAsia="Times New Roman"/>
          <w:vanish/>
        </w:rPr>
        <w:t>PacificMember2021-01-012021-06-300000789460srt:AsiaPacificMember2020-01-012020-06-300000789460us-gaap:EMEAMemberint:AviationSegmentMember2021-04-012021-06-300000789460us-gaap:EMEAMemberint:AviationSegmentMember2020-04-012020-06-300000789460us-gaap:EMEAMemb</w:t>
      </w:r>
      <w:r>
        <w:rPr>
          <w:rFonts w:eastAsia="Times New Roman"/>
          <w:vanish/>
        </w:rPr>
        <w:t>erint:AviationSegmentMember2021-01-012021-06-300000789460us-gaap:EMEAMemberint:AviationSegmentMember2020-01-012020-06-300000789460us-gaap:EMEAMemberint:LandSegmentMember2021-04-012021-06-300000789460us-gaap:EMEAMemberint:LandSegmentMember2020-04-012020-06-</w:t>
      </w:r>
      <w:r>
        <w:rPr>
          <w:rFonts w:eastAsia="Times New Roman"/>
          <w:vanish/>
        </w:rPr>
        <w:t>300000789460us-gaap:EMEAMemberint:LandSegmentMember2021-01-012021-06-300000789460us-gaap:EMEAMemberint:LandSegmentMember2020-01-012020-06-300000789460us-gaap:EMEAMemberint:MarineSegmentMember2021-04-012021-06-300000789460us-gaap:EMEAMemberint:MarineSegment</w:t>
      </w:r>
      <w:r>
        <w:rPr>
          <w:rFonts w:eastAsia="Times New Roman"/>
          <w:vanish/>
        </w:rPr>
        <w:t>Member2020-04-012020-06-300000789460us-gaap:EMEAMemberint:MarineSegmentMember2021-01-012021-06-300000789460us-gaap:EMEAMemberint:MarineSegmentMember2020-01-012020-06-300000789460us-gaap:EMEAMember2021-04-012021-06-300000789460us-gaap:EMEAMember2020-04-0120</w:t>
      </w:r>
      <w:r>
        <w:rPr>
          <w:rFonts w:eastAsia="Times New Roman"/>
          <w:vanish/>
        </w:rPr>
        <w:t>20-06-300000789460us-gaap:EMEAMember2021-01-012021-06-300000789460us-gaap:EMEAMember2020-01-012020-06-300000789460int:AviationSegmentMembersrt:LatinAmericaMember2021-04-012021-06-300000789460int:AviationSegmentMembersrt:LatinAmericaMember2020-04-012020-06-</w:t>
      </w:r>
      <w:r>
        <w:rPr>
          <w:rFonts w:eastAsia="Times New Roman"/>
          <w:vanish/>
        </w:rPr>
        <w:t>300000789460int:AviationSegmentMembersrt:LatinAmericaMember2021-01-012021-06-300000789460int:AviationSegmentMembersrt:LatinAmericaMember2020-01-012020-06-300000789460srt:LatinAmericaMemberint:LandSegmentMember2021-04-012021-06-300000789460srt:LatinAmericaM</w:t>
      </w:r>
      <w:r>
        <w:rPr>
          <w:rFonts w:eastAsia="Times New Roman"/>
          <w:vanish/>
        </w:rPr>
        <w:t>emberint:LandSegmentMember2020-04-012020-06-300000789460srt:LatinAmericaMemberint:LandSegmentMember2021-01-012021-06-300000789460srt:LatinAmericaMemberint:LandSegmentMember2020-01-012020-06-300000789460int:MarineSegmentMembersrt:LatinAmericaMember2021-04-0</w:t>
      </w:r>
      <w:r>
        <w:rPr>
          <w:rFonts w:eastAsia="Times New Roman"/>
          <w:vanish/>
        </w:rPr>
        <w:t>12021-06-300000789460int:MarineSegmentMembersrt:LatinAmericaMember2020-04-012020-06-300000789460int:MarineSegmentMembersrt:LatinAmericaMember2021-01-012021-06-300000789460int:MarineSegmentMembersrt:LatinAmericaMember2020-01-012020-06-300000789460srt:LatinA</w:t>
      </w:r>
      <w:r>
        <w:rPr>
          <w:rFonts w:eastAsia="Times New Roman"/>
          <w:vanish/>
        </w:rPr>
        <w:t>mericaMember2021-04-012021-06-300000789460srt:LatinAmericaMember2020-04-012020-06-300000789460srt:LatinAmericaMember2021-01-012021-06-300000789460srt:LatinAmericaMember2020-01-012020-06-300000789460int:AviationSegmentMembersrt:NorthAmericaMember2021-04-012</w:t>
      </w:r>
      <w:r>
        <w:rPr>
          <w:rFonts w:eastAsia="Times New Roman"/>
          <w:vanish/>
        </w:rPr>
        <w:t>021-06-300000789460int:AviationSegmentMembersrt:NorthAmericaMember2020-04-012020-06-300000789460int:AviationSegmentMembersrt:NorthAmericaMember2021-01-012021-06-300000789460int:AviationSegmentMembersrt:NorthAmericaMember2020-01-012020-06-300000789460srt:No</w:t>
      </w:r>
      <w:r>
        <w:rPr>
          <w:rFonts w:eastAsia="Times New Roman"/>
          <w:vanish/>
        </w:rPr>
        <w:t>rthAmericaMemberint:LandSegmentMember2021-04-012021-06-300000789460srt:NorthAmericaMemberint:LandSegmentMember2020-04-012020-06-300000789460srt:NorthAmericaMemberint:LandSegmentMember2021-01-012021-06-300000789460srt:NorthAmericaMemberint:LandSegmentMember</w:t>
      </w:r>
      <w:r>
        <w:rPr>
          <w:rFonts w:eastAsia="Times New Roman"/>
          <w:vanish/>
        </w:rPr>
        <w:t>2020-01-012020-06-300000789460int:MarineSegmentMembersrt:NorthAmericaMember2021-04-012021-06-300000789460int:MarineSegmentMembersrt:NorthAmericaMember2020-04-012020-06-300000789460int:MarineSegmentMembersrt:NorthAmericaMember2021-01-012021-06-300000789460i</w:t>
      </w:r>
      <w:r>
        <w:rPr>
          <w:rFonts w:eastAsia="Times New Roman"/>
          <w:vanish/>
        </w:rPr>
        <w:t>nt:MarineSegmentMembersrt:NorthAmericaMember2020-01-012020-06-300000789460srt:NorthAmericaMember2021-04-012021-06-300000789460srt:NorthAmericaMember2020-04-012020-06-300000789460srt:NorthAmericaMember2021-01-012021-06-300000789460srt:NorthAmericaMember2020</w:t>
      </w:r>
      <w:r>
        <w:rPr>
          <w:rFonts w:eastAsia="Times New Roman"/>
          <w:vanish/>
        </w:rPr>
        <w:t>-01-012020-06-300000789460int:DanishTaxAuthorityMemberus-gaap:ForeignCountryMemberus-gaap:TaxYear2013Member2021-01-012021-01-31iso4217:DKK0000789460int:DanishTaxAuthorityMemberus-gaap:ForeignCountryMemberus-gaap:TaxYear2014Member2021-01-012021-01-310000789</w:t>
      </w:r>
      <w:r>
        <w:rPr>
          <w:rFonts w:eastAsia="Times New Roman"/>
          <w:vanish/>
        </w:rPr>
        <w:t>460int:DanishTaxAuthorityMemberus-gaap:TaxYear2015Memberus-gaap:ForeignCountryMember2021-04-282021-04-280000789460int:TaxAuthoritySouthKoreaSRTOMemberus-gaap:ForeignCountryMemberint:TaxAuthorityAssessmentMember2018-01-012018-03-31iso4217:KRWint:segment0000</w:t>
      </w:r>
      <w:r>
        <w:rPr>
          <w:rFonts w:eastAsia="Times New Roman"/>
          <w:vanish/>
        </w:rPr>
        <w:t>789460int:AviationSegmentMember2021-04-012021-06-300000789460int:AviationSegmentMember2020-04-012020-06-300000789460int:AviationSegmentMember2021-01-012021-06-300000789460int:AviationSegmentMember2020-01-012020-06-300000789460int:LandSegmentMember2021-04-0</w:t>
      </w:r>
      <w:r>
        <w:rPr>
          <w:rFonts w:eastAsia="Times New Roman"/>
          <w:vanish/>
        </w:rPr>
        <w:t>12021-06-300000789460int:LandSegmentMember2020-04-012020-06-300000789460int:LandSegmentMember2021-01-012021-06-300000789460int:LandSegmentMember2020-01-012020-06-300000789460int:MarineSegmentMember2021-04-012021-06-300000789460int:MarineSegmentMember2020-0</w:t>
      </w:r>
      <w:r>
        <w:rPr>
          <w:rFonts w:eastAsia="Times New Roman"/>
          <w:vanish/>
        </w:rPr>
        <w:t>4-012020-06-300000789460int:MarineSegmentMember2021-01-012021-06-300000789460int:MarineSegmentMember2020-01-012020-06-300000789460us-gaap:OperatingSegmentsMemberint:AviationSegmentMember2021-04-012021-06-300000789460us-gaap:OperatingSegmentsMemberint:Aviat</w:t>
      </w:r>
      <w:r>
        <w:rPr>
          <w:rFonts w:eastAsia="Times New Roman"/>
          <w:vanish/>
        </w:rPr>
        <w:t>ionSegmentMember2020-04-012020-06-300000789460us-gaap:OperatingSegmentsMemberint:AviationSegmentMember2021-01-012021-06-300000789460us-gaap:OperatingSegmentsMemberint:AviationSegmentMember2020-01-012020-06-300000789460us-gaap:OperatingSegmentsMemberint:Lan</w:t>
      </w:r>
      <w:r>
        <w:rPr>
          <w:rFonts w:eastAsia="Times New Roman"/>
          <w:vanish/>
        </w:rPr>
        <w:t>dSegmentMember2021-04-012021-06-300000789460us-gaap:OperatingSegmentsMemberint:LandSegmentMember2020-04-012020-06-300000789460us-gaap:OperatingSegmentsMemberint:LandSegmentMember2021-01-012021-06-300000789460us-gaap:OperatingSegmentsMemberint:LandSegmentMe</w:t>
      </w:r>
      <w:r>
        <w:rPr>
          <w:rFonts w:eastAsia="Times New Roman"/>
          <w:vanish/>
        </w:rPr>
        <w:t>mber2020-01-012020-06-300000789460us-gaap:OperatingSegmentsMemberint:MarineSegmentMember2021-04-012021-06-300000789460us-gaap:OperatingSegmentsMemberint:MarineSegmentMember2020-04-012020-06-300000789460us-gaap:OperatingSegmentsMemberint:MarineSegmentMember</w:t>
      </w:r>
      <w:r>
        <w:rPr>
          <w:rFonts w:eastAsia="Times New Roman"/>
          <w:vanish/>
        </w:rPr>
        <w:t>2021-01-012021-06-300000789460us-gaap:OperatingSegmentsMemberint:MarineSegmentMember2020-01-012020-06-300000789460us-gaap:CorporateNonSegmentMember2021-04-012021-06-300000789460us-gaap:CorporateNonSegmentMember2020-04-012020-06-300000789460us-gaap:Corporat</w:t>
      </w:r>
      <w:r>
        <w:rPr>
          <w:rFonts w:eastAsia="Times New Roman"/>
          <w:vanish/>
        </w:rPr>
        <w:t>eNonSegmentMember2021-01-012021-06-300000789460us-gaap:CorporateNonSegmentMember2020-01-012020-06-300000789460int:AviationSegmentMember2021-06-300000789460int:AviationSegmentMember2020-12-310000789460int:LandSegmentMember2021-06-300000789460int:LandSegment</w:t>
      </w:r>
      <w:r>
        <w:rPr>
          <w:rFonts w:eastAsia="Times New Roman"/>
          <w:vanish/>
        </w:rPr>
        <w:t>Member2020-12-310000789460int:MarineSegmentMember2021-06-300000789460int:MarineSegmentMember2020-12-310000789460us-gaap:OperatingSegmentsMemberint:AviationSegmentMember2021-06-300000789460us-gaap:OperatingSegmentsMemberint:AviationSegmentMember2020-12-3100</w:t>
      </w:r>
      <w:r>
        <w:rPr>
          <w:rFonts w:eastAsia="Times New Roman"/>
          <w:vanish/>
        </w:rPr>
        <w:t>00789460us-gaap:OperatingSegmentsMemberint:LandSegmentMember2021-06-300000789460us-gaap:OperatingSegmentsMemberint:LandSegmentMember2020-12-310000789460us-gaap:OperatingSegmentsMemberint:MarineSegmentMember2021-06-300000789460us-gaap:OperatingSegmentsMembe</w:t>
      </w:r>
      <w:r>
        <w:rPr>
          <w:rFonts w:eastAsia="Times New Roman"/>
          <w:vanish/>
        </w:rPr>
        <w:t>rint:MarineSegmentMember2020-12-310000789460us-gaap:CorporateNonSegmentMember2021-06-300000789460us-gaap:CorporateNonSegmentMember2020-12-310000789460int:TaxAuthoritySouthKoreaSRTOMemberus-gaap:ForeignCountryMemberint:TaxAuthorityAssessmentMember2016-10-01</w:t>
      </w:r>
      <w:r>
        <w:rPr>
          <w:rFonts w:eastAsia="Times New Roman"/>
          <w:vanish/>
        </w:rPr>
        <w:t>2016-12-310000789460int:TaxAuthoritySouthKoreaSRTOMemberint:TaxAuthorityAdditionalAssessmentMemberus-gaap:ForeignCountryMember2017-04-012017-06-300000789460us-gaap:ForeignCountryMemberint:StateAndMunicipalTaxAuthoritiesAndSecretariatOfTheFederalRevenueBure</w:t>
      </w:r>
      <w:r>
        <w:rPr>
          <w:rFonts w:eastAsia="Times New Roman"/>
          <w:vanish/>
        </w:rPr>
        <w:t>auOfBrazilMemberint:TaxAuthorityAssessmentMember2021-06-30iso4217:BRL0000789460srt:MinimumMember2021-06-30</w:t>
      </w:r>
    </w:p>
    <w:p w:rsidR="00000000" w:rsidRDefault="00967E53">
      <w:pPr>
        <w:ind w:firstLine="360"/>
        <w:jc w:val="both"/>
        <w:divId w:val="106706450"/>
        <w:rPr>
          <w:rFonts w:eastAsia="Times New Roman"/>
        </w:rPr>
      </w:pPr>
    </w:p>
    <w:p w:rsidR="00000000" w:rsidRDefault="00967E53">
      <w:pPr>
        <w:ind w:firstLine="360"/>
        <w:jc w:val="center"/>
        <w:divId w:val="163932453"/>
        <w:rPr>
          <w:rFonts w:eastAsia="Times New Roman"/>
        </w:rPr>
      </w:pPr>
      <w:r>
        <w:rPr>
          <w:rFonts w:eastAsia="Times New Roman"/>
          <w:b/>
          <w:bCs/>
          <w:color w:val="000000"/>
          <w:sz w:val="36"/>
          <w:szCs w:val="36"/>
        </w:rPr>
        <w:t>UNITED STATES</w:t>
      </w:r>
    </w:p>
    <w:p w:rsidR="00000000" w:rsidRDefault="00967E53">
      <w:pPr>
        <w:ind w:firstLine="360"/>
        <w:jc w:val="center"/>
        <w:divId w:val="1273779536"/>
        <w:rPr>
          <w:rFonts w:eastAsia="Times New Roman"/>
        </w:rPr>
      </w:pPr>
      <w:r>
        <w:rPr>
          <w:rFonts w:eastAsia="Times New Roman"/>
          <w:b/>
          <w:bCs/>
          <w:color w:val="000000"/>
          <w:sz w:val="36"/>
          <w:szCs w:val="36"/>
        </w:rPr>
        <w:t>SECURITIES AND EXCHANGE COMMISSION</w:t>
      </w:r>
    </w:p>
    <w:p w:rsidR="00000000" w:rsidRDefault="00967E53">
      <w:pPr>
        <w:ind w:firstLine="360"/>
        <w:jc w:val="center"/>
        <w:divId w:val="1903102475"/>
        <w:rPr>
          <w:rFonts w:eastAsia="Times New Roman"/>
        </w:rPr>
      </w:pPr>
      <w:r>
        <w:rPr>
          <w:rFonts w:eastAsia="Times New Roman"/>
          <w:b/>
          <w:bCs/>
          <w:color w:val="000000"/>
          <w:sz w:val="20"/>
          <w:szCs w:val="20"/>
        </w:rPr>
        <w:t>Washington, DC 20549</w:t>
      </w:r>
    </w:p>
    <w:p w:rsidR="00000000" w:rsidRDefault="00967E53">
      <w:pPr>
        <w:ind w:firstLine="360"/>
        <w:jc w:val="center"/>
        <w:divId w:val="1134104768"/>
        <w:rPr>
          <w:rFonts w:eastAsia="Times New Roman"/>
        </w:rPr>
      </w:pPr>
      <w:r>
        <w:rPr>
          <w:rFonts w:eastAsia="Times New Roman"/>
          <w:color w:val="000000"/>
          <w:sz w:val="16"/>
          <w:szCs w:val="16"/>
        </w:rPr>
        <w:t> </w:t>
      </w:r>
    </w:p>
    <w:p w:rsidR="00000000" w:rsidRDefault="00967E53">
      <w:pPr>
        <w:ind w:firstLine="360"/>
        <w:jc w:val="center"/>
        <w:divId w:val="266160947"/>
        <w:rPr>
          <w:rFonts w:eastAsia="Times New Roman"/>
        </w:rPr>
      </w:pPr>
      <w:r>
        <w:rPr>
          <w:rFonts w:eastAsia="Times New Roman"/>
          <w:b/>
          <w:bCs/>
          <w:color w:val="000000"/>
          <w:sz w:val="36"/>
          <w:szCs w:val="36"/>
        </w:rPr>
        <w:t xml:space="preserve">FORM 10-Q </w:t>
      </w:r>
    </w:p>
    <w:p w:rsidR="00000000" w:rsidRDefault="00967E53">
      <w:pPr>
        <w:ind w:firstLine="720"/>
        <w:jc w:val="center"/>
        <w:divId w:val="180045543"/>
        <w:rPr>
          <w:rFonts w:eastAsia="Times New Roman"/>
        </w:rPr>
      </w:pPr>
      <w:r>
        <w:rPr>
          <w:rFonts w:eastAsia="Times New Roman"/>
          <w:color w:val="000000"/>
          <w:sz w:val="16"/>
          <w:szCs w:val="16"/>
        </w:rPr>
        <w:t> </w:t>
      </w:r>
    </w:p>
    <w:p w:rsidR="00000000" w:rsidRDefault="00967E53">
      <w:pPr>
        <w:ind w:firstLine="360"/>
        <w:jc w:val="both"/>
        <w:divId w:val="727848054"/>
        <w:rPr>
          <w:rFonts w:eastAsia="Times New Roman"/>
        </w:rPr>
      </w:pPr>
      <w:r>
        <w:rPr>
          <w:rFonts w:eastAsia="Times New Roman"/>
          <w:b/>
          <w:bCs/>
          <w:color w:val="000000"/>
          <w:sz w:val="20"/>
          <w:szCs w:val="20"/>
        </w:rPr>
        <w:t>(Mark One)</w:t>
      </w:r>
    </w:p>
    <w:p w:rsidR="00000000" w:rsidRDefault="00967E53">
      <w:pPr>
        <w:ind w:firstLine="720"/>
        <w:jc w:val="both"/>
        <w:divId w:val="1938322204"/>
        <w:rPr>
          <w:rFonts w:eastAsia="Times New Roman"/>
        </w:rPr>
      </w:pPr>
      <w:r>
        <w:rPr>
          <w:rFonts w:eastAsia="Times New Roman"/>
          <w:color w:val="000000"/>
          <w:sz w:val="16"/>
          <w:szCs w:val="16"/>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196"/>
        <w:gridCol w:w="36"/>
        <w:gridCol w:w="37"/>
        <w:gridCol w:w="7964"/>
        <w:gridCol w:w="36"/>
      </w:tblGrid>
      <w:tr w:rsidR="00000000">
        <w:trPr>
          <w:divId w:val="1966038412"/>
        </w:trPr>
        <w:tc>
          <w:tcPr>
            <w:tcW w:w="5" w:type="pct"/>
            <w:vAlign w:val="center"/>
            <w:hideMark/>
          </w:tcPr>
          <w:p w:rsidR="00000000" w:rsidRDefault="00967E53">
            <w:pPr>
              <w:ind w:firstLine="720"/>
              <w:jc w:val="both"/>
              <w:rPr>
                <w:rFonts w:eastAsia="Times New Roman"/>
              </w:rPr>
            </w:pPr>
          </w:p>
        </w:tc>
        <w:tc>
          <w:tcPr>
            <w:tcW w:w="12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481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966038412"/>
        </w:trPr>
        <w:tc>
          <w:tcPr>
            <w:tcW w:w="0" w:type="auto"/>
            <w:gridSpan w:val="3"/>
            <w:tcMar>
              <w:top w:w="30" w:type="dxa"/>
              <w:left w:w="20" w:type="dxa"/>
              <w:bottom w:w="30" w:type="dxa"/>
              <w:right w:w="20" w:type="dxa"/>
            </w:tcMar>
            <w:vAlign w:val="center"/>
            <w:hideMark/>
          </w:tcPr>
          <w:p w:rsidR="00000000" w:rsidRDefault="00967E53">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rsidR="00000000" w:rsidRDefault="00967E53">
      <w:pPr>
        <w:ind w:firstLine="720"/>
        <w:jc w:val="both"/>
        <w:divId w:val="1543176909"/>
        <w:rPr>
          <w:rFonts w:eastAsia="Times New Roman"/>
        </w:rPr>
      </w:pPr>
      <w:r>
        <w:rPr>
          <w:rFonts w:eastAsia="Times New Roman"/>
          <w:color w:val="000000"/>
          <w:sz w:val="16"/>
          <w:szCs w:val="16"/>
        </w:rPr>
        <w:t> </w:t>
      </w:r>
    </w:p>
    <w:p w:rsidR="00000000" w:rsidRDefault="00967E53">
      <w:pPr>
        <w:ind w:firstLine="360"/>
        <w:jc w:val="center"/>
        <w:divId w:val="181474561"/>
        <w:rPr>
          <w:rFonts w:eastAsia="Times New Roman"/>
        </w:rPr>
      </w:pPr>
      <w:r>
        <w:rPr>
          <w:rFonts w:eastAsia="Times New Roman"/>
          <w:color w:val="000000"/>
          <w:sz w:val="20"/>
          <w:szCs w:val="20"/>
        </w:rPr>
        <w:t>For the quarterly period ended June 30, 2021</w:t>
      </w:r>
    </w:p>
    <w:p w:rsidR="00000000" w:rsidRDefault="00967E53">
      <w:pPr>
        <w:ind w:firstLine="720"/>
        <w:jc w:val="center"/>
        <w:divId w:val="1462185915"/>
        <w:rPr>
          <w:rFonts w:eastAsia="Times New Roman"/>
        </w:rPr>
      </w:pPr>
    </w:p>
    <w:p w:rsidR="00000000" w:rsidRDefault="00967E53">
      <w:pPr>
        <w:ind w:firstLine="720"/>
        <w:jc w:val="center"/>
        <w:divId w:val="495849939"/>
        <w:rPr>
          <w:rFonts w:eastAsia="Times New Roman"/>
        </w:rPr>
      </w:pPr>
      <w:r>
        <w:rPr>
          <w:rFonts w:eastAsia="Times New Roman"/>
          <w:b/>
          <w:bCs/>
          <w:color w:val="000000"/>
          <w:sz w:val="20"/>
          <w:szCs w:val="20"/>
        </w:rPr>
        <w:t>OR</w:t>
      </w:r>
      <w:r>
        <w:rPr>
          <w:rFonts w:eastAsia="Times New Roman"/>
          <w:b/>
          <w:bCs/>
          <w:color w:val="000000"/>
        </w:rPr>
        <w:t> </w:t>
      </w:r>
    </w:p>
    <w:tbl>
      <w:tblPr>
        <w:tblW w:w="4875" w:type="pct"/>
        <w:tblCellMar>
          <w:top w:w="15" w:type="dxa"/>
          <w:left w:w="15" w:type="dxa"/>
          <w:bottom w:w="15" w:type="dxa"/>
          <w:right w:w="15" w:type="dxa"/>
        </w:tblCellMar>
        <w:tblLook w:val="04A0" w:firstRow="1" w:lastRow="0" w:firstColumn="1" w:lastColumn="0" w:noHBand="0" w:noVBand="1"/>
      </w:tblPr>
      <w:tblGrid>
        <w:gridCol w:w="37"/>
        <w:gridCol w:w="198"/>
        <w:gridCol w:w="36"/>
        <w:gridCol w:w="37"/>
        <w:gridCol w:w="7754"/>
        <w:gridCol w:w="36"/>
      </w:tblGrid>
      <w:tr w:rsidR="00000000">
        <w:trPr>
          <w:divId w:val="467433555"/>
        </w:trPr>
        <w:tc>
          <w:tcPr>
            <w:tcW w:w="5" w:type="pct"/>
            <w:vAlign w:val="center"/>
            <w:hideMark/>
          </w:tcPr>
          <w:p w:rsidR="00000000" w:rsidRDefault="00967E53">
            <w:pPr>
              <w:ind w:firstLine="720"/>
              <w:jc w:val="center"/>
              <w:rPr>
                <w:rFonts w:eastAsia="Times New Roman"/>
              </w:rPr>
            </w:pPr>
          </w:p>
        </w:tc>
        <w:tc>
          <w:tcPr>
            <w:tcW w:w="12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480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467433555"/>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b/>
                <w:bCs/>
                <w:color w:val="000000"/>
                <w:sz w:val="20"/>
                <w:szCs w:val="20"/>
              </w:rPr>
              <w:t>TRANSITION REPORT PURSUANT TO SECTION 13 OR 15(d) </w:t>
            </w:r>
            <w:r>
              <w:rPr>
                <w:rFonts w:eastAsia="Times New Roman"/>
                <w:b/>
                <w:bCs/>
                <w:color w:val="000000"/>
                <w:sz w:val="20"/>
                <w:szCs w:val="20"/>
              </w:rPr>
              <w:t>OF THE SECURITIES EXCHANGE ACT OF 1934</w:t>
            </w:r>
          </w:p>
        </w:tc>
      </w:tr>
    </w:tbl>
    <w:p w:rsidR="00000000" w:rsidRDefault="00967E53">
      <w:pPr>
        <w:ind w:firstLine="360"/>
        <w:jc w:val="both"/>
        <w:divId w:val="1104155197"/>
        <w:rPr>
          <w:rFonts w:eastAsia="Times New Roman"/>
        </w:rPr>
      </w:pPr>
      <w:r>
        <w:rPr>
          <w:rFonts w:eastAsia="Times New Roman"/>
          <w:color w:val="000000"/>
          <w:sz w:val="16"/>
          <w:szCs w:val="16"/>
        </w:rPr>
        <w:t> </w:t>
      </w:r>
    </w:p>
    <w:p w:rsidR="00000000" w:rsidRDefault="00967E53">
      <w:pPr>
        <w:ind w:firstLine="360"/>
        <w:jc w:val="center"/>
        <w:divId w:val="1142117038"/>
        <w:rPr>
          <w:rFonts w:eastAsia="Times New Roman"/>
        </w:rPr>
      </w:pPr>
      <w:r>
        <w:rPr>
          <w:rFonts w:eastAsia="Times New Roman"/>
          <w:color w:val="000000"/>
          <w:sz w:val="20"/>
          <w:szCs w:val="20"/>
        </w:rPr>
        <w:t>For the transition period from __________ to ___________   </w:t>
      </w:r>
      <w:r>
        <w:rPr>
          <w:rFonts w:eastAsia="Times New Roman"/>
          <w:b/>
          <w:bCs/>
          <w:color w:val="000000"/>
          <w:sz w:val="20"/>
          <w:szCs w:val="20"/>
        </w:rPr>
        <w:t>                  </w:t>
      </w:r>
    </w:p>
    <w:p w:rsidR="00000000" w:rsidRDefault="00967E53">
      <w:pPr>
        <w:ind w:firstLine="360"/>
        <w:jc w:val="center"/>
        <w:divId w:val="1856309428"/>
        <w:rPr>
          <w:rFonts w:eastAsia="Times New Roman"/>
        </w:rPr>
      </w:pPr>
      <w:r>
        <w:rPr>
          <w:rFonts w:eastAsia="Times New Roman"/>
          <w:color w:val="000000"/>
          <w:sz w:val="16"/>
          <w:szCs w:val="16"/>
        </w:rPr>
        <w:t> </w:t>
      </w:r>
    </w:p>
    <w:p w:rsidR="00000000" w:rsidRDefault="00967E53">
      <w:pPr>
        <w:ind w:firstLine="360"/>
        <w:jc w:val="center"/>
        <w:divId w:val="1677078595"/>
        <w:rPr>
          <w:rFonts w:eastAsia="Times New Roman"/>
        </w:rPr>
      </w:pPr>
      <w:r>
        <w:rPr>
          <w:rFonts w:eastAsia="Times New Roman"/>
          <w:b/>
          <w:bCs/>
          <w:color w:val="000000"/>
          <w:sz w:val="20"/>
          <w:szCs w:val="20"/>
        </w:rPr>
        <w:t xml:space="preserve">COMMISSION FILE NUMBER 001-09533 </w:t>
      </w:r>
    </w:p>
    <w:p w:rsidR="00000000" w:rsidRDefault="00967E53">
      <w:pPr>
        <w:ind w:firstLine="360"/>
        <w:jc w:val="center"/>
        <w:divId w:val="524950546"/>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67E53">
      <w:pPr>
        <w:ind w:firstLine="360"/>
        <w:jc w:val="center"/>
        <w:divId w:val="1833911795"/>
        <w:rPr>
          <w:rFonts w:eastAsia="Times New Roman"/>
        </w:rPr>
      </w:pPr>
      <w:r>
        <w:rPr>
          <w:rFonts w:eastAsia="Times New Roman"/>
          <w:b/>
          <w:bCs/>
          <w:color w:val="000000"/>
          <w:sz w:val="36"/>
          <w:szCs w:val="36"/>
        </w:rPr>
        <w:t>WORLD FUEL SERVICES CORPORATION</w:t>
      </w:r>
    </w:p>
    <w:p w:rsidR="00000000" w:rsidRDefault="00967E53">
      <w:pPr>
        <w:ind w:firstLine="360"/>
        <w:jc w:val="center"/>
        <w:divId w:val="200018650"/>
        <w:rPr>
          <w:rFonts w:eastAsia="Times New Roman"/>
        </w:rPr>
      </w:pPr>
      <w:r>
        <w:rPr>
          <w:rFonts w:eastAsia="Times New Roman"/>
          <w:color w:val="000000"/>
          <w:sz w:val="20"/>
          <w:szCs w:val="20"/>
        </w:rPr>
        <w:t>(Exact name of registrant as specified in its charter)</w:t>
      </w:r>
    </w:p>
    <w:tbl>
      <w:tblPr>
        <w:tblW w:w="4777" w:type="pct"/>
        <w:jc w:val="center"/>
        <w:tblCellMar>
          <w:top w:w="15" w:type="dxa"/>
          <w:left w:w="15" w:type="dxa"/>
          <w:bottom w:w="15" w:type="dxa"/>
          <w:right w:w="15" w:type="dxa"/>
        </w:tblCellMar>
        <w:tblLook w:val="04A0" w:firstRow="1" w:lastRow="0" w:firstColumn="1" w:lastColumn="0" w:noHBand="0" w:noVBand="1"/>
      </w:tblPr>
      <w:tblGrid>
        <w:gridCol w:w="40"/>
        <w:gridCol w:w="2035"/>
        <w:gridCol w:w="36"/>
        <w:gridCol w:w="37"/>
        <w:gridCol w:w="1117"/>
        <w:gridCol w:w="37"/>
        <w:gridCol w:w="37"/>
        <w:gridCol w:w="51"/>
        <w:gridCol w:w="37"/>
        <w:gridCol w:w="84"/>
        <w:gridCol w:w="247"/>
        <w:gridCol w:w="37"/>
        <w:gridCol w:w="36"/>
        <w:gridCol w:w="62"/>
        <w:gridCol w:w="36"/>
        <w:gridCol w:w="93"/>
        <w:gridCol w:w="555"/>
        <w:gridCol w:w="36"/>
        <w:gridCol w:w="92"/>
        <w:gridCol w:w="573"/>
        <w:gridCol w:w="36"/>
        <w:gridCol w:w="91"/>
        <w:gridCol w:w="440"/>
        <w:gridCol w:w="36"/>
        <w:gridCol w:w="41"/>
        <w:gridCol w:w="1978"/>
        <w:gridCol w:w="36"/>
      </w:tblGrid>
      <w:tr w:rsidR="00000000">
        <w:trPr>
          <w:divId w:val="1113785028"/>
          <w:jc w:val="center"/>
        </w:trPr>
        <w:tc>
          <w:tcPr>
            <w:tcW w:w="50" w:type="pct"/>
            <w:vAlign w:val="center"/>
            <w:hideMark/>
          </w:tcPr>
          <w:p w:rsidR="00000000" w:rsidRDefault="00967E53">
            <w:pPr>
              <w:ind w:firstLine="360"/>
              <w:jc w:val="center"/>
              <w:rPr>
                <w:rFonts w:eastAsia="Times New Roman"/>
              </w:rPr>
            </w:pPr>
          </w:p>
        </w:tc>
        <w:tc>
          <w:tcPr>
            <w:tcW w:w="134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6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7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14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84"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0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1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242"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131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113785028"/>
          <w:jc w:val="center"/>
        </w:trPr>
        <w:tc>
          <w:tcPr>
            <w:tcW w:w="0" w:type="auto"/>
            <w:gridSpan w:val="3"/>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b/>
                <w:bCs/>
                <w:color w:val="000000"/>
                <w:sz w:val="20"/>
                <w:szCs w:val="20"/>
              </w:rPr>
              <w:t>Florida</w:t>
            </w:r>
          </w:p>
        </w:tc>
        <w:tc>
          <w:tcPr>
            <w:tcW w:w="0" w:type="auto"/>
            <w:gridSpan w:val="12"/>
            <w:tcMar>
              <w:top w:w="30" w:type="dxa"/>
              <w:left w:w="20" w:type="dxa"/>
              <w:bottom w:w="30" w:type="dxa"/>
              <w:right w:w="20" w:type="dxa"/>
            </w:tcMar>
            <w:vAlign w:val="center"/>
            <w:hideMark/>
          </w:tcPr>
          <w:p w:rsidR="00000000" w:rsidRDefault="00967E53">
            <w:pPr>
              <w:spacing w:after="100"/>
              <w:jc w:val="right"/>
              <w:rPr>
                <w:rFonts w:eastAsia="Times New Roman"/>
              </w:rPr>
            </w:pPr>
            <w:r>
              <w:rPr>
                <w:rFonts w:eastAsia="Times New Roman"/>
                <w:b/>
                <w:bCs/>
                <w:color w:val="000000"/>
                <w:sz w:val="20"/>
                <w:szCs w:val="20"/>
              </w:rPr>
              <w:t>9800 N.W. 41st Street,</w:t>
            </w:r>
          </w:p>
        </w:tc>
        <w:tc>
          <w:tcPr>
            <w:tcW w:w="0" w:type="auto"/>
            <w:gridSpan w:val="3"/>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b/>
                <w:bCs/>
                <w:color w:val="000000"/>
                <w:sz w:val="20"/>
                <w:szCs w:val="20"/>
              </w:rPr>
              <w:t>Miami,</w:t>
            </w:r>
          </w:p>
        </w:tc>
        <w:tc>
          <w:tcPr>
            <w:tcW w:w="0" w:type="auto"/>
            <w:gridSpan w:val="3"/>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b/>
                <w:bCs/>
                <w:color w:val="000000"/>
                <w:sz w:val="20"/>
                <w:szCs w:val="20"/>
              </w:rPr>
              <w:t>Florida</w:t>
            </w:r>
          </w:p>
        </w:tc>
        <w:tc>
          <w:tcPr>
            <w:tcW w:w="0" w:type="auto"/>
            <w:gridSpan w:val="3"/>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b/>
                <w:bCs/>
                <w:color w:val="000000"/>
                <w:sz w:val="20"/>
                <w:szCs w:val="20"/>
              </w:rPr>
              <w:t>33178</w:t>
            </w:r>
          </w:p>
        </w:tc>
        <w:tc>
          <w:tcPr>
            <w:tcW w:w="0" w:type="auto"/>
            <w:gridSpan w:val="3"/>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b/>
                <w:bCs/>
                <w:color w:val="000000"/>
                <w:sz w:val="20"/>
                <w:szCs w:val="20"/>
              </w:rPr>
              <w:t>59-2459427</w:t>
            </w:r>
          </w:p>
        </w:tc>
      </w:tr>
      <w:tr w:rsidR="00000000">
        <w:trPr>
          <w:divId w:val="1113785028"/>
          <w:jc w:val="center"/>
        </w:trPr>
        <w:tc>
          <w:tcPr>
            <w:tcW w:w="0" w:type="auto"/>
            <w:gridSpan w:val="3"/>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color w:val="000000"/>
                <w:sz w:val="20"/>
                <w:szCs w:val="20"/>
              </w:rPr>
              <w:t>(State or other jurisdiction of</w:t>
            </w:r>
            <w:r>
              <w:rPr>
                <w:rFonts w:eastAsia="Times New Roman"/>
                <w:color w:val="000000"/>
                <w:sz w:val="20"/>
                <w:szCs w:val="20"/>
              </w:rPr>
              <w:br/>
              <w:t>incorporation or organization)</w:t>
            </w:r>
          </w:p>
        </w:tc>
        <w:tc>
          <w:tcPr>
            <w:tcW w:w="0" w:type="auto"/>
            <w:gridSpan w:val="21"/>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color w:val="000000"/>
                <w:sz w:val="20"/>
                <w:szCs w:val="20"/>
              </w:rPr>
              <w:t>(Address of Principal Executive Offices) (Zip Code)</w:t>
            </w:r>
          </w:p>
        </w:tc>
        <w:tc>
          <w:tcPr>
            <w:tcW w:w="0" w:type="auto"/>
            <w:gridSpan w:val="3"/>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color w:val="000000"/>
                <w:sz w:val="20"/>
                <w:szCs w:val="20"/>
              </w:rPr>
              <w:t>(I.R.S. Employer</w:t>
            </w:r>
            <w:r>
              <w:rPr>
                <w:rFonts w:eastAsia="Times New Roman"/>
                <w:color w:val="000000"/>
                <w:sz w:val="20"/>
                <w:szCs w:val="20"/>
              </w:rPr>
              <w:br/>
              <w:t>Identification No.)</w:t>
            </w:r>
          </w:p>
        </w:tc>
      </w:tr>
      <w:tr w:rsidR="00000000">
        <w:trPr>
          <w:divId w:val="1113785028"/>
          <w:jc w:val="center"/>
        </w:trPr>
        <w:tc>
          <w:tcPr>
            <w:tcW w:w="0" w:type="auto"/>
            <w:gridSpan w:val="3"/>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color w:val="000000"/>
                <w:sz w:val="20"/>
                <w:szCs w:val="20"/>
              </w:rPr>
              <w:t>Registrant’s telephone number, including area code:</w:t>
            </w:r>
          </w:p>
        </w:tc>
        <w:tc>
          <w:tcPr>
            <w:tcW w:w="0" w:type="auto"/>
            <w:gridSpan w:val="3"/>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color w:val="000000"/>
                <w:sz w:val="20"/>
                <w:szCs w:val="20"/>
              </w:rPr>
              <w:t> </w:t>
            </w:r>
          </w:p>
        </w:tc>
      </w:tr>
      <w:tr w:rsidR="00000000">
        <w:trPr>
          <w:divId w:val="1113785028"/>
          <w:jc w:val="center"/>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967E53">
            <w:pPr>
              <w:spacing w:after="100"/>
              <w:jc w:val="right"/>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b/>
                <w:bCs/>
                <w:color w:val="000000"/>
                <w:sz w:val="20"/>
                <w:szCs w:val="20"/>
              </w:rPr>
              <w:t>305</w:t>
            </w:r>
          </w:p>
        </w:tc>
        <w:tc>
          <w:tcPr>
            <w:tcW w:w="0" w:type="auto"/>
            <w:gridSpan w:val="3"/>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b/>
                <w:bCs/>
                <w:color w:val="000000"/>
                <w:sz w:val="20"/>
                <w:szCs w:val="20"/>
              </w:rPr>
              <w:t>)</w:t>
            </w:r>
          </w:p>
        </w:tc>
        <w:tc>
          <w:tcPr>
            <w:tcW w:w="0" w:type="auto"/>
            <w:gridSpan w:val="9"/>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b/>
                <w:bCs/>
                <w:color w:val="000000"/>
                <w:sz w:val="20"/>
                <w:szCs w:val="20"/>
              </w:rPr>
              <w:t>428-8000</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r>
      <w:tr w:rsidR="00000000">
        <w:trPr>
          <w:divId w:val="1113785028"/>
          <w:jc w:val="center"/>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21"/>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color w:val="000000"/>
                <w:sz w:val="20"/>
                <w:szCs w:val="20"/>
              </w:rPr>
              <w:t>Securities registered pursuant to Section 12(b) of the Act</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r>
      <w:tr w:rsidR="00000000">
        <w:trPr>
          <w:divId w:val="1113785028"/>
          <w:jc w:val="center"/>
        </w:trPr>
        <w:tc>
          <w:tcPr>
            <w:tcW w:w="0" w:type="auto"/>
            <w:gridSpan w:val="3"/>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color w:val="000000"/>
                <w:sz w:val="20"/>
                <w:szCs w:val="20"/>
              </w:rPr>
              <w:t>Title of each class</w:t>
            </w:r>
          </w:p>
        </w:tc>
        <w:tc>
          <w:tcPr>
            <w:tcW w:w="0" w:type="auto"/>
            <w:gridSpan w:val="21"/>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color w:val="000000"/>
                <w:sz w:val="20"/>
                <w:szCs w:val="20"/>
              </w:rPr>
              <w:t>Trading Symbol (s)</w:t>
            </w:r>
          </w:p>
        </w:tc>
        <w:tc>
          <w:tcPr>
            <w:tcW w:w="0" w:type="auto"/>
            <w:gridSpan w:val="3"/>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color w:val="000000"/>
                <w:sz w:val="20"/>
                <w:szCs w:val="20"/>
              </w:rPr>
              <w:t>Name of each exchange on which registered</w:t>
            </w:r>
          </w:p>
        </w:tc>
      </w:tr>
      <w:tr w:rsidR="00000000">
        <w:trPr>
          <w:divId w:val="1113785028"/>
          <w:jc w:val="center"/>
        </w:trPr>
        <w:tc>
          <w:tcPr>
            <w:tcW w:w="0" w:type="auto"/>
            <w:gridSpan w:val="3"/>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color w:val="000000"/>
                <w:sz w:val="20"/>
                <w:szCs w:val="20"/>
              </w:rPr>
              <w:lastRenderedPageBreak/>
              <w:t>Common Stock , $0.01 par value</w:t>
            </w:r>
          </w:p>
        </w:tc>
        <w:tc>
          <w:tcPr>
            <w:tcW w:w="0" w:type="auto"/>
            <w:gridSpan w:val="21"/>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color w:val="000000"/>
                <w:sz w:val="20"/>
                <w:szCs w:val="20"/>
              </w:rPr>
              <w:t>INT</w:t>
            </w:r>
          </w:p>
        </w:tc>
        <w:tc>
          <w:tcPr>
            <w:tcW w:w="0" w:type="auto"/>
            <w:gridSpan w:val="3"/>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color w:val="000000"/>
                <w:sz w:val="20"/>
                <w:szCs w:val="20"/>
              </w:rPr>
              <w:t>New York Stock Exchange</w:t>
            </w:r>
          </w:p>
        </w:tc>
      </w:tr>
    </w:tbl>
    <w:p w:rsidR="00000000" w:rsidRDefault="00967E53">
      <w:pPr>
        <w:ind w:firstLine="360"/>
        <w:jc w:val="both"/>
        <w:divId w:val="500706188"/>
        <w:rPr>
          <w:rFonts w:eastAsia="Times New Roman"/>
        </w:rPr>
      </w:pPr>
      <w:r>
        <w:rPr>
          <w:rFonts w:eastAsia="Times New Roman"/>
          <w:color w:val="000000"/>
          <w:sz w:val="20"/>
          <w:szCs w:val="20"/>
        </w:rPr>
        <w:t>Indicate by check mark whether the registrant: (1) has filed all reports required to be filed by Section 13 or 15(d) </w:t>
      </w:r>
      <w:r>
        <w:rPr>
          <w:rFonts w:eastAsia="Times New Roman"/>
          <w:color w:val="000000"/>
          <w:sz w:val="20"/>
          <w:szCs w:val="20"/>
        </w:rPr>
        <w:t xml:space="preserve">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967E53">
      <w:pPr>
        <w:ind w:firstLine="360"/>
        <w:jc w:val="both"/>
        <w:divId w:val="840778244"/>
        <w:rPr>
          <w:rFonts w:eastAsia="Times New Roman"/>
        </w:rPr>
      </w:pPr>
    </w:p>
    <w:p w:rsidR="00000000" w:rsidRDefault="00967E53">
      <w:pPr>
        <w:rPr>
          <w:rFonts w:eastAsia="Times New Roman"/>
        </w:rPr>
      </w:pPr>
      <w:r>
        <w:rPr>
          <w:rFonts w:eastAsia="Times New Roman"/>
        </w:rPr>
        <w:pict>
          <v:rect id="_x0000_i1026" style="width:0;height:1.5pt" o:hralign="center" o:hrstd="t" o:hr="t" fillcolor="#a0a0a0" stroked="f"/>
        </w:pict>
      </w:r>
    </w:p>
    <w:p w:rsidR="00000000" w:rsidRDefault="00967E53">
      <w:pPr>
        <w:ind w:firstLine="360"/>
        <w:jc w:val="both"/>
        <w:divId w:val="1540628684"/>
        <w:rPr>
          <w:rFonts w:eastAsia="Times New Roman"/>
        </w:rPr>
      </w:pPr>
    </w:p>
    <w:p w:rsidR="00000000" w:rsidRDefault="00967E53">
      <w:pPr>
        <w:ind w:firstLine="360"/>
        <w:jc w:val="both"/>
        <w:divId w:val="1747073309"/>
        <w:rPr>
          <w:rFonts w:eastAsia="Times New Roman"/>
        </w:rPr>
      </w:pPr>
      <w:r>
        <w:rPr>
          <w:rFonts w:eastAsia="Times New Roman"/>
          <w:color w:val="000000"/>
          <w:sz w:val="16"/>
          <w:szCs w:val="16"/>
        </w:rPr>
        <w:t> </w:t>
      </w:r>
      <w:r>
        <w:rPr>
          <w:rFonts w:eastAsia="Times New Roman"/>
          <w:color w:val="000000"/>
          <w:sz w:val="20"/>
          <w:szCs w:val="20"/>
        </w:rPr>
        <w:t>Indicate by check mark whether the registrant has submitted electronically every Interactive Data File required to be submitted pursuant to Rule 405 of Regulation S-T (§ 232.405 of this chapter) during the preceding 12 months (or</w:t>
      </w:r>
      <w:r>
        <w:rPr>
          <w:rFonts w:eastAsia="Times New Roman"/>
          <w:color w:val="000000"/>
          <w:sz w:val="20"/>
          <w:szCs w:val="20"/>
        </w:rPr>
        <w:t xml:space="preserve"> for such shorter period that the registrant was required to submit such files).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967E53">
      <w:pPr>
        <w:ind w:firstLine="360"/>
        <w:jc w:val="both"/>
        <w:divId w:val="897783270"/>
        <w:rPr>
          <w:rFonts w:eastAsia="Times New Roman"/>
        </w:rPr>
      </w:pPr>
      <w:r>
        <w:rPr>
          <w:rFonts w:eastAsia="Times New Roman"/>
          <w:color w:val="000000"/>
          <w:sz w:val="20"/>
          <w:szCs w:val="20"/>
        </w:rPr>
        <w:t>Indicate by check mark whether the registrant is a large accelerated filer, an accelerated filer, a non-accelerated filer, or a smaller reporting company. See the</w:t>
      </w:r>
      <w:r>
        <w:rPr>
          <w:rFonts w:eastAsia="Times New Roman"/>
          <w:color w:val="000000"/>
          <w:sz w:val="20"/>
          <w:szCs w:val="20"/>
        </w:rPr>
        <w:t xml:space="preserve"> definitions of “large accelerated filer,” “accelerated filer” and “smaller reporting company” in Rule 12b-2 of the Exchange Act. Large accelerated filer </w:t>
      </w:r>
      <w:r>
        <w:rPr>
          <w:rFonts w:ascii="Wingdings" w:eastAsia="Times New Roman" w:hAnsi="Wingdings"/>
          <w:color w:val="000000"/>
          <w:sz w:val="20"/>
          <w:szCs w:val="20"/>
        </w:rPr>
        <w:t>þ</w:t>
      </w:r>
      <w:r>
        <w:rPr>
          <w:rFonts w:eastAsia="Times New Roman"/>
          <w:color w:val="000000"/>
          <w:sz w:val="20"/>
          <w:szCs w:val="20"/>
        </w:rPr>
        <w:t xml:space="preserve">   Accelerated filer </w:t>
      </w:r>
      <w:r>
        <w:rPr>
          <w:rFonts w:ascii="Segoe UI Symbol" w:eastAsia="Times New Roman" w:hAnsi="Segoe UI Symbol" w:cs="Segoe UI Symbol"/>
          <w:color w:val="000000"/>
          <w:sz w:val="20"/>
          <w:szCs w:val="20"/>
        </w:rPr>
        <w:t>☐</w:t>
      </w:r>
      <w:r>
        <w:rPr>
          <w:rFonts w:eastAsia="Times New Roman"/>
          <w:color w:val="000000"/>
          <w:sz w:val="20"/>
          <w:szCs w:val="20"/>
        </w:rPr>
        <w:t xml:space="preserve">   Non-accelerated filer </w:t>
      </w:r>
      <w:r>
        <w:rPr>
          <w:rFonts w:ascii="Segoe UI Symbol" w:eastAsia="Times New Roman" w:hAnsi="Segoe UI Symbol" w:cs="Segoe UI Symbol"/>
          <w:color w:val="000000"/>
          <w:sz w:val="20"/>
          <w:szCs w:val="20"/>
        </w:rPr>
        <w:t>☐</w:t>
      </w:r>
      <w:r>
        <w:rPr>
          <w:rFonts w:eastAsia="Times New Roman"/>
          <w:color w:val="000000"/>
          <w:sz w:val="20"/>
          <w:szCs w:val="20"/>
        </w:rPr>
        <w:t xml:space="preserve">   Smaller reporting company </w:t>
      </w:r>
      <w:r>
        <w:rPr>
          <w:rFonts w:ascii="Segoe UI Symbol" w:eastAsia="Times New Roman" w:hAnsi="Segoe UI Symbol" w:cs="Segoe UI Symbol"/>
          <w:color w:val="000000"/>
          <w:sz w:val="20"/>
          <w:szCs w:val="20"/>
        </w:rPr>
        <w:t>☐</w:t>
      </w:r>
      <w:r>
        <w:rPr>
          <w:rFonts w:eastAsia="Times New Roman"/>
          <w:color w:val="000000"/>
          <w:sz w:val="20"/>
          <w:szCs w:val="20"/>
        </w:rPr>
        <w:t xml:space="preserve"> Emerging growth compan</w:t>
      </w:r>
      <w:r>
        <w:rPr>
          <w:rFonts w:eastAsia="Times New Roman"/>
          <w:color w:val="000000"/>
          <w:sz w:val="20"/>
          <w:szCs w:val="20"/>
        </w:rPr>
        <w:t xml:space="preserve">y </w:t>
      </w:r>
      <w:r>
        <w:rPr>
          <w:rFonts w:ascii="Segoe UI Symbol" w:eastAsia="Times New Roman" w:hAnsi="Segoe UI Symbol" w:cs="Segoe UI Symbol"/>
          <w:color w:val="000000"/>
          <w:sz w:val="20"/>
          <w:szCs w:val="20"/>
        </w:rPr>
        <w:t>☐</w:t>
      </w:r>
      <w:r>
        <w:rPr>
          <w:rFonts w:eastAsia="Times New Roman"/>
          <w:color w:val="000000"/>
          <w:sz w:val="20"/>
          <w:szCs w:val="20"/>
        </w:rPr>
        <w:t xml:space="preserve"> </w:t>
      </w:r>
    </w:p>
    <w:p w:rsidR="00000000" w:rsidRDefault="00967E53">
      <w:pPr>
        <w:ind w:firstLine="360"/>
        <w:jc w:val="both"/>
        <w:divId w:val="352918609"/>
        <w:rPr>
          <w:rFonts w:eastAsia="Times New Roman"/>
        </w:rPr>
      </w:pPr>
      <w:r>
        <w:rPr>
          <w:rFonts w:eastAsia="Times New Roman"/>
          <w:color w:val="000000"/>
          <w:sz w:val="16"/>
          <w:szCs w:val="16"/>
        </w:rPr>
        <w:t> </w:t>
      </w: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rsidR="00000000" w:rsidRDefault="00967E53">
      <w:pPr>
        <w:ind w:firstLine="360"/>
        <w:jc w:val="both"/>
        <w:divId w:val="1585186510"/>
        <w:rPr>
          <w:rFonts w:eastAsia="Times New Roman"/>
        </w:rPr>
      </w:pPr>
      <w:r>
        <w:rPr>
          <w:rFonts w:eastAsia="Times New Roman"/>
          <w:color w:val="000000"/>
          <w:sz w:val="20"/>
          <w:szCs w:val="20"/>
        </w:rPr>
        <w:t xml:space="preserve">Indicate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Wingdings" w:eastAsia="Times New Roman" w:hAnsi="Wingdings"/>
          <w:color w:val="000000"/>
          <w:sz w:val="20"/>
          <w:szCs w:val="20"/>
        </w:rPr>
        <w:t>þ</w:t>
      </w:r>
    </w:p>
    <w:p w:rsidR="00000000" w:rsidRDefault="00967E53">
      <w:pPr>
        <w:ind w:firstLine="360"/>
        <w:jc w:val="both"/>
        <w:divId w:val="493570709"/>
        <w:rPr>
          <w:rFonts w:eastAsia="Times New Roman"/>
        </w:rPr>
      </w:pPr>
      <w:r>
        <w:rPr>
          <w:rFonts w:eastAsia="Times New Roman"/>
          <w:color w:val="000000"/>
          <w:sz w:val="20"/>
          <w:szCs w:val="20"/>
        </w:rPr>
        <w:t>The registrant had a total of 63,502,254 shares of common stock, par value $0.01 per share, issued and outstanding as of July 2</w:t>
      </w:r>
      <w:r>
        <w:rPr>
          <w:rFonts w:eastAsia="Times New Roman"/>
          <w:color w:val="000000"/>
          <w:sz w:val="20"/>
          <w:szCs w:val="20"/>
        </w:rPr>
        <w:t>3, 2021.</w:t>
      </w:r>
    </w:p>
    <w:p w:rsidR="00000000" w:rsidRDefault="00967E53">
      <w:pPr>
        <w:ind w:firstLine="360"/>
        <w:jc w:val="both"/>
        <w:divId w:val="1487942388"/>
        <w:rPr>
          <w:rFonts w:eastAsia="Times New Roman"/>
        </w:rPr>
      </w:pPr>
    </w:p>
    <w:p w:rsidR="00000000" w:rsidRDefault="00967E53">
      <w:pPr>
        <w:ind w:firstLine="360"/>
        <w:jc w:val="both"/>
        <w:divId w:val="1677033376"/>
        <w:rPr>
          <w:rFonts w:eastAsia="Times New Roman"/>
        </w:rPr>
      </w:pPr>
    </w:p>
    <w:p w:rsidR="00000000" w:rsidRDefault="00967E53">
      <w:pPr>
        <w:rPr>
          <w:rFonts w:eastAsia="Times New Roman"/>
        </w:rPr>
      </w:pPr>
      <w:r>
        <w:rPr>
          <w:rFonts w:eastAsia="Times New Roman"/>
        </w:rPr>
        <w:pict>
          <v:rect id="_x0000_i1027" style="width:0;height:1.5pt" o:hralign="center" o:hrstd="t" o:hr="t" fillcolor="#a0a0a0" stroked="f"/>
        </w:pict>
      </w:r>
    </w:p>
    <w:p w:rsidR="00000000" w:rsidRDefault="00967E53">
      <w:pPr>
        <w:ind w:firstLine="360"/>
        <w:jc w:val="both"/>
        <w:divId w:val="393814675"/>
        <w:rPr>
          <w:rFonts w:eastAsia="Times New Roman"/>
        </w:rPr>
      </w:pPr>
    </w:p>
    <w:p w:rsidR="00000000" w:rsidRDefault="00967E53">
      <w:pPr>
        <w:ind w:firstLine="360"/>
        <w:jc w:val="both"/>
        <w:divId w:val="1970089848"/>
        <w:rPr>
          <w:rFonts w:eastAsia="Times New Roman"/>
        </w:rPr>
      </w:pPr>
    </w:p>
    <w:p w:rsidR="00000000" w:rsidRDefault="00967E53">
      <w:pPr>
        <w:ind w:firstLine="360"/>
        <w:jc w:val="center"/>
        <w:divId w:val="644355333"/>
        <w:rPr>
          <w:rFonts w:eastAsia="Times New Roman"/>
        </w:rPr>
      </w:pPr>
      <w:r>
        <w:rPr>
          <w:rFonts w:eastAsia="Times New Roman"/>
          <w:b/>
          <w:bCs/>
          <w:color w:val="000000"/>
          <w:sz w:val="20"/>
          <w:szCs w:val="20"/>
        </w:rPr>
        <w:t>Table of Contents</w:t>
      </w:r>
    </w:p>
    <w:p w:rsidR="00000000" w:rsidRDefault="00967E53">
      <w:pPr>
        <w:ind w:firstLine="360"/>
        <w:jc w:val="center"/>
        <w:divId w:val="1640959350"/>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91"/>
        <w:gridCol w:w="496"/>
        <w:gridCol w:w="36"/>
        <w:gridCol w:w="55"/>
        <w:gridCol w:w="560"/>
        <w:gridCol w:w="36"/>
        <w:gridCol w:w="56"/>
        <w:gridCol w:w="6551"/>
        <w:gridCol w:w="39"/>
        <w:gridCol w:w="56"/>
        <w:gridCol w:w="294"/>
        <w:gridCol w:w="36"/>
      </w:tblGrid>
      <w:tr w:rsidR="00000000">
        <w:trPr>
          <w:divId w:val="1521359358"/>
        </w:trPr>
        <w:tc>
          <w:tcPr>
            <w:tcW w:w="50" w:type="pct"/>
            <w:vAlign w:val="center"/>
            <w:hideMark/>
          </w:tcPr>
          <w:p w:rsidR="00000000" w:rsidRDefault="00967E53">
            <w:pPr>
              <w:ind w:firstLine="360"/>
              <w:jc w:val="center"/>
              <w:rPr>
                <w:rFonts w:eastAsia="Times New Roman"/>
              </w:rPr>
            </w:pPr>
          </w:p>
        </w:tc>
        <w:tc>
          <w:tcPr>
            <w:tcW w:w="27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54"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95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19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521359358"/>
        </w:trPr>
        <w:tc>
          <w:tcPr>
            <w:tcW w:w="0" w:type="auto"/>
            <w:gridSpan w:val="3"/>
            <w:tcMar>
              <w:top w:w="30" w:type="dxa"/>
              <w:left w:w="20" w:type="dxa"/>
              <w:bottom w:w="30" w:type="dxa"/>
              <w:right w:w="20" w:type="dxa"/>
            </w:tcMar>
            <w:vAlign w:val="bottom"/>
            <w:hideMark/>
          </w:tcPr>
          <w:p w:rsidR="00000000" w:rsidRDefault="00967E53">
            <w:pPr>
              <w:spacing w:after="100"/>
              <w:divId w:val="2073192411"/>
              <w:rPr>
                <w:rFonts w:eastAsia="Times New Roman"/>
              </w:rPr>
            </w:pPr>
            <w:hyperlink w:anchor="i091178e3a2eb48b6abb63b1ea9621f75_13" w:history="1">
              <w:r>
                <w:rPr>
                  <w:rStyle w:val="a3"/>
                  <w:rFonts w:eastAsia="Times New Roman"/>
                  <w:color w:val="0E32E1"/>
                  <w:sz w:val="20"/>
                  <w:szCs w:val="20"/>
                </w:rPr>
                <w:t>Part I.</w:t>
              </w:r>
            </w:hyperlink>
          </w:p>
        </w:tc>
        <w:tc>
          <w:tcPr>
            <w:tcW w:w="0" w:type="auto"/>
            <w:gridSpan w:val="6"/>
            <w:tcMar>
              <w:top w:w="30" w:type="dxa"/>
              <w:left w:w="20" w:type="dxa"/>
              <w:bottom w:w="30" w:type="dxa"/>
              <w:right w:w="20" w:type="dxa"/>
            </w:tcMar>
            <w:vAlign w:val="bottom"/>
            <w:hideMark/>
          </w:tcPr>
          <w:p w:rsidR="00000000" w:rsidRDefault="00967E53">
            <w:pPr>
              <w:spacing w:after="100"/>
              <w:divId w:val="1776241419"/>
              <w:rPr>
                <w:rFonts w:eastAsia="Times New Roman"/>
              </w:rPr>
            </w:pPr>
            <w:hyperlink w:anchor="i091178e3a2eb48b6abb63b1ea9621f75_13" w:history="1">
              <w:r>
                <w:rPr>
                  <w:rStyle w:val="a3"/>
                  <w:rFonts w:eastAsia="Times New Roman"/>
                  <w:color w:val="0E32E1"/>
                  <w:sz w:val="20"/>
                  <w:szCs w:val="20"/>
                </w:rPr>
                <w:t>Financial Information</w:t>
              </w:r>
            </w:hyperlink>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r>
      <w:tr w:rsidR="00000000">
        <w:trPr>
          <w:divId w:val="1521359358"/>
          <w:trHeight w:val="240"/>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521359358"/>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67E53">
            <w:pPr>
              <w:spacing w:after="100"/>
              <w:divId w:val="1920365124"/>
              <w:rPr>
                <w:rFonts w:eastAsia="Times New Roman"/>
              </w:rPr>
            </w:pPr>
            <w:hyperlink w:anchor="i091178e3a2eb48b6abb63b1ea9621f75_13" w:history="1">
              <w:r>
                <w:rPr>
                  <w:rStyle w:val="a3"/>
                  <w:rFonts w:eastAsia="Times New Roman"/>
                  <w:color w:val="0E32E1"/>
                  <w:sz w:val="20"/>
                  <w:szCs w:val="20"/>
                </w:rPr>
                <w:t>Item 1.</w:t>
              </w:r>
            </w:hyperlink>
          </w:p>
        </w:tc>
        <w:tc>
          <w:tcPr>
            <w:tcW w:w="0" w:type="auto"/>
            <w:gridSpan w:val="3"/>
            <w:shd w:val="clear" w:color="auto" w:fill="FFFFFF"/>
            <w:tcMar>
              <w:top w:w="30" w:type="dxa"/>
              <w:left w:w="20" w:type="dxa"/>
              <w:bottom w:w="30" w:type="dxa"/>
              <w:right w:w="20" w:type="dxa"/>
            </w:tcMar>
            <w:hideMark/>
          </w:tcPr>
          <w:p w:rsidR="00000000" w:rsidRDefault="00967E53">
            <w:pPr>
              <w:spacing w:after="100"/>
              <w:divId w:val="946542835"/>
              <w:rPr>
                <w:rFonts w:eastAsia="Times New Roman"/>
              </w:rPr>
            </w:pPr>
            <w:hyperlink w:anchor="i091178e3a2eb48b6abb63b1ea9621f75_13" w:history="1">
              <w:r>
                <w:rPr>
                  <w:rStyle w:val="a3"/>
                  <w:rFonts w:eastAsia="Times New Roman"/>
                  <w:color w:val="0E32E1"/>
                  <w:sz w:val="20"/>
                  <w:szCs w:val="20"/>
                </w:rPr>
                <w:t>Financial Statements (Unaudited)</w:t>
              </w:r>
            </w:hyperlink>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r>
      <w:tr w:rsidR="00000000">
        <w:trPr>
          <w:divId w:val="1521359358"/>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67E53">
            <w:pPr>
              <w:spacing w:after="100"/>
              <w:divId w:val="1143694463"/>
              <w:rPr>
                <w:rFonts w:eastAsia="Times New Roman"/>
              </w:rPr>
            </w:pPr>
            <w:r>
              <w:rPr>
                <w:rFonts w:eastAsia="Times New Roman"/>
                <w:color w:val="0E32E1"/>
                <w:sz w:val="20"/>
                <w:szCs w:val="20"/>
                <w:u w:val="single"/>
              </w:rPr>
              <w:t xml:space="preserve">Condensed </w:t>
            </w:r>
            <w:hyperlink w:anchor="i091178e3a2eb48b6abb63b1ea9621f75_13" w:history="1">
              <w:r>
                <w:rPr>
                  <w:rStyle w:val="a3"/>
                  <w:rFonts w:eastAsia="Times New Roman"/>
                  <w:color w:val="0E32E1"/>
                  <w:sz w:val="20"/>
                  <w:szCs w:val="20"/>
                </w:rPr>
                <w:t>Consolidated B</w:t>
              </w:r>
              <w:r>
                <w:rPr>
                  <w:rStyle w:val="a3"/>
                  <w:rFonts w:eastAsia="Times New Roman"/>
                  <w:color w:val="0E32E1"/>
                  <w:sz w:val="20"/>
                  <w:szCs w:val="20"/>
                </w:rPr>
                <w:t xml:space="preserve">alance Sheets as of </w:t>
              </w:r>
            </w:hyperlink>
            <w:r>
              <w:rPr>
                <w:rFonts w:eastAsia="Times New Roman"/>
                <w:color w:val="0E32E1"/>
                <w:sz w:val="20"/>
                <w:szCs w:val="20"/>
                <w:u w:val="single"/>
              </w:rPr>
              <w:t>June 30, 2021</w:t>
            </w:r>
            <w:hyperlink w:anchor="i091178e3a2eb48b6abb63b1ea9621f75_13" w:history="1">
              <w:r>
                <w:rPr>
                  <w:rStyle w:val="a3"/>
                  <w:rFonts w:eastAsia="Times New Roman"/>
                  <w:color w:val="0E32E1"/>
                  <w:sz w:val="20"/>
                  <w:szCs w:val="20"/>
                </w:rPr>
                <w:t xml:space="preserve"> and </w:t>
              </w:r>
            </w:hyperlink>
            <w:r>
              <w:rPr>
                <w:rFonts w:eastAsia="Times New Roman"/>
                <w:color w:val="0E32E1"/>
                <w:sz w:val="20"/>
                <w:szCs w:val="20"/>
                <w:u w:val="single"/>
              </w:rPr>
              <w:t>December 31, 2020</w:t>
            </w:r>
          </w:p>
        </w:tc>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hyperlink w:anchor="i091178e3a2eb48b6abb63b1ea9621f75_13" w:history="1">
              <w:r>
                <w:rPr>
                  <w:rStyle w:val="a3"/>
                  <w:rFonts w:eastAsia="Times New Roman"/>
                  <w:color w:val="0E32E1"/>
                  <w:sz w:val="20"/>
                  <w:szCs w:val="20"/>
                </w:rPr>
                <w:t>1</w:t>
              </w:r>
            </w:hyperlink>
          </w:p>
        </w:tc>
      </w:tr>
      <w:tr w:rsidR="00000000">
        <w:trPr>
          <w:divId w:val="1521359358"/>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67E53">
            <w:pPr>
              <w:spacing w:after="100"/>
              <w:divId w:val="1940596068"/>
              <w:rPr>
                <w:rFonts w:eastAsia="Times New Roman"/>
              </w:rPr>
            </w:pPr>
            <w:r>
              <w:rPr>
                <w:rFonts w:eastAsia="Times New Roman"/>
                <w:color w:val="0E32E1"/>
                <w:sz w:val="20"/>
                <w:szCs w:val="20"/>
                <w:u w:val="single"/>
              </w:rPr>
              <w:t xml:space="preserve">Condensed </w:t>
            </w:r>
            <w:hyperlink w:anchor="i091178e3a2eb48b6abb63b1ea9621f75_16" w:history="1">
              <w:r>
                <w:rPr>
                  <w:rStyle w:val="a3"/>
                  <w:rFonts w:eastAsia="Times New Roman"/>
                  <w:color w:val="0E32E1"/>
                  <w:sz w:val="20"/>
                  <w:szCs w:val="20"/>
                </w:rPr>
                <w:t xml:space="preserve">Consolidated Statements of Income and Comprehensive Income for the </w:t>
              </w:r>
            </w:hyperlink>
            <w:r>
              <w:rPr>
                <w:rFonts w:eastAsia="Times New Roman"/>
                <w:color w:val="0E32E1"/>
                <w:sz w:val="20"/>
                <w:szCs w:val="20"/>
                <w:u w:val="single"/>
              </w:rPr>
              <w:t>Three and Six</w:t>
            </w:r>
            <w:hyperlink w:anchor="i091178e3a2eb48b6abb63b1ea9621f75_16" w:history="1">
              <w:r>
                <w:rPr>
                  <w:rStyle w:val="a3"/>
                  <w:rFonts w:eastAsia="Times New Roman"/>
                  <w:color w:val="0E32E1"/>
                  <w:sz w:val="20"/>
                  <w:szCs w:val="20"/>
                </w:rPr>
                <w:t xml:space="preserve"> Months Ended </w:t>
              </w:r>
            </w:hyperlink>
            <w:r>
              <w:rPr>
                <w:rFonts w:eastAsia="Times New Roman"/>
                <w:color w:val="0E32E1"/>
                <w:sz w:val="20"/>
                <w:szCs w:val="20"/>
                <w:u w:val="single"/>
              </w:rPr>
              <w:t>June 30, 2021</w:t>
            </w:r>
            <w:hyperlink w:anchor="i091178e3a2eb48b6abb63b1ea9621f75_16" w:history="1">
              <w:r>
                <w:rPr>
                  <w:rStyle w:val="a3"/>
                  <w:rFonts w:eastAsia="Times New Roman"/>
                  <w:color w:val="0E32E1"/>
                  <w:sz w:val="20"/>
                  <w:szCs w:val="20"/>
                </w:rPr>
                <w:t xml:space="preserve"> and </w:t>
              </w:r>
            </w:hyperlink>
            <w:r>
              <w:rPr>
                <w:rFonts w:eastAsia="Times New Roman"/>
                <w:color w:val="0E32E1"/>
                <w:sz w:val="20"/>
                <w:szCs w:val="20"/>
                <w:u w:val="single"/>
              </w:rPr>
              <w:t>2020</w:t>
            </w:r>
          </w:p>
        </w:tc>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hyperlink w:anchor="i091178e3a2eb48b6abb63b1ea9621f75_16" w:history="1">
              <w:r>
                <w:rPr>
                  <w:rStyle w:val="a3"/>
                  <w:rFonts w:eastAsia="Times New Roman"/>
                  <w:color w:val="0E32E1"/>
                  <w:sz w:val="20"/>
                  <w:szCs w:val="20"/>
                </w:rPr>
                <w:t>2</w:t>
              </w:r>
            </w:hyperlink>
          </w:p>
        </w:tc>
      </w:tr>
      <w:tr w:rsidR="00000000">
        <w:trPr>
          <w:divId w:val="1521359358"/>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67E53">
            <w:pPr>
              <w:spacing w:after="100"/>
              <w:divId w:val="156700638"/>
              <w:rPr>
                <w:rFonts w:eastAsia="Times New Roman"/>
              </w:rPr>
            </w:pPr>
            <w:r>
              <w:rPr>
                <w:rFonts w:eastAsia="Times New Roman"/>
                <w:color w:val="0E32E1"/>
                <w:sz w:val="20"/>
                <w:szCs w:val="20"/>
                <w:u w:val="single"/>
              </w:rPr>
              <w:t xml:space="preserve">Condensed </w:t>
            </w:r>
            <w:hyperlink w:anchor="i091178e3a2eb48b6abb63b1ea9621f75_19" w:history="1">
              <w:r>
                <w:rPr>
                  <w:rStyle w:val="a3"/>
                  <w:rFonts w:eastAsia="Times New Roman"/>
                  <w:color w:val="0E32E1"/>
                  <w:sz w:val="20"/>
                  <w:szCs w:val="20"/>
                </w:rPr>
                <w:t xml:space="preserve">Consolidated Statements of Shareholders’ Equity for the </w:t>
              </w:r>
            </w:hyperlink>
            <w:r>
              <w:rPr>
                <w:rFonts w:eastAsia="Times New Roman"/>
                <w:color w:val="0E32E1"/>
                <w:sz w:val="20"/>
                <w:szCs w:val="20"/>
                <w:u w:val="single"/>
              </w:rPr>
              <w:t>Three and Six</w:t>
            </w:r>
            <w:hyperlink w:anchor="i091178e3a2eb48b6abb63b1ea9621f75_19" w:history="1">
              <w:r>
                <w:rPr>
                  <w:rStyle w:val="a3"/>
                  <w:rFonts w:eastAsia="Times New Roman"/>
                  <w:color w:val="0E32E1"/>
                  <w:sz w:val="20"/>
                  <w:szCs w:val="20"/>
                </w:rPr>
                <w:t xml:space="preserve"> Months Ended </w:t>
              </w:r>
            </w:hyperlink>
            <w:r>
              <w:rPr>
                <w:rFonts w:eastAsia="Times New Roman"/>
                <w:color w:val="0E32E1"/>
                <w:sz w:val="20"/>
                <w:szCs w:val="20"/>
                <w:u w:val="single"/>
              </w:rPr>
              <w:t>June 30, 2021</w:t>
            </w:r>
            <w:hyperlink w:anchor="i091178e3a2eb48b6abb63b1ea9621f75_19" w:history="1">
              <w:r>
                <w:rPr>
                  <w:rStyle w:val="a3"/>
                  <w:rFonts w:eastAsia="Times New Roman"/>
                  <w:color w:val="0E32E1"/>
                  <w:sz w:val="20"/>
                  <w:szCs w:val="20"/>
                </w:rPr>
                <w:t xml:space="preserve"> and </w:t>
              </w:r>
            </w:hyperlink>
            <w:r>
              <w:rPr>
                <w:rFonts w:eastAsia="Times New Roman"/>
                <w:color w:val="0E32E1"/>
                <w:sz w:val="20"/>
                <w:szCs w:val="20"/>
                <w:u w:val="single"/>
              </w:rPr>
              <w:t>2020</w:t>
            </w:r>
          </w:p>
        </w:tc>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hyperlink w:anchor="i091178e3a2eb48b6abb63b1ea9621f75_19" w:history="1">
              <w:r>
                <w:rPr>
                  <w:rStyle w:val="a3"/>
                  <w:rFonts w:eastAsia="Times New Roman"/>
                  <w:color w:val="0E32E1"/>
                  <w:sz w:val="20"/>
                  <w:szCs w:val="20"/>
                </w:rPr>
                <w:t>3</w:t>
              </w:r>
            </w:hyperlink>
          </w:p>
        </w:tc>
      </w:tr>
      <w:tr w:rsidR="00000000">
        <w:trPr>
          <w:divId w:val="1521359358"/>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67E53">
            <w:pPr>
              <w:spacing w:after="100"/>
              <w:divId w:val="1257983973"/>
              <w:rPr>
                <w:rFonts w:eastAsia="Times New Roman"/>
              </w:rPr>
            </w:pPr>
            <w:r>
              <w:rPr>
                <w:rFonts w:eastAsia="Times New Roman"/>
                <w:color w:val="0E32E1"/>
                <w:sz w:val="20"/>
                <w:szCs w:val="20"/>
                <w:u w:val="single"/>
              </w:rPr>
              <w:t xml:space="preserve">Condensed </w:t>
            </w:r>
            <w:hyperlink w:anchor="i091178e3a2eb48b6abb63b1ea9621f75_22" w:history="1">
              <w:r>
                <w:rPr>
                  <w:rStyle w:val="a3"/>
                  <w:rFonts w:eastAsia="Times New Roman"/>
                  <w:color w:val="0E32E1"/>
                  <w:sz w:val="20"/>
                  <w:szCs w:val="20"/>
                </w:rPr>
                <w:t xml:space="preserve">Consolidated Statements of Cash Flows for the </w:t>
              </w:r>
            </w:hyperlink>
            <w:r>
              <w:rPr>
                <w:rFonts w:eastAsia="Times New Roman"/>
                <w:color w:val="0E32E1"/>
                <w:sz w:val="20"/>
                <w:szCs w:val="20"/>
                <w:u w:val="single"/>
              </w:rPr>
              <w:t>Six Months Ended</w:t>
            </w:r>
            <w:hyperlink w:anchor="i091178e3a2eb48b6abb63b1ea9621f75_22" w:history="1">
              <w:r>
                <w:rPr>
                  <w:rStyle w:val="a3"/>
                  <w:rFonts w:eastAsia="Times New Roman"/>
                  <w:color w:val="0E32E1"/>
                  <w:sz w:val="20"/>
                  <w:szCs w:val="20"/>
                </w:rPr>
                <w:t xml:space="preserve"> </w:t>
              </w:r>
            </w:hyperlink>
            <w:r>
              <w:rPr>
                <w:rFonts w:eastAsia="Times New Roman"/>
                <w:color w:val="0E32E1"/>
                <w:sz w:val="20"/>
                <w:szCs w:val="20"/>
                <w:u w:val="single"/>
              </w:rPr>
              <w:t>June 30, 2021</w:t>
            </w:r>
            <w:hyperlink w:anchor="i091178e3a2eb48b6abb63b1ea9621f75_22" w:history="1">
              <w:r>
                <w:rPr>
                  <w:rStyle w:val="a3"/>
                  <w:rFonts w:eastAsia="Times New Roman"/>
                  <w:color w:val="0E32E1"/>
                  <w:sz w:val="20"/>
                  <w:szCs w:val="20"/>
                </w:rPr>
                <w:t xml:space="preserve"> and </w:t>
              </w:r>
            </w:hyperlink>
            <w:r>
              <w:rPr>
                <w:rFonts w:eastAsia="Times New Roman"/>
                <w:color w:val="0E32E1"/>
                <w:sz w:val="20"/>
                <w:szCs w:val="20"/>
                <w:u w:val="single"/>
              </w:rPr>
              <w:t>2020</w:t>
            </w:r>
          </w:p>
        </w:tc>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hyperlink w:anchor="i091178e3a2eb48b6abb63b1ea9621f75_22" w:history="1">
              <w:r>
                <w:rPr>
                  <w:rStyle w:val="a3"/>
                  <w:rFonts w:eastAsia="Times New Roman"/>
                  <w:color w:val="0E32E1"/>
                  <w:sz w:val="20"/>
                  <w:szCs w:val="20"/>
                </w:rPr>
                <w:t>5</w:t>
              </w:r>
            </w:hyperlink>
          </w:p>
        </w:tc>
      </w:tr>
      <w:tr w:rsidR="00000000">
        <w:trPr>
          <w:divId w:val="1521359358"/>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67E53">
            <w:pPr>
              <w:spacing w:after="100"/>
              <w:divId w:val="534076215"/>
              <w:rPr>
                <w:rFonts w:eastAsia="Times New Roman"/>
              </w:rPr>
            </w:pPr>
            <w:hyperlink w:anchor="i091178e3a2eb48b6abb63b1ea9621f75_25" w:history="1">
              <w:r>
                <w:rPr>
                  <w:rStyle w:val="a3"/>
                  <w:rFonts w:eastAsia="Times New Roman"/>
                  <w:color w:val="0E32E1"/>
                  <w:sz w:val="20"/>
                  <w:szCs w:val="20"/>
                </w:rPr>
                <w:t>Notes to the Condensed Consolidated Financial Statements</w:t>
              </w:r>
            </w:hyperlink>
          </w:p>
        </w:tc>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hyperlink w:anchor="i091178e3a2eb48b6abb63b1ea9621f75_25" w:history="1">
              <w:r>
                <w:rPr>
                  <w:rStyle w:val="a3"/>
                  <w:rFonts w:eastAsia="Times New Roman"/>
                  <w:color w:val="0E32E1"/>
                  <w:sz w:val="20"/>
                  <w:szCs w:val="20"/>
                </w:rPr>
                <w:t>6</w:t>
              </w:r>
            </w:hyperlink>
          </w:p>
        </w:tc>
      </w:tr>
      <w:tr w:rsidR="00000000">
        <w:trPr>
          <w:divId w:val="1521359358"/>
          <w:trHeight w:val="240"/>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521359358"/>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67E53">
            <w:pPr>
              <w:spacing w:after="100"/>
              <w:divId w:val="1865901044"/>
              <w:rPr>
                <w:rFonts w:eastAsia="Times New Roman"/>
              </w:rPr>
            </w:pPr>
            <w:hyperlink w:anchor="i091178e3a2eb48b6abb63b1ea9621f75_79" w:history="1">
              <w:r>
                <w:rPr>
                  <w:rStyle w:val="a3"/>
                  <w:rFonts w:eastAsia="Times New Roman"/>
                  <w:color w:val="0E32E1"/>
                  <w:sz w:val="20"/>
                  <w:szCs w:val="20"/>
                </w:rPr>
                <w:t>Item 2.</w:t>
              </w:r>
            </w:hyperlink>
          </w:p>
        </w:tc>
        <w:tc>
          <w:tcPr>
            <w:tcW w:w="0" w:type="auto"/>
            <w:gridSpan w:val="3"/>
            <w:tcMar>
              <w:top w:w="30" w:type="dxa"/>
              <w:left w:w="20" w:type="dxa"/>
              <w:bottom w:w="30" w:type="dxa"/>
              <w:right w:w="20" w:type="dxa"/>
            </w:tcMar>
            <w:hideMark/>
          </w:tcPr>
          <w:p w:rsidR="00000000" w:rsidRDefault="00967E53">
            <w:pPr>
              <w:spacing w:after="100"/>
              <w:divId w:val="1059136560"/>
              <w:rPr>
                <w:rFonts w:eastAsia="Times New Roman"/>
              </w:rPr>
            </w:pPr>
            <w:hyperlink w:anchor="i091178e3a2eb48b6abb63b1ea9621f75_79" w:history="1">
              <w:r>
                <w:rPr>
                  <w:rStyle w:val="a3"/>
                  <w:rFonts w:eastAsia="Times New Roman"/>
                  <w:color w:val="0E32E1"/>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hyperlink w:anchor="i091178e3a2eb48b6abb63b1ea9621f75_79" w:history="1">
              <w:r>
                <w:rPr>
                  <w:rStyle w:val="a3"/>
                  <w:rFonts w:eastAsia="Times New Roman"/>
                  <w:color w:val="0E32E1"/>
                  <w:sz w:val="20"/>
                  <w:szCs w:val="20"/>
                </w:rPr>
                <w:t>18</w:t>
              </w:r>
            </w:hyperlink>
          </w:p>
        </w:tc>
      </w:tr>
      <w:tr w:rsidR="00000000">
        <w:trPr>
          <w:divId w:val="1521359358"/>
          <w:trHeight w:val="240"/>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521359358"/>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67E53">
            <w:pPr>
              <w:spacing w:after="100"/>
              <w:divId w:val="1310331160"/>
              <w:rPr>
                <w:rFonts w:eastAsia="Times New Roman"/>
              </w:rPr>
            </w:pPr>
            <w:hyperlink w:anchor="i091178e3a2eb48b6abb63b1ea9621f75_91" w:history="1">
              <w:r>
                <w:rPr>
                  <w:rStyle w:val="a3"/>
                  <w:rFonts w:eastAsia="Times New Roman"/>
                  <w:color w:val="0E32E1"/>
                  <w:sz w:val="20"/>
                  <w:szCs w:val="20"/>
                </w:rPr>
                <w:t>Item 3.</w:t>
              </w:r>
            </w:hyperlink>
          </w:p>
        </w:tc>
        <w:tc>
          <w:tcPr>
            <w:tcW w:w="0" w:type="auto"/>
            <w:gridSpan w:val="3"/>
            <w:tcMar>
              <w:top w:w="30" w:type="dxa"/>
              <w:left w:w="20" w:type="dxa"/>
              <w:bottom w:w="30" w:type="dxa"/>
              <w:right w:w="20" w:type="dxa"/>
            </w:tcMar>
            <w:hideMark/>
          </w:tcPr>
          <w:p w:rsidR="00000000" w:rsidRDefault="00967E53">
            <w:pPr>
              <w:spacing w:after="100"/>
              <w:divId w:val="1293050405"/>
              <w:rPr>
                <w:rFonts w:eastAsia="Times New Roman"/>
              </w:rPr>
            </w:pPr>
            <w:hyperlink w:anchor="i091178e3a2eb48b6abb63b1ea9621f75_91" w:history="1">
              <w:r>
                <w:rPr>
                  <w:rStyle w:val="a3"/>
                  <w:rFonts w:eastAsia="Times New Roman"/>
                  <w:color w:val="0E32E1"/>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hyperlink w:anchor="i091178e3a2eb48b6abb63b1ea9621f75_91" w:history="1">
              <w:r>
                <w:rPr>
                  <w:rStyle w:val="a3"/>
                  <w:rFonts w:eastAsia="Times New Roman"/>
                  <w:color w:val="0E32E1"/>
                  <w:sz w:val="20"/>
                  <w:szCs w:val="20"/>
                </w:rPr>
                <w:t>29</w:t>
              </w:r>
            </w:hyperlink>
          </w:p>
        </w:tc>
      </w:tr>
      <w:tr w:rsidR="00000000">
        <w:trPr>
          <w:divId w:val="1521359358"/>
          <w:trHeight w:val="240"/>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521359358"/>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67E53">
            <w:pPr>
              <w:spacing w:after="100"/>
              <w:divId w:val="1447192255"/>
              <w:rPr>
                <w:rFonts w:eastAsia="Times New Roman"/>
              </w:rPr>
            </w:pPr>
            <w:hyperlink w:anchor="i091178e3a2eb48b6abb63b1ea9621f75_94" w:history="1">
              <w:r>
                <w:rPr>
                  <w:rStyle w:val="a3"/>
                  <w:rFonts w:eastAsia="Times New Roman"/>
                  <w:color w:val="0E32E1"/>
                  <w:sz w:val="20"/>
                  <w:szCs w:val="20"/>
                </w:rPr>
                <w:t>Item 4.</w:t>
              </w:r>
            </w:hyperlink>
          </w:p>
        </w:tc>
        <w:tc>
          <w:tcPr>
            <w:tcW w:w="0" w:type="auto"/>
            <w:gridSpan w:val="3"/>
            <w:tcMar>
              <w:top w:w="30" w:type="dxa"/>
              <w:left w:w="20" w:type="dxa"/>
              <w:bottom w:w="30" w:type="dxa"/>
              <w:right w:w="20" w:type="dxa"/>
            </w:tcMar>
            <w:hideMark/>
          </w:tcPr>
          <w:p w:rsidR="00000000" w:rsidRDefault="00967E53">
            <w:pPr>
              <w:spacing w:after="100"/>
              <w:divId w:val="1369718741"/>
              <w:rPr>
                <w:rFonts w:eastAsia="Times New Roman"/>
              </w:rPr>
            </w:pPr>
            <w:hyperlink w:anchor="i091178e3a2eb48b6abb63b1ea9621f75_94" w:history="1">
              <w:r>
                <w:rPr>
                  <w:rStyle w:val="a3"/>
                  <w:rFonts w:eastAsia="Times New Roman"/>
                  <w:color w:val="0E32E1"/>
                  <w:sz w:val="20"/>
                  <w:szCs w:val="20"/>
                </w:rPr>
                <w:t>Controls and Procedures</w:t>
              </w:r>
            </w:hyperlink>
          </w:p>
        </w:tc>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hyperlink w:anchor="i091178e3a2eb48b6abb63b1ea9621f75_94" w:history="1">
              <w:r>
                <w:rPr>
                  <w:rStyle w:val="a3"/>
                  <w:rFonts w:eastAsia="Times New Roman"/>
                  <w:color w:val="0E32E1"/>
                  <w:sz w:val="20"/>
                  <w:szCs w:val="20"/>
                </w:rPr>
                <w:t>29</w:t>
              </w:r>
            </w:hyperlink>
          </w:p>
        </w:tc>
      </w:tr>
      <w:tr w:rsidR="00000000">
        <w:trPr>
          <w:divId w:val="1521359358"/>
          <w:trHeight w:val="240"/>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521359358"/>
        </w:trPr>
        <w:tc>
          <w:tcPr>
            <w:tcW w:w="0" w:type="auto"/>
            <w:gridSpan w:val="3"/>
            <w:tcMar>
              <w:top w:w="30" w:type="dxa"/>
              <w:left w:w="20" w:type="dxa"/>
              <w:bottom w:w="30" w:type="dxa"/>
              <w:right w:w="20" w:type="dxa"/>
            </w:tcMar>
            <w:vAlign w:val="bottom"/>
            <w:hideMark/>
          </w:tcPr>
          <w:p w:rsidR="00000000" w:rsidRDefault="00967E53">
            <w:pPr>
              <w:spacing w:after="100"/>
              <w:divId w:val="1793936667"/>
              <w:rPr>
                <w:rFonts w:eastAsia="Times New Roman"/>
              </w:rPr>
            </w:pPr>
            <w:hyperlink w:anchor="i091178e3a2eb48b6abb63b1ea9621f75_97" w:history="1">
              <w:r>
                <w:rPr>
                  <w:rStyle w:val="a3"/>
                  <w:rFonts w:eastAsia="Times New Roman"/>
                  <w:color w:val="0E32E1"/>
                  <w:sz w:val="20"/>
                  <w:szCs w:val="20"/>
                </w:rPr>
                <w:t>Part II.</w:t>
              </w:r>
            </w:hyperlink>
          </w:p>
        </w:tc>
        <w:tc>
          <w:tcPr>
            <w:tcW w:w="0" w:type="auto"/>
            <w:gridSpan w:val="6"/>
            <w:tcMar>
              <w:top w:w="30" w:type="dxa"/>
              <w:left w:w="20" w:type="dxa"/>
              <w:bottom w:w="30" w:type="dxa"/>
              <w:right w:w="20" w:type="dxa"/>
            </w:tcMar>
            <w:vAlign w:val="bottom"/>
            <w:hideMark/>
          </w:tcPr>
          <w:p w:rsidR="00000000" w:rsidRDefault="00967E53">
            <w:pPr>
              <w:spacing w:after="100"/>
              <w:divId w:val="424427538"/>
              <w:rPr>
                <w:rFonts w:eastAsia="Times New Roman"/>
              </w:rPr>
            </w:pPr>
            <w:hyperlink w:anchor="i091178e3a2eb48b6abb63b1ea9621f75_97" w:history="1">
              <w:r>
                <w:rPr>
                  <w:rStyle w:val="a3"/>
                  <w:rFonts w:eastAsia="Times New Roman"/>
                  <w:color w:val="0E32E1"/>
                  <w:sz w:val="20"/>
                  <w:szCs w:val="20"/>
                </w:rPr>
                <w:t>Other Information</w:t>
              </w:r>
            </w:hyperlink>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r>
      <w:tr w:rsidR="00000000">
        <w:trPr>
          <w:divId w:val="1521359358"/>
          <w:trHeight w:val="240"/>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521359358"/>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67E53">
            <w:pPr>
              <w:spacing w:after="100"/>
              <w:divId w:val="412630239"/>
              <w:rPr>
                <w:rFonts w:eastAsia="Times New Roman"/>
              </w:rPr>
            </w:pPr>
            <w:hyperlink w:anchor="i091178e3a2eb48b6abb63b1ea9621f75_100" w:history="1">
              <w:r>
                <w:rPr>
                  <w:rStyle w:val="a3"/>
                  <w:rFonts w:eastAsia="Times New Roman"/>
                  <w:color w:val="0E32E1"/>
                  <w:sz w:val="20"/>
                  <w:szCs w:val="20"/>
                </w:rPr>
                <w:t>Item 1.</w:t>
              </w:r>
            </w:hyperlink>
          </w:p>
        </w:tc>
        <w:tc>
          <w:tcPr>
            <w:tcW w:w="0" w:type="auto"/>
            <w:gridSpan w:val="3"/>
            <w:tcMar>
              <w:top w:w="30" w:type="dxa"/>
              <w:left w:w="20" w:type="dxa"/>
              <w:bottom w:w="30" w:type="dxa"/>
              <w:right w:w="20" w:type="dxa"/>
            </w:tcMar>
            <w:hideMark/>
          </w:tcPr>
          <w:p w:rsidR="00000000" w:rsidRDefault="00967E53">
            <w:pPr>
              <w:spacing w:after="100"/>
              <w:divId w:val="1169129380"/>
              <w:rPr>
                <w:rFonts w:eastAsia="Times New Roman"/>
              </w:rPr>
            </w:pPr>
            <w:hyperlink w:anchor="i091178e3a2eb48b6abb63b1ea9621f75_100" w:history="1">
              <w:r>
                <w:rPr>
                  <w:rStyle w:val="a3"/>
                  <w:rFonts w:eastAsia="Times New Roman"/>
                  <w:color w:val="0E32E1"/>
                  <w:sz w:val="20"/>
                  <w:szCs w:val="20"/>
                </w:rPr>
                <w:t>Legal Proceedings</w:t>
              </w:r>
            </w:hyperlink>
          </w:p>
        </w:tc>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hyperlink w:anchor="i091178e3a2eb48b6abb63b1ea9621f75_100" w:history="1">
              <w:r>
                <w:rPr>
                  <w:rStyle w:val="a3"/>
                  <w:rFonts w:eastAsia="Times New Roman"/>
                  <w:color w:val="0E32E1"/>
                  <w:sz w:val="20"/>
                  <w:szCs w:val="20"/>
                </w:rPr>
                <w:t>31</w:t>
              </w:r>
            </w:hyperlink>
          </w:p>
        </w:tc>
      </w:tr>
      <w:tr w:rsidR="00000000">
        <w:trPr>
          <w:divId w:val="1521359358"/>
        </w:trPr>
        <w:tc>
          <w:tcPr>
            <w:tcW w:w="0" w:type="auto"/>
            <w:gridSpan w:val="3"/>
            <w:vAlign w:val="center"/>
            <w:hideMark/>
          </w:tcPr>
          <w:p w:rsidR="00000000" w:rsidRDefault="00967E53">
            <w:pPr>
              <w:spacing w:after="100"/>
              <w:jc w:val="center"/>
              <w:rPr>
                <w:rFonts w:eastAsia="Times New Roman"/>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521359358"/>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521359358"/>
          <w:trHeight w:val="240"/>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521359358"/>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67E53">
            <w:pPr>
              <w:spacing w:after="100"/>
              <w:divId w:val="1769427001"/>
              <w:rPr>
                <w:rFonts w:eastAsia="Times New Roman"/>
              </w:rPr>
            </w:pPr>
            <w:hyperlink w:anchor="i091178e3a2eb48b6abb63b1ea9621f75_106" w:history="1">
              <w:r>
                <w:rPr>
                  <w:rStyle w:val="a3"/>
                  <w:rFonts w:eastAsia="Times New Roman"/>
                  <w:color w:val="0E32E1"/>
                  <w:sz w:val="20"/>
                  <w:szCs w:val="20"/>
                </w:rPr>
                <w:t>Item 2.</w:t>
              </w:r>
            </w:hyperlink>
          </w:p>
        </w:tc>
        <w:tc>
          <w:tcPr>
            <w:tcW w:w="0" w:type="auto"/>
            <w:gridSpan w:val="3"/>
            <w:tcMar>
              <w:top w:w="30" w:type="dxa"/>
              <w:left w:w="20" w:type="dxa"/>
              <w:bottom w:w="30" w:type="dxa"/>
              <w:right w:w="20" w:type="dxa"/>
            </w:tcMar>
            <w:hideMark/>
          </w:tcPr>
          <w:p w:rsidR="00000000" w:rsidRDefault="00967E53">
            <w:pPr>
              <w:spacing w:after="100"/>
              <w:divId w:val="1022852551"/>
              <w:rPr>
                <w:rFonts w:eastAsia="Times New Roman"/>
              </w:rPr>
            </w:pPr>
            <w:hyperlink w:anchor="i091178e3a2eb48b6abb63b1ea9621f75_106" w:history="1">
              <w:r>
                <w:rPr>
                  <w:rStyle w:val="a3"/>
                  <w:rFonts w:eastAsia="Times New Roman"/>
                  <w:color w:val="0E32E1"/>
                  <w:sz w:val="20"/>
                  <w:szCs w:val="20"/>
                </w:rPr>
                <w:t>Unregistered Sales of Equity Securities and Use of Proceeds</w:t>
              </w:r>
            </w:hyperlink>
          </w:p>
        </w:tc>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hyperlink w:anchor="i091178e3a2eb48b6abb63b1ea9621f75_106" w:history="1">
              <w:r>
                <w:rPr>
                  <w:rStyle w:val="a3"/>
                  <w:rFonts w:eastAsia="Times New Roman"/>
                  <w:color w:val="0E32E1"/>
                  <w:sz w:val="20"/>
                  <w:szCs w:val="20"/>
                </w:rPr>
                <w:t>31</w:t>
              </w:r>
            </w:hyperlink>
          </w:p>
        </w:tc>
      </w:tr>
      <w:tr w:rsidR="00000000">
        <w:trPr>
          <w:divId w:val="1521359358"/>
          <w:trHeight w:val="240"/>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521359358"/>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67E53">
            <w:pPr>
              <w:spacing w:after="100"/>
              <w:divId w:val="1880896614"/>
              <w:rPr>
                <w:rFonts w:eastAsia="Times New Roman"/>
              </w:rPr>
            </w:pPr>
            <w:hyperlink w:anchor="i091178e3a2eb48b6abb63b1ea9621f75_109" w:history="1">
              <w:r>
                <w:rPr>
                  <w:rStyle w:val="a3"/>
                  <w:rFonts w:eastAsia="Times New Roman"/>
                  <w:color w:val="0E32E1"/>
                  <w:sz w:val="20"/>
                  <w:szCs w:val="20"/>
                </w:rPr>
                <w:t>Item 6.</w:t>
              </w:r>
            </w:hyperlink>
          </w:p>
        </w:tc>
        <w:tc>
          <w:tcPr>
            <w:tcW w:w="0" w:type="auto"/>
            <w:gridSpan w:val="3"/>
            <w:tcMar>
              <w:top w:w="30" w:type="dxa"/>
              <w:left w:w="20" w:type="dxa"/>
              <w:bottom w:w="30" w:type="dxa"/>
              <w:right w:w="20" w:type="dxa"/>
            </w:tcMar>
            <w:hideMark/>
          </w:tcPr>
          <w:p w:rsidR="00000000" w:rsidRDefault="00967E53">
            <w:pPr>
              <w:spacing w:after="100"/>
              <w:divId w:val="946499053"/>
              <w:rPr>
                <w:rFonts w:eastAsia="Times New Roman"/>
              </w:rPr>
            </w:pPr>
            <w:hyperlink w:anchor="i091178e3a2eb48b6abb63b1ea9621f75_109" w:history="1">
              <w:r>
                <w:rPr>
                  <w:rStyle w:val="a3"/>
                  <w:rFonts w:eastAsia="Times New Roman"/>
                  <w:color w:val="0E32E1"/>
                  <w:sz w:val="20"/>
                  <w:szCs w:val="20"/>
                </w:rPr>
                <w:t>Exhibits</w:t>
              </w:r>
            </w:hyperlink>
          </w:p>
        </w:tc>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hyperlink w:anchor="i091178e3a2eb48b6abb63b1ea9621f75_109" w:history="1">
              <w:r>
                <w:rPr>
                  <w:rStyle w:val="a3"/>
                  <w:rFonts w:eastAsia="Times New Roman"/>
                  <w:color w:val="0E32E1"/>
                  <w:sz w:val="20"/>
                  <w:szCs w:val="20"/>
                </w:rPr>
                <w:t>32</w:t>
              </w:r>
            </w:hyperlink>
          </w:p>
        </w:tc>
      </w:tr>
      <w:tr w:rsidR="00000000">
        <w:trPr>
          <w:divId w:val="1521359358"/>
          <w:trHeight w:val="240"/>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521359358"/>
        </w:trPr>
        <w:tc>
          <w:tcPr>
            <w:tcW w:w="0" w:type="auto"/>
            <w:gridSpan w:val="6"/>
            <w:tcMar>
              <w:top w:w="30" w:type="dxa"/>
              <w:left w:w="20" w:type="dxa"/>
              <w:bottom w:w="30" w:type="dxa"/>
              <w:right w:w="20" w:type="dxa"/>
            </w:tcMar>
            <w:vAlign w:val="bottom"/>
            <w:hideMark/>
          </w:tcPr>
          <w:p w:rsidR="00000000" w:rsidRDefault="00967E53">
            <w:pPr>
              <w:spacing w:after="100"/>
              <w:divId w:val="1160585173"/>
              <w:rPr>
                <w:rFonts w:eastAsia="Times New Roman"/>
              </w:rPr>
            </w:pPr>
            <w:hyperlink w:anchor="i091178e3a2eb48b6abb63b1ea9621f75_112" w:history="1">
              <w:r>
                <w:rPr>
                  <w:rStyle w:val="a3"/>
                  <w:rFonts w:eastAsia="Times New Roman"/>
                  <w:color w:val="0E32E1"/>
                  <w:sz w:val="20"/>
                  <w:szCs w:val="20"/>
                </w:rPr>
                <w:t>Signatures</w:t>
              </w:r>
            </w:hyperlink>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hyperlink w:anchor="i091178e3a2eb48b6abb63b1ea9621f75_112" w:history="1">
              <w:r>
                <w:rPr>
                  <w:rStyle w:val="a3"/>
                  <w:rFonts w:eastAsia="Times New Roman"/>
                  <w:color w:val="0E32E1"/>
                  <w:sz w:val="20"/>
                  <w:szCs w:val="20"/>
                </w:rPr>
                <w:t>33</w:t>
              </w:r>
            </w:hyperlink>
          </w:p>
        </w:tc>
      </w:tr>
    </w:tbl>
    <w:p w:rsidR="00000000" w:rsidRDefault="00967E53">
      <w:pPr>
        <w:ind w:firstLine="360"/>
        <w:jc w:val="both"/>
        <w:divId w:val="948589848"/>
        <w:rPr>
          <w:rFonts w:eastAsia="Times New Roman"/>
        </w:rPr>
      </w:pPr>
    </w:p>
    <w:p w:rsidR="00000000" w:rsidRDefault="00967E53">
      <w:pPr>
        <w:rPr>
          <w:rFonts w:eastAsia="Times New Roman"/>
        </w:rPr>
      </w:pPr>
      <w:r>
        <w:rPr>
          <w:rFonts w:eastAsia="Times New Roman"/>
        </w:rPr>
        <w:pict>
          <v:rect id="_x0000_i1028" style="width:0;height:1.5pt" o:hralign="center" o:hrstd="t" o:hr="t" fillcolor="#a0a0a0" stroked="f"/>
        </w:pict>
      </w:r>
    </w:p>
    <w:p w:rsidR="00000000" w:rsidRDefault="00967E53">
      <w:pPr>
        <w:ind w:firstLine="360"/>
        <w:jc w:val="both"/>
        <w:divId w:val="2032609865"/>
        <w:rPr>
          <w:rFonts w:eastAsia="Times New Roman"/>
        </w:rPr>
      </w:pPr>
    </w:p>
    <w:p w:rsidR="00000000" w:rsidRDefault="00967E53">
      <w:pPr>
        <w:ind w:firstLine="360"/>
        <w:jc w:val="both"/>
        <w:divId w:val="1053430360"/>
        <w:rPr>
          <w:rFonts w:eastAsia="Times New Roman"/>
        </w:rPr>
      </w:pPr>
    </w:p>
    <w:p w:rsidR="00000000" w:rsidRDefault="00967E53">
      <w:pPr>
        <w:jc w:val="center"/>
        <w:divId w:val="674113942"/>
        <w:rPr>
          <w:rFonts w:eastAsia="Times New Roman"/>
        </w:rPr>
      </w:pPr>
      <w:r>
        <w:rPr>
          <w:rFonts w:eastAsia="Times New Roman"/>
          <w:b/>
          <w:bCs/>
          <w:color w:val="000000"/>
          <w:sz w:val="20"/>
          <w:szCs w:val="20"/>
        </w:rPr>
        <w:t>Part I — Financial Information</w:t>
      </w:r>
    </w:p>
    <w:p w:rsidR="00000000" w:rsidRDefault="00967E53">
      <w:pPr>
        <w:divId w:val="1876384004"/>
        <w:rPr>
          <w:rFonts w:eastAsia="Times New Roman"/>
        </w:rPr>
      </w:pPr>
      <w:r>
        <w:rPr>
          <w:rFonts w:eastAsia="Times New Roman"/>
          <w:b/>
          <w:bCs/>
          <w:color w:val="000000"/>
          <w:sz w:val="20"/>
          <w:szCs w:val="20"/>
        </w:rPr>
        <w:t>Item 1.     Financial Statements</w:t>
      </w:r>
      <w:r>
        <w:rPr>
          <w:rFonts w:eastAsia="Times New Roman"/>
          <w:color w:val="000000"/>
          <w:sz w:val="20"/>
          <w:szCs w:val="20"/>
        </w:rPr>
        <w:t> </w:t>
      </w:r>
    </w:p>
    <w:p w:rsidR="00000000" w:rsidRDefault="00967E53">
      <w:pPr>
        <w:ind w:firstLine="360"/>
        <w:jc w:val="center"/>
        <w:divId w:val="353657340"/>
        <w:rPr>
          <w:rFonts w:eastAsia="Times New Roman"/>
        </w:rPr>
      </w:pPr>
      <w:r>
        <w:rPr>
          <w:rFonts w:eastAsia="Times New Roman"/>
          <w:b/>
          <w:bCs/>
          <w:color w:val="000000"/>
          <w:sz w:val="20"/>
          <w:szCs w:val="20"/>
        </w:rPr>
        <w:t>World Fuel Services Corporation</w:t>
      </w:r>
    </w:p>
    <w:p w:rsidR="00000000" w:rsidRDefault="00967E53">
      <w:pPr>
        <w:ind w:firstLine="360"/>
        <w:jc w:val="center"/>
        <w:divId w:val="623269877"/>
        <w:rPr>
          <w:rFonts w:eastAsia="Times New Roman"/>
        </w:rPr>
      </w:pPr>
      <w:r>
        <w:rPr>
          <w:rFonts w:eastAsia="Times New Roman"/>
          <w:b/>
          <w:bCs/>
          <w:color w:val="000000"/>
          <w:sz w:val="20"/>
          <w:szCs w:val="20"/>
        </w:rPr>
        <w:t>Condensed Consolidated Balance Sheets</w:t>
      </w:r>
    </w:p>
    <w:p w:rsidR="00000000" w:rsidRDefault="00967E53">
      <w:pPr>
        <w:ind w:firstLine="360"/>
        <w:jc w:val="center"/>
        <w:divId w:val="87579623"/>
        <w:rPr>
          <w:rFonts w:eastAsia="Times New Roman"/>
        </w:rPr>
      </w:pPr>
      <w:r>
        <w:rPr>
          <w:rFonts w:eastAsia="Times New Roman"/>
          <w:color w:val="000000"/>
          <w:sz w:val="20"/>
          <w:szCs w:val="20"/>
        </w:rPr>
        <w:t>(Unaudited - In millions, except per share data) </w:t>
      </w:r>
    </w:p>
    <w:tbl>
      <w:tblPr>
        <w:tblW w:w="5000" w:type="pct"/>
        <w:tblCellMar>
          <w:top w:w="15" w:type="dxa"/>
          <w:left w:w="15" w:type="dxa"/>
          <w:bottom w:w="15" w:type="dxa"/>
          <w:right w:w="15" w:type="dxa"/>
        </w:tblCellMar>
        <w:tblLook w:val="04A0" w:firstRow="1" w:lastRow="0" w:firstColumn="1" w:lastColumn="0" w:noHBand="0" w:noVBand="1"/>
      </w:tblPr>
      <w:tblGrid>
        <w:gridCol w:w="40"/>
        <w:gridCol w:w="5038"/>
        <w:gridCol w:w="39"/>
        <w:gridCol w:w="36"/>
        <w:gridCol w:w="36"/>
        <w:gridCol w:w="36"/>
        <w:gridCol w:w="120"/>
        <w:gridCol w:w="1294"/>
        <w:gridCol w:w="36"/>
        <w:gridCol w:w="36"/>
        <w:gridCol w:w="36"/>
        <w:gridCol w:w="36"/>
        <w:gridCol w:w="121"/>
        <w:gridCol w:w="1294"/>
        <w:gridCol w:w="36"/>
        <w:gridCol w:w="36"/>
        <w:gridCol w:w="36"/>
      </w:tblGrid>
      <w:tr w:rsidR="00000000">
        <w:trPr>
          <w:divId w:val="1139610405"/>
        </w:trPr>
        <w:tc>
          <w:tcPr>
            <w:tcW w:w="50" w:type="pct"/>
            <w:vAlign w:val="center"/>
            <w:hideMark/>
          </w:tcPr>
          <w:p w:rsidR="00000000" w:rsidRDefault="00967E53">
            <w:pPr>
              <w:ind w:firstLine="360"/>
              <w:jc w:val="center"/>
              <w:rPr>
                <w:rFonts w:eastAsia="Times New Roman"/>
              </w:rPr>
            </w:pPr>
          </w:p>
        </w:tc>
        <w:tc>
          <w:tcPr>
            <w:tcW w:w="308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822"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822"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June 30, 2021</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December 31, 2020</w:t>
            </w:r>
          </w:p>
        </w:tc>
        <w:tc>
          <w:tcPr>
            <w:tcW w:w="0" w:type="auto"/>
            <w:vAlign w:val="center"/>
            <w:hideMark/>
          </w:tcPr>
          <w:p w:rsidR="00000000" w:rsidRDefault="00967E53">
            <w:pPr>
              <w:spacing w:after="100"/>
              <w:jc w:val="center"/>
              <w:rPr>
                <w:rFonts w:eastAsia="Times New Roman"/>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67E53">
            <w:pPr>
              <w:spacing w:after="100"/>
              <w:jc w:val="cente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20"/>
                <w:szCs w:val="20"/>
              </w:rPr>
              <w:t> </w:t>
            </w:r>
          </w:p>
        </w:tc>
        <w:tc>
          <w:tcPr>
            <w:tcW w:w="0" w:type="auto"/>
            <w:vAlign w:val="center"/>
            <w:hideMark/>
          </w:tcPr>
          <w:p w:rsidR="00000000" w:rsidRDefault="00967E53">
            <w:pPr>
              <w:spacing w:after="100"/>
              <w:rPr>
                <w:rFonts w:eastAsia="Times New Roman"/>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20"/>
                <w:szCs w:val="20"/>
              </w:rPr>
              <w:t> </w:t>
            </w:r>
          </w:p>
        </w:tc>
        <w:tc>
          <w:tcPr>
            <w:tcW w:w="0" w:type="auto"/>
            <w:vAlign w:val="center"/>
            <w:hideMark/>
          </w:tcPr>
          <w:p w:rsidR="00000000" w:rsidRDefault="00967E53">
            <w:pPr>
              <w:spacing w:after="100"/>
              <w:rPr>
                <w:rFonts w:eastAsia="Times New Roman"/>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742.7 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658.8 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divId w:val="1264073736"/>
              <w:rPr>
                <w:rFonts w:eastAsia="Times New Roman"/>
              </w:rPr>
            </w:pPr>
            <w:r>
              <w:rPr>
                <w:rFonts w:eastAsia="Times New Roman"/>
                <w:color w:val="000000"/>
                <w:sz w:val="20"/>
                <w:szCs w:val="20"/>
              </w:rPr>
              <w:t>Accounts receivable, net of allowance for credit losses of $36.1 million and $53.8 million as of June 30, 2021 and December 31, 2020, respectively</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1,835.0 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1,238.4 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Inventories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426.5 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344.3 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Prepaid expenses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74.4 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81.1 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66.4 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lastRenderedPageBreak/>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199.0 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280.4 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24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current assets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3,358.6 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2,639.3 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334.2 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342.6 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Goodwill</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858.9 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858.6 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Identifiable intangible and 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698.1 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659.8 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24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5,249.8 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4,500.3 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vAlign w:val="center"/>
            <w:hideMark/>
          </w:tcPr>
          <w:p w:rsidR="00000000" w:rsidRDefault="00967E53">
            <w:pPr>
              <w:spacing w:after="100"/>
              <w:jc w:val="right"/>
              <w:rPr>
                <w:rFonts w:eastAsia="Times New Roman"/>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vAlign w:val="center"/>
            <w:hideMark/>
          </w:tcPr>
          <w:p w:rsidR="00000000" w:rsidRDefault="00967E53">
            <w:pPr>
              <w:spacing w:after="100"/>
              <w:jc w:val="right"/>
              <w:rPr>
                <w:rFonts w:eastAsia="Times New Roman"/>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Current maturities of long-term debt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1,844.8 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1,214.7 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Customer deposits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153.4 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155.8 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364.2 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290.6 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24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current liabilities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2,392.6 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1,684.0 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491.6 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501.8 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Non-current income tax liabilities, net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216.8 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215.5 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199.1 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186.1 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24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3,300.1 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2,587.4 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Commitments and contingencies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vAlign w:val="center"/>
            <w:hideMark/>
          </w:tcPr>
          <w:p w:rsidR="00000000" w:rsidRDefault="00967E53">
            <w:pPr>
              <w:spacing w:after="100"/>
              <w:jc w:val="right"/>
              <w:rPr>
                <w:rFonts w:eastAsia="Times New Roman"/>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World Fuel shareholders' equity:</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vAlign w:val="center"/>
            <w:hideMark/>
          </w:tcPr>
          <w:p w:rsidR="00000000" w:rsidRDefault="00967E53">
            <w:pPr>
              <w:spacing w:after="100"/>
              <w:jc w:val="right"/>
              <w:rPr>
                <w:rFonts w:eastAsia="Times New Roman"/>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divId w:val="340813960"/>
              <w:rPr>
                <w:rFonts w:eastAsia="Times New Roman"/>
              </w:rPr>
            </w:pPr>
            <w:r>
              <w:rPr>
                <w:rFonts w:eastAsia="Times New Roman"/>
                <w:color w:val="000000"/>
                <w:sz w:val="20"/>
                <w:szCs w:val="20"/>
              </w:rPr>
              <w:t>Preferred stock, $1.00 par value; 0.1 shares authorized, none issued</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divId w:val="1545822693"/>
              <w:rPr>
                <w:rFonts w:eastAsia="Times New Roman"/>
              </w:rPr>
            </w:pPr>
            <w:r>
              <w:rPr>
                <w:rFonts w:eastAsia="Times New Roman"/>
                <w:color w:val="000000"/>
                <w:sz w:val="20"/>
                <w:szCs w:val="20"/>
              </w:rPr>
              <w:t>Common stock, $0.01 par value; 100.0 shares authorized, 63.3 and 62.9 issued and outstanding as of June 30, 2021 and December 31, 2020, respectively</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Capital in excess of par value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211.3 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204.6 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Retained earnings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1,858.4 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1,836.7 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(124.1)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(132.6)</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24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World Fuel shareholders' equity</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1,946.2 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CCEEFF"/>
            <w:tcMar>
              <w:top w:w="30" w:type="dxa"/>
              <w:left w:w="24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equity</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1139610405"/>
        </w:trPr>
        <w:tc>
          <w:tcPr>
            <w:tcW w:w="0" w:type="auto"/>
            <w:gridSpan w:val="3"/>
            <w:shd w:val="clear" w:color="auto" w:fill="FFFFFF"/>
            <w:tcMar>
              <w:top w:w="30" w:type="dxa"/>
              <w:left w:w="24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liabilities and equity</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5,249.8 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4,500.3 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bl>
    <w:p w:rsidR="00000000" w:rsidRDefault="00967E53">
      <w:pPr>
        <w:ind w:firstLine="360"/>
        <w:jc w:val="center"/>
        <w:divId w:val="139926592"/>
        <w:rPr>
          <w:rFonts w:eastAsia="Times New Roman"/>
        </w:rPr>
      </w:pPr>
      <w:r>
        <w:rPr>
          <w:rFonts w:eastAsia="Times New Roman"/>
          <w:color w:val="000000"/>
          <w:sz w:val="20"/>
          <w:szCs w:val="20"/>
        </w:rPr>
        <w:t>The accompanying Notes are an integral part of these unaudited Condensed Consolidated Financial Statements.</w:t>
      </w:r>
    </w:p>
    <w:p w:rsidR="00000000" w:rsidRDefault="00967E53">
      <w:pPr>
        <w:ind w:firstLine="360"/>
        <w:jc w:val="center"/>
        <w:divId w:val="1098869448"/>
        <w:rPr>
          <w:rFonts w:eastAsia="Times New Roman"/>
        </w:rPr>
      </w:pPr>
      <w:r>
        <w:rPr>
          <w:rFonts w:eastAsia="Times New Roman"/>
          <w:color w:val="000000"/>
          <w:sz w:val="20"/>
          <w:szCs w:val="20"/>
        </w:rPr>
        <w:t>1</w:t>
      </w:r>
    </w:p>
    <w:p w:rsidR="00000000" w:rsidRDefault="00967E53">
      <w:pPr>
        <w:rPr>
          <w:rFonts w:eastAsia="Times New Roman"/>
        </w:rPr>
      </w:pPr>
      <w:r>
        <w:rPr>
          <w:rFonts w:eastAsia="Times New Roman"/>
        </w:rPr>
        <w:pict>
          <v:rect id="_x0000_i1029" style="width:0;height:1.5pt" o:hralign="center" o:hrstd="t" o:hr="t" fillcolor="#a0a0a0" stroked="f"/>
        </w:pict>
      </w:r>
    </w:p>
    <w:p w:rsidR="00000000" w:rsidRDefault="00967E53">
      <w:pPr>
        <w:ind w:firstLine="360"/>
        <w:jc w:val="both"/>
        <w:divId w:val="118182310"/>
        <w:rPr>
          <w:rFonts w:eastAsia="Times New Roman"/>
        </w:rPr>
      </w:pPr>
    </w:p>
    <w:p w:rsidR="00000000" w:rsidRDefault="00967E53">
      <w:pPr>
        <w:ind w:firstLine="360"/>
        <w:jc w:val="both"/>
        <w:divId w:val="1944337782"/>
        <w:rPr>
          <w:rFonts w:eastAsia="Times New Roman"/>
        </w:rPr>
      </w:pPr>
    </w:p>
    <w:p w:rsidR="00000000" w:rsidRDefault="00967E53">
      <w:pPr>
        <w:ind w:firstLine="360"/>
        <w:jc w:val="center"/>
        <w:divId w:val="1480032216"/>
        <w:rPr>
          <w:rFonts w:eastAsia="Times New Roman"/>
        </w:rPr>
      </w:pPr>
      <w:r>
        <w:rPr>
          <w:rFonts w:eastAsia="Times New Roman"/>
          <w:b/>
          <w:bCs/>
          <w:color w:val="000000"/>
          <w:sz w:val="20"/>
          <w:szCs w:val="20"/>
        </w:rPr>
        <w:t>World Fuel Services Corporation</w:t>
      </w:r>
    </w:p>
    <w:p w:rsidR="00000000" w:rsidRDefault="00967E53">
      <w:pPr>
        <w:ind w:firstLine="360"/>
        <w:jc w:val="center"/>
        <w:divId w:val="980499281"/>
        <w:rPr>
          <w:rFonts w:eastAsia="Times New Roman"/>
        </w:rPr>
      </w:pPr>
      <w:r>
        <w:rPr>
          <w:rFonts w:eastAsia="Times New Roman"/>
          <w:b/>
          <w:bCs/>
          <w:color w:val="000000"/>
          <w:sz w:val="20"/>
          <w:szCs w:val="20"/>
        </w:rPr>
        <w:t>Condensed Consolidated Statements of Income and Comprehensive Income</w:t>
      </w:r>
    </w:p>
    <w:p w:rsidR="00000000" w:rsidRDefault="00967E53">
      <w:pPr>
        <w:ind w:firstLine="360"/>
        <w:jc w:val="center"/>
        <w:divId w:val="817453287"/>
        <w:rPr>
          <w:rFonts w:eastAsia="Times New Roman"/>
        </w:rPr>
      </w:pPr>
      <w:r>
        <w:rPr>
          <w:rFonts w:eastAsia="Times New Roman"/>
          <w:color w:val="000000"/>
          <w:sz w:val="20"/>
          <w:szCs w:val="20"/>
        </w:rPr>
        <w:t>(Unaudited – In millions, except per share data)</w:t>
      </w:r>
    </w:p>
    <w:tbl>
      <w:tblPr>
        <w:tblW w:w="5000" w:type="pct"/>
        <w:tblCellMar>
          <w:top w:w="15" w:type="dxa"/>
          <w:left w:w="15" w:type="dxa"/>
          <w:bottom w:w="15" w:type="dxa"/>
          <w:right w:w="15" w:type="dxa"/>
        </w:tblCellMar>
        <w:tblLook w:val="04A0" w:firstRow="1" w:lastRow="0" w:firstColumn="1" w:lastColumn="0" w:noHBand="0" w:noVBand="1"/>
      </w:tblPr>
      <w:tblGrid>
        <w:gridCol w:w="39"/>
        <w:gridCol w:w="3593"/>
        <w:gridCol w:w="38"/>
        <w:gridCol w:w="36"/>
        <w:gridCol w:w="36"/>
        <w:gridCol w:w="36"/>
        <w:gridCol w:w="120"/>
        <w:gridCol w:w="893"/>
        <w:gridCol w:w="36"/>
        <w:gridCol w:w="36"/>
        <w:gridCol w:w="36"/>
        <w:gridCol w:w="36"/>
        <w:gridCol w:w="120"/>
        <w:gridCol w:w="895"/>
        <w:gridCol w:w="36"/>
        <w:gridCol w:w="36"/>
        <w:gridCol w:w="36"/>
        <w:gridCol w:w="36"/>
        <w:gridCol w:w="120"/>
        <w:gridCol w:w="895"/>
        <w:gridCol w:w="36"/>
        <w:gridCol w:w="36"/>
        <w:gridCol w:w="36"/>
        <w:gridCol w:w="36"/>
        <w:gridCol w:w="120"/>
        <w:gridCol w:w="897"/>
        <w:gridCol w:w="36"/>
      </w:tblGrid>
      <w:tr w:rsidR="00000000">
        <w:trPr>
          <w:divId w:val="705720315"/>
        </w:trPr>
        <w:tc>
          <w:tcPr>
            <w:tcW w:w="50" w:type="pct"/>
            <w:vAlign w:val="center"/>
            <w:hideMark/>
          </w:tcPr>
          <w:p w:rsidR="00000000" w:rsidRDefault="00967E53">
            <w:pPr>
              <w:ind w:firstLine="360"/>
              <w:jc w:val="center"/>
              <w:rPr>
                <w:rFonts w:eastAsia="Times New Roman"/>
              </w:rPr>
            </w:pPr>
          </w:p>
        </w:tc>
        <w:tc>
          <w:tcPr>
            <w:tcW w:w="219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80"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80"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80"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8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705720315"/>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For the Three Months Ended</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For the Six Months Ended</w:t>
            </w:r>
          </w:p>
        </w:tc>
      </w:tr>
      <w:tr w:rsidR="00000000">
        <w:trPr>
          <w:divId w:val="705720315"/>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June 30,</w:t>
            </w:r>
          </w:p>
        </w:tc>
      </w:tr>
      <w:tr w:rsidR="00000000">
        <w:trPr>
          <w:divId w:val="705720315"/>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r>
      <w:tr w:rsidR="00000000">
        <w:trPr>
          <w:divId w:val="70572031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7,085.5 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3,158.3 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13,043.4 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11,173.5 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6,901.6 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2,944.5 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12,667.9 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10,700.9 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CCEEFF"/>
            <w:tcMar>
              <w:top w:w="30" w:type="dxa"/>
              <w:left w:w="26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213.9 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472.6 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r>
      <w:tr w:rsidR="00000000">
        <w:trPr>
          <w:divId w:val="705720315"/>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Compensation and employee benefits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87.9 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95.9 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180.3 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198.3 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57.4 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84.4 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116.8 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168.2 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Asset impairments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Restructuring charges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CCEEFF"/>
            <w:tcMar>
              <w:top w:w="30" w:type="dxa"/>
              <w:left w:w="26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operating expenses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153.0 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202.0 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306.9 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389.9 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FFFFFF"/>
            <w:tcMar>
              <w:top w:w="30" w:type="dxa"/>
              <w:left w:w="36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Income from operations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Non-operating income (expenses), net: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r>
      <w:tr w:rsidR="00000000">
        <w:trPr>
          <w:divId w:val="705720315"/>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Interest expense and other financing costs, net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(10.0)</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(10.0)</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(18.7)</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(25.3)</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FFFFFF"/>
            <w:tcMar>
              <w:top w:w="30" w:type="dxa"/>
              <w:left w:w="26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FFFFFF"/>
            <w:tcMar>
              <w:top w:w="30" w:type="dxa"/>
              <w:left w:w="14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23.7 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Net income (loss) including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Net income (loss) attributable to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(0.2)</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Net income (loss) attributable to World Fuel</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Height w:val="120"/>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0572031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Basic earnings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0.28 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(0.16)</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0.58 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0.49 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Height w:val="120"/>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0572031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Basic weighted average common shares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63.4 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63.3 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63.2 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64.1 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Height w:val="120"/>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0572031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Diluted earnings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0.28 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(0.16)</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0.57 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0.48 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Height w:val="120"/>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0572031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lastRenderedPageBreak/>
              <w:t>Diluted weighted average common shares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63.8 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63.3 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63.6 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Height w:val="120"/>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0572031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05720315"/>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Net income (loss) including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36.4 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31.0 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05720315"/>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Foreign currency translation adjustments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(27.9)</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divId w:val="1147745664"/>
              <w:rPr>
                <w:rFonts w:eastAsia="Times New Roman"/>
              </w:rPr>
            </w:pPr>
            <w:r>
              <w:rPr>
                <w:rFonts w:eastAsia="Times New Roman"/>
                <w:color w:val="000000"/>
                <w:sz w:val="20"/>
                <w:szCs w:val="20"/>
              </w:rPr>
              <w:t>Cash flow hedges, net of income tax benefit of $2.9 and $7.2 for the three months ended June 30, 2021 and 2020, respectively, and net of income tax expense of $2.7 and $0.2 for the six months ended June 30, 2021 and 2020, respectively</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(21.0</w:t>
            </w:r>
            <w:r>
              <w:rPr>
                <w:rFonts w:eastAsia="Times New Roman"/>
                <w:color w:val="000000"/>
                <w:sz w:val="20"/>
                <w:szCs w:val="20"/>
              </w:rPr>
              <w:t>)</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(27.2)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Comprehensive income (loss) including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Comprehensive income (loss) attributable to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0572031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Comprehensive income (loss) attributable to World Fuel</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(26.7)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360"/>
        <w:jc w:val="center"/>
        <w:divId w:val="381834666"/>
        <w:rPr>
          <w:rFonts w:eastAsia="Times New Roman"/>
        </w:rPr>
      </w:pPr>
      <w:r>
        <w:rPr>
          <w:rFonts w:eastAsia="Times New Roman"/>
          <w:color w:val="000000"/>
          <w:sz w:val="20"/>
          <w:szCs w:val="20"/>
        </w:rPr>
        <w:t>The accomp</w:t>
      </w:r>
      <w:r>
        <w:rPr>
          <w:rFonts w:eastAsia="Times New Roman"/>
          <w:color w:val="000000"/>
          <w:sz w:val="20"/>
          <w:szCs w:val="20"/>
        </w:rPr>
        <w:t>anying Notes are an integral part of these unaudited Condensed Consolidated Financial Statements.</w:t>
      </w:r>
    </w:p>
    <w:p w:rsidR="00000000" w:rsidRDefault="00967E53">
      <w:pPr>
        <w:ind w:firstLine="360"/>
        <w:jc w:val="center"/>
        <w:divId w:val="1915894622"/>
        <w:rPr>
          <w:rFonts w:eastAsia="Times New Roman"/>
        </w:rPr>
      </w:pPr>
      <w:r>
        <w:rPr>
          <w:rFonts w:eastAsia="Times New Roman"/>
          <w:color w:val="000000"/>
          <w:sz w:val="20"/>
          <w:szCs w:val="20"/>
        </w:rPr>
        <w:t>2</w:t>
      </w:r>
    </w:p>
    <w:p w:rsidR="00000000" w:rsidRDefault="00967E53">
      <w:pPr>
        <w:rPr>
          <w:rFonts w:eastAsia="Times New Roman"/>
        </w:rPr>
      </w:pPr>
      <w:r>
        <w:rPr>
          <w:rFonts w:eastAsia="Times New Roman"/>
        </w:rPr>
        <w:pict>
          <v:rect id="_x0000_i1030" style="width:0;height:1.5pt" o:hralign="center" o:hrstd="t" o:hr="t" fillcolor="#a0a0a0" stroked="f"/>
        </w:pict>
      </w:r>
    </w:p>
    <w:p w:rsidR="00000000" w:rsidRDefault="00967E53">
      <w:pPr>
        <w:ind w:firstLine="360"/>
        <w:jc w:val="both"/>
        <w:divId w:val="1810784887"/>
        <w:rPr>
          <w:rFonts w:eastAsia="Times New Roman"/>
        </w:rPr>
      </w:pPr>
    </w:p>
    <w:p w:rsidR="00000000" w:rsidRDefault="00967E53">
      <w:pPr>
        <w:ind w:firstLine="360"/>
        <w:jc w:val="both"/>
        <w:divId w:val="303238001"/>
        <w:rPr>
          <w:rFonts w:eastAsia="Times New Roman"/>
        </w:rPr>
      </w:pPr>
    </w:p>
    <w:p w:rsidR="00000000" w:rsidRDefault="00967E53">
      <w:pPr>
        <w:ind w:firstLine="360"/>
        <w:jc w:val="center"/>
        <w:divId w:val="800807866"/>
        <w:rPr>
          <w:rFonts w:eastAsia="Times New Roman"/>
        </w:rPr>
      </w:pPr>
      <w:r>
        <w:rPr>
          <w:rFonts w:eastAsia="Times New Roman"/>
          <w:b/>
          <w:bCs/>
          <w:color w:val="000000"/>
          <w:sz w:val="20"/>
          <w:szCs w:val="20"/>
        </w:rPr>
        <w:t>World Fuel Services Corporation</w:t>
      </w:r>
    </w:p>
    <w:p w:rsidR="00000000" w:rsidRDefault="00967E53">
      <w:pPr>
        <w:ind w:firstLine="360"/>
        <w:jc w:val="center"/>
        <w:divId w:val="327484459"/>
        <w:rPr>
          <w:rFonts w:eastAsia="Times New Roman"/>
        </w:rPr>
      </w:pPr>
      <w:r>
        <w:rPr>
          <w:rFonts w:eastAsia="Times New Roman"/>
          <w:b/>
          <w:bCs/>
          <w:color w:val="000000"/>
          <w:sz w:val="20"/>
          <w:szCs w:val="20"/>
        </w:rPr>
        <w:t>Condensed Consolidated Statements of Shareholders’ Equity</w:t>
      </w:r>
    </w:p>
    <w:p w:rsidR="00000000" w:rsidRDefault="00967E53">
      <w:pPr>
        <w:ind w:firstLine="360"/>
        <w:jc w:val="center"/>
        <w:divId w:val="2029941702"/>
        <w:rPr>
          <w:rFonts w:eastAsia="Times New Roman"/>
        </w:rPr>
      </w:pPr>
      <w:r>
        <w:rPr>
          <w:rFonts w:eastAsia="Times New Roman"/>
          <w:color w:val="000000"/>
          <w:sz w:val="20"/>
          <w:szCs w:val="20"/>
        </w:rPr>
        <w:t>(Unaudited -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1094"/>
        <w:gridCol w:w="39"/>
        <w:gridCol w:w="85"/>
        <w:gridCol w:w="410"/>
        <w:gridCol w:w="37"/>
        <w:gridCol w:w="37"/>
        <w:gridCol w:w="37"/>
        <w:gridCol w:w="37"/>
        <w:gridCol w:w="102"/>
        <w:gridCol w:w="505"/>
        <w:gridCol w:w="36"/>
        <w:gridCol w:w="36"/>
        <w:gridCol w:w="36"/>
        <w:gridCol w:w="36"/>
        <w:gridCol w:w="101"/>
        <w:gridCol w:w="626"/>
        <w:gridCol w:w="36"/>
        <w:gridCol w:w="36"/>
        <w:gridCol w:w="36"/>
        <w:gridCol w:w="36"/>
        <w:gridCol w:w="101"/>
        <w:gridCol w:w="565"/>
        <w:gridCol w:w="36"/>
        <w:gridCol w:w="36"/>
        <w:gridCol w:w="36"/>
        <w:gridCol w:w="36"/>
        <w:gridCol w:w="101"/>
        <w:gridCol w:w="1003"/>
        <w:gridCol w:w="36"/>
        <w:gridCol w:w="36"/>
        <w:gridCol w:w="36"/>
        <w:gridCol w:w="36"/>
        <w:gridCol w:w="101"/>
        <w:gridCol w:w="887"/>
        <w:gridCol w:w="36"/>
        <w:gridCol w:w="36"/>
        <w:gridCol w:w="36"/>
        <w:gridCol w:w="36"/>
        <w:gridCol w:w="101"/>
        <w:gridCol w:w="966"/>
        <w:gridCol w:w="36"/>
        <w:gridCol w:w="36"/>
        <w:gridCol w:w="36"/>
        <w:gridCol w:w="36"/>
        <w:gridCol w:w="100"/>
        <w:gridCol w:w="520"/>
        <w:gridCol w:w="36"/>
      </w:tblGrid>
      <w:tr w:rsidR="00000000">
        <w:trPr>
          <w:divId w:val="1338774097"/>
          <w:jc w:val="center"/>
        </w:trPr>
        <w:tc>
          <w:tcPr>
            <w:tcW w:w="50" w:type="pct"/>
            <w:vAlign w:val="center"/>
            <w:hideMark/>
          </w:tcPr>
          <w:p w:rsidR="00000000" w:rsidRDefault="00967E53">
            <w:pPr>
              <w:ind w:firstLine="360"/>
              <w:jc w:val="center"/>
              <w:rPr>
                <w:rFonts w:eastAsia="Times New Roman"/>
              </w:rPr>
            </w:pPr>
          </w:p>
        </w:tc>
        <w:tc>
          <w:tcPr>
            <w:tcW w:w="119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244"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28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6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1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464"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00"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4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338774097"/>
          <w:trHeight w:val="460"/>
          <w:jc w:val="center"/>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Capital in</w:t>
            </w:r>
            <w:r>
              <w:rPr>
                <w:rFonts w:eastAsia="Times New Roman"/>
                <w:b/>
                <w:bCs/>
                <w:color w:val="000000"/>
                <w:sz w:val="16"/>
                <w:szCs w:val="16"/>
              </w:rPr>
              <w:br/>
              <w:t>Excess of</w:t>
            </w:r>
            <w:r>
              <w:rPr>
                <w:rFonts w:eastAsia="Times New Roman"/>
                <w:b/>
                <w:bCs/>
                <w:color w:val="000000"/>
                <w:sz w:val="16"/>
                <w:szCs w:val="16"/>
              </w:rPr>
              <w:br/>
              <w:t>Par Value</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World Fuel</w:t>
            </w:r>
            <w:r>
              <w:rPr>
                <w:rFonts w:eastAsia="Times New Roman"/>
                <w:b/>
                <w:bCs/>
                <w:color w:val="000000"/>
                <w:sz w:val="16"/>
                <w:szCs w:val="16"/>
              </w:rPr>
              <w:br/>
              <w:t>Shareholders'</w:t>
            </w:r>
            <w:r>
              <w:rPr>
                <w:rFonts w:eastAsia="Times New Roman"/>
                <w:b/>
                <w:bCs/>
                <w:color w:val="000000"/>
                <w:sz w:val="16"/>
                <w:szCs w:val="16"/>
              </w:rPr>
              <w:br/>
              <w:t>Equity</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Noncontrolling</w:t>
            </w:r>
            <w:r>
              <w:rPr>
                <w:rFonts w:eastAsia="Times New Roman"/>
                <w:b/>
                <w:bCs/>
                <w:color w:val="000000"/>
                <w:sz w:val="16"/>
                <w:szCs w:val="16"/>
              </w:rPr>
              <w:br/>
              <w:t xml:space="preserve">Interest </w:t>
            </w:r>
            <w:r>
              <w:rPr>
                <w:rFonts w:eastAsia="Times New Roman"/>
                <w:b/>
                <w:bCs/>
                <w:color w:val="000000"/>
                <w:sz w:val="16"/>
                <w:szCs w:val="16"/>
              </w:rPr>
              <w:br/>
            </w:r>
            <w:r>
              <w:rPr>
                <w:rFonts w:eastAsia="Times New Roman"/>
                <w:b/>
                <w:bCs/>
                <w:color w:val="000000"/>
                <w:sz w:val="16"/>
                <w:szCs w:val="16"/>
              </w:rPr>
              <w:t>Equity</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 Total Equity</w:t>
            </w:r>
          </w:p>
        </w:tc>
      </w:tr>
      <w:tr w:rsidR="00000000">
        <w:trPr>
          <w:divId w:val="1338774097"/>
          <w:trHeight w:val="240"/>
          <w:jc w:val="center"/>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vMerge/>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vMerge/>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vMerge/>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vMerge/>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vMerge/>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vMerge/>
            <w:vAlign w:val="center"/>
            <w:hideMark/>
          </w:tcPr>
          <w:p w:rsidR="00000000" w:rsidRDefault="00967E53">
            <w:pPr>
              <w:spacing w:after="100"/>
              <w:rPr>
                <w:rFonts w:eastAsia="Times New Roman"/>
              </w:rPr>
            </w:pPr>
          </w:p>
        </w:tc>
      </w:tr>
      <w:tr w:rsidR="00967E53">
        <w:trPr>
          <w:divId w:val="1338774097"/>
          <w:jc w:val="center"/>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Balance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1,836.7 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(132.6)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1,909.3 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1,912.9 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338774097"/>
          <w:jc w:val="center"/>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18.9 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18.9 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18.8 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338774097"/>
          <w:jc w:val="center"/>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(7.5)</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(7.5)</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(7.5)</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338774097"/>
          <w:jc w:val="center"/>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338774097"/>
          <w:jc w:val="center"/>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338774097"/>
          <w:jc w:val="center"/>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338774097"/>
          <w:jc w:val="center"/>
        </w:trPr>
        <w:tc>
          <w:tcPr>
            <w:tcW w:w="0" w:type="auto"/>
            <w:gridSpan w:val="3"/>
            <w:vAlign w:val="center"/>
            <w:hideMark/>
          </w:tcPr>
          <w:p w:rsidR="00000000" w:rsidRDefault="00967E53">
            <w:pPr>
              <w:spacing w:after="100"/>
              <w:jc w:val="right"/>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338774097"/>
          <w:jc w:val="center"/>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338774097"/>
          <w:jc w:val="center"/>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338774097"/>
          <w:jc w:val="center"/>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Balance as of 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63.0 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1,848.3 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1,939.5 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1,943.0 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338774097"/>
          <w:jc w:val="center"/>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17.6 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17.6 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17.6 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338774097"/>
          <w:jc w:val="center"/>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338774097"/>
          <w:jc w:val="center"/>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338774097"/>
          <w:jc w:val="center"/>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338774097"/>
          <w:jc w:val="center"/>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338774097"/>
          <w:jc w:val="center"/>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(3.8)</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(3.8)</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(3.8)</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338774097"/>
          <w:jc w:val="center"/>
        </w:trPr>
        <w:tc>
          <w:tcPr>
            <w:tcW w:w="0" w:type="auto"/>
            <w:gridSpan w:val="3"/>
            <w:vAlign w:val="center"/>
            <w:hideMark/>
          </w:tcPr>
          <w:p w:rsidR="00000000" w:rsidRDefault="00967E53">
            <w:pPr>
              <w:spacing w:after="100"/>
              <w:jc w:val="right"/>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967E53">
        <w:trPr>
          <w:divId w:val="1338774097"/>
          <w:jc w:val="center"/>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Balance as of June 30,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63.3 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211.3 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1,858.4 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(124.1)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1,946.2 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1,949.7 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338774097"/>
          <w:jc w:val="center"/>
        </w:trPr>
        <w:tc>
          <w:tcPr>
            <w:tcW w:w="0" w:type="auto"/>
            <w:gridSpan w:val="3"/>
            <w:vAlign w:val="center"/>
            <w:hideMark/>
          </w:tcPr>
          <w:p w:rsidR="00000000" w:rsidRDefault="00967E53">
            <w:pPr>
              <w:spacing w:after="100"/>
              <w:jc w:val="right"/>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338774097"/>
          <w:jc w:val="center"/>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338774097"/>
          <w:jc w:val="center"/>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338774097"/>
          <w:jc w:val="center"/>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338774097"/>
          <w:jc w:val="center"/>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338774097"/>
          <w:jc w:val="center"/>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338774097"/>
          <w:jc w:val="center"/>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338774097"/>
          <w:jc w:val="center"/>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bl>
    <w:p w:rsidR="00000000" w:rsidRDefault="00967E53">
      <w:pPr>
        <w:jc w:val="center"/>
        <w:divId w:val="784927850"/>
        <w:rPr>
          <w:rFonts w:eastAsia="Times New Roman"/>
        </w:rPr>
      </w:pPr>
      <w:r>
        <w:rPr>
          <w:rFonts w:eastAsia="Times New Roman"/>
          <w:color w:val="000000"/>
          <w:sz w:val="16"/>
          <w:szCs w:val="16"/>
        </w:rPr>
        <w:t>    </w:t>
      </w:r>
    </w:p>
    <w:p w:rsidR="00000000" w:rsidRDefault="00967E53">
      <w:pPr>
        <w:ind w:firstLine="360"/>
        <w:jc w:val="center"/>
        <w:divId w:val="1234701819"/>
        <w:rPr>
          <w:rFonts w:eastAsia="Times New Roman"/>
        </w:rPr>
      </w:pPr>
      <w:r>
        <w:rPr>
          <w:rFonts w:eastAsia="Times New Roman"/>
          <w:color w:val="000000"/>
          <w:sz w:val="20"/>
          <w:szCs w:val="20"/>
        </w:rPr>
        <w:t>The accompanying Notes are an integral part of these unaudited Condensed Consolidated Financial Statements.</w:t>
      </w:r>
    </w:p>
    <w:p w:rsidR="00000000" w:rsidRDefault="00967E53">
      <w:pPr>
        <w:ind w:firstLine="360"/>
        <w:jc w:val="center"/>
        <w:divId w:val="1345740509"/>
        <w:rPr>
          <w:rFonts w:eastAsia="Times New Roman"/>
        </w:rPr>
      </w:pPr>
      <w:r>
        <w:rPr>
          <w:rFonts w:eastAsia="Times New Roman"/>
          <w:color w:val="000000"/>
          <w:sz w:val="20"/>
          <w:szCs w:val="20"/>
        </w:rPr>
        <w:t>3</w:t>
      </w:r>
    </w:p>
    <w:p w:rsidR="00000000" w:rsidRDefault="00967E53">
      <w:pPr>
        <w:rPr>
          <w:rFonts w:eastAsia="Times New Roman"/>
        </w:rPr>
      </w:pPr>
      <w:r>
        <w:rPr>
          <w:rFonts w:eastAsia="Times New Roman"/>
        </w:rPr>
        <w:pict>
          <v:rect id="_x0000_i1031" style="width:0;height:1.5pt" o:hralign="center" o:hrstd="t" o:hr="t" fillcolor="#a0a0a0" stroked="f"/>
        </w:pict>
      </w:r>
    </w:p>
    <w:p w:rsidR="00000000" w:rsidRDefault="00967E53">
      <w:pPr>
        <w:ind w:firstLine="360"/>
        <w:jc w:val="both"/>
        <w:divId w:val="1164786461"/>
        <w:rPr>
          <w:rFonts w:eastAsia="Times New Roman"/>
        </w:rPr>
      </w:pPr>
    </w:p>
    <w:p w:rsidR="00000000" w:rsidRDefault="00967E53">
      <w:pPr>
        <w:ind w:firstLine="360"/>
        <w:jc w:val="both"/>
        <w:divId w:val="167557228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6"/>
        <w:gridCol w:w="1094"/>
        <w:gridCol w:w="39"/>
        <w:gridCol w:w="85"/>
        <w:gridCol w:w="410"/>
        <w:gridCol w:w="37"/>
        <w:gridCol w:w="37"/>
        <w:gridCol w:w="37"/>
        <w:gridCol w:w="37"/>
        <w:gridCol w:w="102"/>
        <w:gridCol w:w="505"/>
        <w:gridCol w:w="36"/>
        <w:gridCol w:w="36"/>
        <w:gridCol w:w="36"/>
        <w:gridCol w:w="36"/>
        <w:gridCol w:w="101"/>
        <w:gridCol w:w="626"/>
        <w:gridCol w:w="36"/>
        <w:gridCol w:w="36"/>
        <w:gridCol w:w="36"/>
        <w:gridCol w:w="36"/>
        <w:gridCol w:w="101"/>
        <w:gridCol w:w="565"/>
        <w:gridCol w:w="36"/>
        <w:gridCol w:w="36"/>
        <w:gridCol w:w="36"/>
        <w:gridCol w:w="36"/>
        <w:gridCol w:w="101"/>
        <w:gridCol w:w="1003"/>
        <w:gridCol w:w="36"/>
        <w:gridCol w:w="36"/>
        <w:gridCol w:w="36"/>
        <w:gridCol w:w="36"/>
        <w:gridCol w:w="101"/>
        <w:gridCol w:w="887"/>
        <w:gridCol w:w="36"/>
        <w:gridCol w:w="36"/>
        <w:gridCol w:w="36"/>
        <w:gridCol w:w="36"/>
        <w:gridCol w:w="101"/>
        <w:gridCol w:w="966"/>
        <w:gridCol w:w="36"/>
        <w:gridCol w:w="36"/>
        <w:gridCol w:w="36"/>
        <w:gridCol w:w="36"/>
        <w:gridCol w:w="100"/>
        <w:gridCol w:w="520"/>
        <w:gridCol w:w="36"/>
      </w:tblGrid>
      <w:tr w:rsidR="00000000">
        <w:trPr>
          <w:divId w:val="2055277046"/>
        </w:trPr>
        <w:tc>
          <w:tcPr>
            <w:tcW w:w="50" w:type="pct"/>
            <w:vAlign w:val="center"/>
            <w:hideMark/>
          </w:tcPr>
          <w:p w:rsidR="00000000" w:rsidRDefault="00967E53">
            <w:pPr>
              <w:ind w:firstLine="360"/>
              <w:jc w:val="both"/>
              <w:rPr>
                <w:rFonts w:eastAsia="Times New Roman"/>
              </w:rPr>
            </w:pPr>
          </w:p>
        </w:tc>
        <w:tc>
          <w:tcPr>
            <w:tcW w:w="119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244"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28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6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1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464"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00"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4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2055277046"/>
          <w:trHeight w:val="460"/>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Capital in</w:t>
            </w:r>
            <w:r>
              <w:rPr>
                <w:rFonts w:eastAsia="Times New Roman"/>
                <w:b/>
                <w:bCs/>
                <w:color w:val="000000"/>
                <w:sz w:val="16"/>
                <w:szCs w:val="16"/>
              </w:rPr>
              <w:br/>
              <w:t>Excess of</w:t>
            </w:r>
            <w:r>
              <w:rPr>
                <w:rFonts w:eastAsia="Times New Roman"/>
                <w:b/>
                <w:bCs/>
                <w:color w:val="000000"/>
                <w:sz w:val="16"/>
                <w:szCs w:val="16"/>
              </w:rPr>
              <w:br/>
              <w:t>Par Value</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World Fuel</w:t>
            </w:r>
            <w:r>
              <w:rPr>
                <w:rFonts w:eastAsia="Times New Roman"/>
                <w:b/>
                <w:bCs/>
                <w:color w:val="000000"/>
                <w:sz w:val="16"/>
                <w:szCs w:val="16"/>
              </w:rPr>
              <w:br/>
              <w:t>Shareholders'</w:t>
            </w:r>
            <w:r>
              <w:rPr>
                <w:rFonts w:eastAsia="Times New Roman"/>
                <w:b/>
                <w:bCs/>
                <w:color w:val="000000"/>
                <w:sz w:val="16"/>
                <w:szCs w:val="16"/>
              </w:rPr>
              <w:br/>
              <w:t>Equity</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Noncontrolling</w:t>
            </w:r>
            <w:r>
              <w:rPr>
                <w:rFonts w:eastAsia="Times New Roman"/>
                <w:b/>
                <w:bCs/>
                <w:color w:val="000000"/>
                <w:sz w:val="16"/>
                <w:szCs w:val="16"/>
              </w:rPr>
              <w:br/>
              <w:t xml:space="preserve">Interest </w:t>
            </w:r>
            <w:r>
              <w:rPr>
                <w:rFonts w:eastAsia="Times New Roman"/>
                <w:b/>
                <w:bCs/>
                <w:color w:val="000000"/>
                <w:sz w:val="16"/>
                <w:szCs w:val="16"/>
              </w:rPr>
              <w:br/>
            </w:r>
            <w:r>
              <w:rPr>
                <w:rFonts w:eastAsia="Times New Roman"/>
                <w:b/>
                <w:bCs/>
                <w:color w:val="000000"/>
                <w:sz w:val="16"/>
                <w:szCs w:val="16"/>
              </w:rPr>
              <w:t>Equity</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 Total Equity</w:t>
            </w:r>
          </w:p>
        </w:tc>
      </w:tr>
      <w:tr w:rsidR="00000000">
        <w:trPr>
          <w:divId w:val="2055277046"/>
          <w:trHeight w:val="240"/>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vMerge/>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vMerge/>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vMerge/>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vMerge/>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vMerge/>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vMerge/>
            <w:vAlign w:val="center"/>
            <w:hideMark/>
          </w:tcPr>
          <w:p w:rsidR="00000000" w:rsidRDefault="00967E53">
            <w:pPr>
              <w:spacing w:after="100"/>
              <w:rPr>
                <w:rFonts w:eastAsia="Times New Roman"/>
              </w:rPr>
            </w:pPr>
          </w:p>
        </w:tc>
      </w:tr>
      <w:tr w:rsidR="00967E53">
        <w:trPr>
          <w:divId w:val="2055277046"/>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Balance as of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274.7 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1,761.3 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(146.3)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1,890.4 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1,893.9 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Cumulative effect of change in accounting principl</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(11.1)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(11.1)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(11.1)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41.4 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41.4 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41.6 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Cash dividends declared</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Amortization of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Issuance (cancellation) of common stock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w:t>
            </w:r>
            <w:r>
              <w:rPr>
                <w:rFonts w:eastAsia="Times New Roman"/>
                <w:color w:val="000000"/>
                <w:sz w:val="16"/>
                <w:szCs w:val="16"/>
              </w:rPr>
              <w:t>55.6)</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(55.6)</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(55.6)</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(11.3)</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(11.3)</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(11.3)</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Balance as of March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1,785.1 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(157.5)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1,846.4 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1,850.1 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Net income</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(10.2)</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(10.2)</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(0.4)</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(10.7)</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(6.3)</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(6.3)</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(6.3)</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vAlign w:val="center"/>
            <w:hideMark/>
          </w:tcPr>
          <w:p w:rsidR="00000000" w:rsidRDefault="00967E53">
            <w:pPr>
              <w:spacing w:after="100"/>
              <w:jc w:val="right"/>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2055277046"/>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(16.0)</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(16.0)</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(16.0)</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967E53">
        <w:trPr>
          <w:divId w:val="2055277046"/>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Balance as of June 30, 2020</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63.3 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219.3 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1,768.6 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(173.5)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1,815.0 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1,818.3 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5277046"/>
        </w:trPr>
        <w:tc>
          <w:tcPr>
            <w:tcW w:w="0" w:type="auto"/>
            <w:gridSpan w:val="3"/>
            <w:vAlign w:val="center"/>
            <w:hideMark/>
          </w:tcPr>
          <w:p w:rsidR="00000000" w:rsidRDefault="00967E53">
            <w:pPr>
              <w:spacing w:after="100"/>
              <w:jc w:val="right"/>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2055277046"/>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2055277046"/>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2055277046"/>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2055277046"/>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2055277046"/>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2055277046"/>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bl>
    <w:p w:rsidR="00000000" w:rsidRDefault="00967E53">
      <w:pPr>
        <w:ind w:firstLine="360"/>
        <w:jc w:val="both"/>
        <w:divId w:val="677731045"/>
        <w:rPr>
          <w:rFonts w:eastAsia="Times New Roman"/>
        </w:rPr>
      </w:pPr>
      <w:r>
        <w:rPr>
          <w:rFonts w:eastAsia="Times New Roman"/>
          <w:b/>
          <w:bCs/>
          <w:color w:val="000000"/>
          <w:sz w:val="20"/>
          <w:szCs w:val="20"/>
        </w:rPr>
        <w:t>Cash Dividends</w:t>
      </w:r>
    </w:p>
    <w:p w:rsidR="00000000" w:rsidRDefault="00967E53">
      <w:pPr>
        <w:ind w:firstLine="360"/>
        <w:jc w:val="both"/>
        <w:divId w:val="325935027"/>
        <w:rPr>
          <w:rFonts w:eastAsia="Times New Roman"/>
        </w:rPr>
      </w:pPr>
      <w:r>
        <w:rPr>
          <w:rFonts w:eastAsia="Times New Roman"/>
          <w:color w:val="000000"/>
          <w:sz w:val="20"/>
          <w:szCs w:val="20"/>
        </w:rPr>
        <w:t>During the six months ended June 30, 2021, the Company's Board of Directors declared quarterly cash dividends of $0.12 per common share representin</w:t>
      </w:r>
      <w:r>
        <w:rPr>
          <w:rFonts w:eastAsia="Times New Roman"/>
          <w:color w:val="000000"/>
          <w:sz w:val="20"/>
          <w:szCs w:val="20"/>
        </w:rPr>
        <w:t>g $7.5 million and $7.6 million in total dividends, which were paid on April 9, 2021 and July 1, 2021, respectively. During the six months ended June 30, 2020, the Company's Board of Directors declared quarterly cash dividends of $0.10 per common share rep</w:t>
      </w:r>
      <w:r>
        <w:rPr>
          <w:rFonts w:eastAsia="Times New Roman"/>
          <w:color w:val="000000"/>
          <w:sz w:val="20"/>
          <w:szCs w:val="20"/>
        </w:rPr>
        <w:t>resenting $6.5 million and $6.3 million in total dividends, which were paid on April 9, 2020 and July 2, 2020, respectively.</w:t>
      </w:r>
    </w:p>
    <w:p w:rsidR="00000000" w:rsidRDefault="00967E53">
      <w:pPr>
        <w:ind w:firstLine="360"/>
        <w:jc w:val="center"/>
        <w:divId w:val="1917473255"/>
        <w:rPr>
          <w:rFonts w:eastAsia="Times New Roman"/>
        </w:rPr>
      </w:pPr>
      <w:r>
        <w:rPr>
          <w:rFonts w:eastAsia="Times New Roman"/>
          <w:color w:val="000000"/>
          <w:sz w:val="20"/>
          <w:szCs w:val="20"/>
        </w:rPr>
        <w:t>The accompanying Notes are an integral part of these unaudited Condensed Consolidated Financial Statements.</w:t>
      </w:r>
    </w:p>
    <w:p w:rsidR="00000000" w:rsidRDefault="00967E53">
      <w:pPr>
        <w:ind w:firstLine="360"/>
        <w:jc w:val="center"/>
        <w:divId w:val="879123149"/>
        <w:rPr>
          <w:rFonts w:eastAsia="Times New Roman"/>
        </w:rPr>
      </w:pPr>
      <w:r>
        <w:rPr>
          <w:rFonts w:eastAsia="Times New Roman"/>
          <w:color w:val="000000"/>
          <w:sz w:val="20"/>
          <w:szCs w:val="20"/>
        </w:rPr>
        <w:t>4</w:t>
      </w:r>
    </w:p>
    <w:p w:rsidR="00000000" w:rsidRDefault="00967E53">
      <w:pPr>
        <w:rPr>
          <w:rFonts w:eastAsia="Times New Roman"/>
        </w:rPr>
      </w:pPr>
      <w:r>
        <w:rPr>
          <w:rFonts w:eastAsia="Times New Roman"/>
        </w:rPr>
        <w:pict>
          <v:rect id="_x0000_i1032" style="width:0;height:1.5pt" o:hralign="center" o:hrstd="t" o:hr="t" fillcolor="#a0a0a0" stroked="f"/>
        </w:pict>
      </w:r>
    </w:p>
    <w:p w:rsidR="00000000" w:rsidRDefault="00967E53">
      <w:pPr>
        <w:ind w:firstLine="360"/>
        <w:jc w:val="both"/>
        <w:divId w:val="1100104650"/>
        <w:rPr>
          <w:rFonts w:eastAsia="Times New Roman"/>
        </w:rPr>
      </w:pPr>
    </w:p>
    <w:p w:rsidR="00000000" w:rsidRDefault="00967E53">
      <w:pPr>
        <w:ind w:firstLine="360"/>
        <w:jc w:val="both"/>
        <w:divId w:val="1118570184"/>
        <w:rPr>
          <w:rFonts w:eastAsia="Times New Roman"/>
        </w:rPr>
      </w:pPr>
    </w:p>
    <w:p w:rsidR="00000000" w:rsidRDefault="00967E53">
      <w:pPr>
        <w:ind w:firstLine="360"/>
        <w:jc w:val="center"/>
        <w:divId w:val="516190246"/>
        <w:rPr>
          <w:rFonts w:eastAsia="Times New Roman"/>
        </w:rPr>
      </w:pPr>
      <w:r>
        <w:rPr>
          <w:rFonts w:eastAsia="Times New Roman"/>
          <w:b/>
          <w:bCs/>
          <w:color w:val="000000"/>
          <w:sz w:val="20"/>
          <w:szCs w:val="20"/>
        </w:rPr>
        <w:t>World Fuel Services Corporation</w:t>
      </w:r>
    </w:p>
    <w:p w:rsidR="00000000" w:rsidRDefault="00967E53">
      <w:pPr>
        <w:ind w:firstLine="360"/>
        <w:jc w:val="center"/>
        <w:divId w:val="467095049"/>
        <w:rPr>
          <w:rFonts w:eastAsia="Times New Roman"/>
        </w:rPr>
      </w:pPr>
      <w:r>
        <w:rPr>
          <w:rFonts w:eastAsia="Times New Roman"/>
          <w:b/>
          <w:bCs/>
          <w:color w:val="000000"/>
          <w:sz w:val="20"/>
          <w:szCs w:val="20"/>
        </w:rPr>
        <w:t>Condensed Consolidated Statements of Cash Flows</w:t>
      </w:r>
    </w:p>
    <w:p w:rsidR="00000000" w:rsidRDefault="00967E53">
      <w:pPr>
        <w:ind w:firstLine="360"/>
        <w:jc w:val="center"/>
        <w:divId w:val="1034186188"/>
        <w:rPr>
          <w:rFonts w:eastAsia="Times New Roman"/>
        </w:rPr>
      </w:pPr>
      <w:r>
        <w:rPr>
          <w:rFonts w:eastAsia="Times New Roman"/>
          <w:color w:val="000000"/>
          <w:sz w:val="20"/>
          <w:szCs w:val="20"/>
        </w:rPr>
        <w:t>(Unaudited -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936"/>
        <w:gridCol w:w="38"/>
        <w:gridCol w:w="36"/>
        <w:gridCol w:w="36"/>
        <w:gridCol w:w="36"/>
        <w:gridCol w:w="120"/>
        <w:gridCol w:w="880"/>
        <w:gridCol w:w="36"/>
        <w:gridCol w:w="36"/>
        <w:gridCol w:w="36"/>
        <w:gridCol w:w="36"/>
        <w:gridCol w:w="122"/>
        <w:gridCol w:w="883"/>
        <w:gridCol w:w="36"/>
      </w:tblGrid>
      <w:tr w:rsidR="00000000">
        <w:trPr>
          <w:divId w:val="1239444372"/>
          <w:jc w:val="center"/>
        </w:trPr>
        <w:tc>
          <w:tcPr>
            <w:tcW w:w="50" w:type="pct"/>
            <w:vAlign w:val="center"/>
            <w:hideMark/>
          </w:tcPr>
          <w:p w:rsidR="00000000" w:rsidRDefault="00967E53">
            <w:pPr>
              <w:ind w:firstLine="360"/>
              <w:jc w:val="center"/>
              <w:rPr>
                <w:rFonts w:eastAsia="Times New Roman"/>
              </w:rPr>
            </w:pPr>
          </w:p>
        </w:tc>
        <w:tc>
          <w:tcPr>
            <w:tcW w:w="359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80"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8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239444372"/>
          <w:jc w:val="center"/>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For the Six Months Ended</w:t>
            </w:r>
          </w:p>
        </w:tc>
      </w:tr>
      <w:tr w:rsidR="00000000">
        <w:trPr>
          <w:divId w:val="1239444372"/>
          <w:jc w:val="center"/>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June 30,</w:t>
            </w:r>
          </w:p>
        </w:tc>
      </w:tr>
      <w:tr w:rsidR="00000000">
        <w:trPr>
          <w:divId w:val="1239444372"/>
          <w:jc w:val="center"/>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r>
      <w:tr w:rsidR="00000000">
        <w:trPr>
          <w:divId w:val="1239444372"/>
          <w:jc w:val="center"/>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20"/>
                <w:szCs w:val="20"/>
              </w:rPr>
              <w:t> </w:t>
            </w:r>
          </w:p>
        </w:tc>
      </w:tr>
      <w:tr w:rsidR="00000000">
        <w:trPr>
          <w:divId w:val="1239444372"/>
          <w:jc w:val="center"/>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Net income (loss) including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36.4 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31.0 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Adjustments to reconcile net income including noncontrolling interest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239444372"/>
          <w:jc w:val="center"/>
        </w:trPr>
        <w:tc>
          <w:tcPr>
            <w:tcW w:w="0" w:type="auto"/>
            <w:gridSpan w:val="3"/>
            <w:shd w:val="clear" w:color="auto" w:fill="FFFFFF"/>
            <w:tcMar>
              <w:top w:w="30" w:type="dxa"/>
              <w:left w:w="24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40.5 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44.2 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24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34.6 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FFFFFF"/>
            <w:tcMar>
              <w:top w:w="30" w:type="dxa"/>
              <w:left w:w="24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Share-based payment award compensation costs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24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Deferred income tax expense (benefit)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(15.4)</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vAlign w:val="center"/>
            <w:hideMark/>
          </w:tcPr>
          <w:p w:rsidR="00000000" w:rsidRDefault="00967E53">
            <w:pPr>
              <w:spacing w:after="100"/>
              <w:jc w:val="right"/>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239444372"/>
          <w:jc w:val="center"/>
        </w:trPr>
        <w:tc>
          <w:tcPr>
            <w:tcW w:w="0" w:type="auto"/>
            <w:gridSpan w:val="3"/>
            <w:shd w:val="clear" w:color="auto" w:fill="FFFFFF"/>
            <w:tcMar>
              <w:top w:w="30" w:type="dxa"/>
              <w:left w:w="24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 xml:space="preserve">Foreign currency (gains) losses, net </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24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FFFFFF"/>
            <w:tcMar>
              <w:top w:w="30" w:type="dxa"/>
              <w:left w:w="24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Changes in assets and liabilities, net of acquisitions and divestitures: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239444372"/>
          <w:jc w:val="center"/>
        </w:trPr>
        <w:tc>
          <w:tcPr>
            <w:tcW w:w="0" w:type="auto"/>
            <w:gridSpan w:val="3"/>
            <w:shd w:val="clear" w:color="auto" w:fill="CCEEFF"/>
            <w:tcMar>
              <w:top w:w="30" w:type="dxa"/>
              <w:left w:w="38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(600.7)</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1,462.6 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FFFFFF"/>
            <w:tcMar>
              <w:top w:w="30" w:type="dxa"/>
              <w:left w:w="38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Inventories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(77.4)</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282.8 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38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Prepaid expenses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(24.3)</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FFFFFF"/>
            <w:tcMar>
              <w:top w:w="30" w:type="dxa"/>
              <w:left w:w="38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Short-term derivative assets, net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39.6 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(110.4)</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38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61.9 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17.2 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FFFFFF"/>
            <w:tcMar>
              <w:top w:w="30" w:type="dxa"/>
              <w:left w:w="38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Cash collateral with counterparties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24.7 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38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(28.9)</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(18.4)</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FFFFFF"/>
            <w:tcMar>
              <w:top w:w="30" w:type="dxa"/>
              <w:left w:w="38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605.9 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w:t>
            </w:r>
            <w:r>
              <w:rPr>
                <w:rFonts w:eastAsia="Times New Roman"/>
                <w:color w:val="000000"/>
                <w:sz w:val="20"/>
                <w:szCs w:val="20"/>
              </w:rPr>
              <w:t>1,527.1)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38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Customer deposits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FFFFFF"/>
            <w:tcMar>
              <w:top w:w="30" w:type="dxa"/>
              <w:left w:w="38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41.1 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(25.2)</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38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Non-current income tax, net and 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23.8 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33.7 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FFFFFF"/>
            <w:tcMar>
              <w:top w:w="30" w:type="dxa"/>
              <w:left w:w="24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adjustments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214.1 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b/>
                <w:bCs/>
                <w:color w:val="000000"/>
                <w:sz w:val="20"/>
                <w:szCs w:val="20"/>
              </w:rPr>
              <w:t>Net cash provided by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140.6 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Cash flows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239444372"/>
          <w:jc w:val="center"/>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Acquisition of business, net of cash acquired</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(130.6)</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Capital expenditures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(14.2)</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w:t>
            </w:r>
            <w:r>
              <w:rPr>
                <w:rFonts w:eastAsia="Times New Roman"/>
                <w:color w:val="000000"/>
                <w:sz w:val="20"/>
                <w:szCs w:val="20"/>
              </w:rPr>
              <w:t>32.9)</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Other investing activities, net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(5.4)</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b/>
                <w:bCs/>
                <w:color w:val="000000"/>
                <w:sz w:val="20"/>
                <w:szCs w:val="20"/>
              </w:rPr>
              <w:t>Net cash provided by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(168.7)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239444372"/>
          <w:jc w:val="center"/>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Borrowings of debt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2,080.0 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Repayments of debt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(8.9)</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(1,613.7)</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Dividends paid on common stock</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(13.6)</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(13.0)</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Repurchases of common stock</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(55.6)</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Other financing activities, net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(13.5)</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b/>
                <w:bCs/>
                <w:color w:val="000000"/>
                <w:sz w:val="20"/>
                <w:szCs w:val="20"/>
              </w:rPr>
              <w:t>Net cash provided by (used in) financing activities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394.9 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Effect of exchange rate changes on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b/>
                <w:bCs/>
                <w:color w:val="000000"/>
                <w:sz w:val="20"/>
                <w:szCs w:val="20"/>
              </w:rPr>
              <w:t>Net increase (decrease) in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459.6 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Cash and cash equivalents, as of the beginning of the period</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658.8 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186.1 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239444372"/>
          <w:jc w:val="center"/>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b/>
                <w:bCs/>
                <w:color w:val="000000"/>
                <w:sz w:val="20"/>
                <w:szCs w:val="20"/>
              </w:rPr>
              <w:t>Cash and cash equivalents, as of the end of the period</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742.7 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645.7 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divId w:val="780301400"/>
        <w:rPr>
          <w:rFonts w:eastAsia="Times New Roman"/>
        </w:rPr>
      </w:pPr>
      <w:r>
        <w:rPr>
          <w:rFonts w:eastAsia="Times New Roman"/>
          <w:b/>
          <w:bCs/>
          <w:color w:val="000000"/>
          <w:sz w:val="20"/>
          <w:szCs w:val="20"/>
        </w:rPr>
        <w:t>S</w:t>
      </w:r>
      <w:r>
        <w:rPr>
          <w:rFonts w:eastAsia="Times New Roman"/>
          <w:b/>
          <w:bCs/>
          <w:color w:val="000000"/>
          <w:sz w:val="20"/>
          <w:szCs w:val="20"/>
        </w:rPr>
        <w:t>upplemental Schedule of Noncash Investing and Financing Activities:</w:t>
      </w:r>
    </w:p>
    <w:p w:rsidR="00000000" w:rsidRDefault="00967E53">
      <w:pPr>
        <w:ind w:firstLine="360"/>
        <w:jc w:val="both"/>
        <w:divId w:val="1817840467"/>
        <w:rPr>
          <w:rFonts w:eastAsia="Times New Roman"/>
        </w:rPr>
      </w:pPr>
      <w:r>
        <w:rPr>
          <w:rFonts w:eastAsia="Times New Roman"/>
          <w:color w:val="000000"/>
          <w:sz w:val="20"/>
          <w:szCs w:val="20"/>
        </w:rPr>
        <w:t>Cash dividends declared, but not yet paid, were $7.6 million and $6.3 million for the six months ended June 30, 2021 and 2020, respectively.</w:t>
      </w:r>
    </w:p>
    <w:p w:rsidR="00000000" w:rsidRDefault="00967E53">
      <w:pPr>
        <w:ind w:firstLine="360"/>
        <w:jc w:val="center"/>
        <w:divId w:val="69620001"/>
        <w:rPr>
          <w:rFonts w:eastAsia="Times New Roman"/>
        </w:rPr>
      </w:pPr>
      <w:r>
        <w:rPr>
          <w:rFonts w:eastAsia="Times New Roman"/>
          <w:color w:val="000000"/>
          <w:sz w:val="20"/>
          <w:szCs w:val="20"/>
        </w:rPr>
        <w:t xml:space="preserve">The accompanying Notes are an integral part of </w:t>
      </w:r>
      <w:r>
        <w:rPr>
          <w:rFonts w:eastAsia="Times New Roman"/>
          <w:color w:val="000000"/>
          <w:sz w:val="20"/>
          <w:szCs w:val="20"/>
        </w:rPr>
        <w:t>these unaudited Condensed Consolidated Financial Statements.</w:t>
      </w:r>
    </w:p>
    <w:p w:rsidR="00000000" w:rsidRDefault="00967E53">
      <w:pPr>
        <w:ind w:firstLine="360"/>
        <w:jc w:val="center"/>
        <w:divId w:val="1837266052"/>
        <w:rPr>
          <w:rFonts w:eastAsia="Times New Roman"/>
        </w:rPr>
      </w:pPr>
      <w:r>
        <w:rPr>
          <w:rFonts w:eastAsia="Times New Roman"/>
          <w:color w:val="000000"/>
          <w:sz w:val="20"/>
          <w:szCs w:val="20"/>
        </w:rPr>
        <w:t>5</w:t>
      </w:r>
    </w:p>
    <w:p w:rsidR="00000000" w:rsidRDefault="00967E53">
      <w:pPr>
        <w:rPr>
          <w:rFonts w:eastAsia="Times New Roman"/>
        </w:rPr>
      </w:pPr>
      <w:r>
        <w:rPr>
          <w:rFonts w:eastAsia="Times New Roman"/>
        </w:rPr>
        <w:pict>
          <v:rect id="_x0000_i1033" style="width:0;height:1.5pt" o:hralign="center" o:hrstd="t" o:hr="t" fillcolor="#a0a0a0" stroked="f"/>
        </w:pict>
      </w:r>
    </w:p>
    <w:p w:rsidR="00000000" w:rsidRDefault="00967E53">
      <w:pPr>
        <w:ind w:firstLine="360"/>
        <w:jc w:val="both"/>
        <w:divId w:val="1290280080"/>
        <w:rPr>
          <w:rFonts w:eastAsia="Times New Roman"/>
        </w:rPr>
      </w:pPr>
    </w:p>
    <w:p w:rsidR="00000000" w:rsidRDefault="00967E53">
      <w:pPr>
        <w:ind w:firstLine="360"/>
        <w:jc w:val="both"/>
        <w:divId w:val="1350330563"/>
        <w:rPr>
          <w:rFonts w:eastAsia="Times New Roman"/>
        </w:rPr>
      </w:pPr>
    </w:p>
    <w:p w:rsidR="00000000" w:rsidRDefault="00967E53">
      <w:pPr>
        <w:ind w:firstLine="360"/>
        <w:jc w:val="center"/>
        <w:divId w:val="1694115874"/>
        <w:rPr>
          <w:rFonts w:eastAsia="Times New Roman"/>
        </w:rPr>
      </w:pPr>
      <w:r>
        <w:rPr>
          <w:rFonts w:eastAsia="Times New Roman"/>
          <w:b/>
          <w:bCs/>
          <w:color w:val="000000"/>
          <w:sz w:val="20"/>
          <w:szCs w:val="20"/>
        </w:rPr>
        <w:t>World Fuel Services Corporation</w:t>
      </w:r>
    </w:p>
    <w:p w:rsidR="00000000" w:rsidRDefault="00967E53">
      <w:pPr>
        <w:ind w:firstLine="360"/>
        <w:jc w:val="center"/>
        <w:divId w:val="1020856382"/>
        <w:rPr>
          <w:rFonts w:eastAsia="Times New Roman"/>
        </w:rPr>
      </w:pPr>
      <w:r>
        <w:rPr>
          <w:rFonts w:eastAsia="Times New Roman"/>
          <w:b/>
          <w:bCs/>
          <w:color w:val="000000"/>
          <w:sz w:val="20"/>
          <w:szCs w:val="20"/>
        </w:rPr>
        <w:t>Notes to the Condensed Consolidated Financial Statements</w:t>
      </w:r>
    </w:p>
    <w:p w:rsidR="00000000" w:rsidRDefault="00967E53">
      <w:pPr>
        <w:ind w:firstLine="360"/>
        <w:jc w:val="center"/>
        <w:divId w:val="1040008325"/>
        <w:rPr>
          <w:rFonts w:eastAsia="Times New Roman"/>
        </w:rPr>
      </w:pPr>
      <w:r>
        <w:rPr>
          <w:rFonts w:eastAsia="Times New Roman"/>
          <w:color w:val="000000"/>
          <w:sz w:val="20"/>
          <w:szCs w:val="20"/>
        </w:rPr>
        <w:t>(Unaudited) </w:t>
      </w:r>
    </w:p>
    <w:p w:rsidR="00000000" w:rsidRDefault="00967E53">
      <w:pPr>
        <w:jc w:val="both"/>
        <w:divId w:val="993680178"/>
        <w:rPr>
          <w:rFonts w:eastAsia="Times New Roman"/>
        </w:rPr>
      </w:pPr>
      <w:r>
        <w:rPr>
          <w:rFonts w:eastAsia="Times New Roman"/>
          <w:b/>
          <w:bCs/>
          <w:color w:val="000000"/>
          <w:sz w:val="20"/>
          <w:szCs w:val="20"/>
        </w:rPr>
        <w:t>1. Basis of Presentation, New Accounting Standards, and Significant Accounting Policies</w:t>
      </w:r>
    </w:p>
    <w:p w:rsidR="00000000" w:rsidRDefault="00967E53">
      <w:pPr>
        <w:ind w:firstLine="270"/>
        <w:divId w:val="925772882"/>
        <w:rPr>
          <w:rFonts w:eastAsia="Times New Roman"/>
        </w:rPr>
      </w:pPr>
      <w:r>
        <w:rPr>
          <w:rFonts w:eastAsia="Times New Roman"/>
          <w:b/>
          <w:bCs/>
          <w:color w:val="000000"/>
          <w:sz w:val="20"/>
          <w:szCs w:val="20"/>
        </w:rPr>
        <w:t>General</w:t>
      </w:r>
    </w:p>
    <w:p w:rsidR="00000000" w:rsidRDefault="00967E53">
      <w:pPr>
        <w:ind w:firstLine="360"/>
        <w:jc w:val="both"/>
        <w:divId w:val="1766271013"/>
        <w:rPr>
          <w:rFonts w:eastAsia="Times New Roman"/>
        </w:rPr>
      </w:pPr>
      <w:r>
        <w:rPr>
          <w:rFonts w:eastAsia="Times New Roman"/>
          <w:color w:val="000000"/>
          <w:sz w:val="20"/>
          <w:szCs w:val="20"/>
        </w:rPr>
        <w:t>World Fuel Service</w:t>
      </w:r>
      <w:r>
        <w:rPr>
          <w:rFonts w:eastAsia="Times New Roman"/>
          <w:color w:val="000000"/>
          <w:sz w:val="20"/>
          <w:szCs w:val="20"/>
        </w:rPr>
        <w:t>s Corporation (the “Company”) was incorporated in Florida in July 1984 and along with its consolidated subsidiaries is referred to collectively in this Quarterly Report on Form 10-Q (“10-Q Report”) as “World Fuel,” “we,” “our” and “us.”</w:t>
      </w:r>
    </w:p>
    <w:p w:rsidR="00000000" w:rsidRDefault="00967E53">
      <w:pPr>
        <w:ind w:firstLine="360"/>
        <w:jc w:val="both"/>
        <w:divId w:val="950553428"/>
        <w:rPr>
          <w:rFonts w:eastAsia="Times New Roman"/>
        </w:rPr>
      </w:pPr>
      <w:r>
        <w:rPr>
          <w:rFonts w:eastAsia="Times New Roman"/>
          <w:color w:val="000000"/>
          <w:sz w:val="20"/>
          <w:szCs w:val="20"/>
        </w:rPr>
        <w:t>We are a leading gl</w:t>
      </w:r>
      <w:r>
        <w:rPr>
          <w:rFonts w:eastAsia="Times New Roman"/>
          <w:color w:val="000000"/>
          <w:sz w:val="20"/>
          <w:szCs w:val="20"/>
        </w:rPr>
        <w:t>obal fuel services company, principally engaged in the distribution of fuel and related products and services in the aviation, land and marine transportation industries. In recent years, we have expanded our land product and service offerings to include en</w:t>
      </w:r>
      <w:r>
        <w:rPr>
          <w:rFonts w:eastAsia="Times New Roman"/>
          <w:color w:val="000000"/>
          <w:sz w:val="20"/>
          <w:szCs w:val="20"/>
        </w:rPr>
        <w:t>ergy advisory services and supply fulfillment for natural gas and power to commercial, industrial and government customers. Our intention is to become a leading global energy management company offering a full suite of energy advisory, management and fulfi</w:t>
      </w:r>
      <w:r>
        <w:rPr>
          <w:rFonts w:eastAsia="Times New Roman"/>
          <w:color w:val="000000"/>
          <w:sz w:val="20"/>
          <w:szCs w:val="20"/>
        </w:rPr>
        <w:t>llment services, technology solutions, payment management solutions, as well as sustainability products and services across the energy product spectrum. We will continue to focus on enhancing the portfolio of products and services we provide based on chang</w:t>
      </w:r>
      <w:r>
        <w:rPr>
          <w:rFonts w:eastAsia="Times New Roman"/>
          <w:color w:val="000000"/>
          <w:sz w:val="20"/>
          <w:szCs w:val="20"/>
        </w:rPr>
        <w:t>es in customer demand, including sustainability offerings and renewable energy solutions.</w:t>
      </w:r>
    </w:p>
    <w:p w:rsidR="00000000" w:rsidRDefault="00967E53">
      <w:pPr>
        <w:ind w:firstLine="360"/>
        <w:jc w:val="both"/>
        <w:divId w:val="2050911886"/>
        <w:rPr>
          <w:rFonts w:eastAsia="Times New Roman"/>
        </w:rPr>
      </w:pPr>
      <w:r>
        <w:rPr>
          <w:rFonts w:eastAsia="Times New Roman"/>
          <w:color w:val="000000"/>
          <w:sz w:val="20"/>
          <w:szCs w:val="20"/>
        </w:rPr>
        <w:t>The Condensed Consolidated Financial Statements and related Notes include our parent company and all subsidiaries where we exercise control, and include the operation</w:t>
      </w:r>
      <w:r>
        <w:rPr>
          <w:rFonts w:eastAsia="Times New Roman"/>
          <w:color w:val="000000"/>
          <w:sz w:val="20"/>
          <w:szCs w:val="20"/>
        </w:rPr>
        <w:t>s of acquired businesses after the completion of their acquisition. The decision of whether or not to consolidate an entity requires consideration of majority voting interests, as well as effective economic or other control over the entity. The Condensed C</w:t>
      </w:r>
      <w:r>
        <w:rPr>
          <w:rFonts w:eastAsia="Times New Roman"/>
          <w:color w:val="000000"/>
          <w:sz w:val="20"/>
          <w:szCs w:val="20"/>
        </w:rPr>
        <w:t>onsolidated Financial Statements are prepared in accordance with accounting principles generally accepted in the United States of America (“U.S. GAAP”), the instructions to Form 10-Q and Article 10 of Regulation S-X. Accordingly, they do not include all th</w:t>
      </w:r>
      <w:r>
        <w:rPr>
          <w:rFonts w:eastAsia="Times New Roman"/>
          <w:color w:val="000000"/>
          <w:sz w:val="20"/>
          <w:szCs w:val="20"/>
        </w:rPr>
        <w:t>e information and footnotes required by generally accepted accounting principles for complete financial statements. However, except as disclosed herein, there has been no material change in the information disclosed in the Notes included in our 2020 Annual</w:t>
      </w:r>
      <w:r>
        <w:rPr>
          <w:rFonts w:eastAsia="Times New Roman"/>
          <w:color w:val="000000"/>
          <w:sz w:val="20"/>
          <w:szCs w:val="20"/>
        </w:rPr>
        <w:t xml:space="preserve"> Report on Form 10-K (“2020 10-K Report”). All intercompany transactions among our businesses have been eliminated.</w:t>
      </w:r>
    </w:p>
    <w:p w:rsidR="00000000" w:rsidRDefault="00967E53">
      <w:pPr>
        <w:ind w:firstLine="360"/>
        <w:jc w:val="both"/>
        <w:divId w:val="1631088616"/>
        <w:rPr>
          <w:rFonts w:eastAsia="Times New Roman"/>
        </w:rPr>
      </w:pPr>
      <w:r>
        <w:rPr>
          <w:rFonts w:eastAsia="Times New Roman"/>
          <w:color w:val="000000"/>
          <w:sz w:val="20"/>
          <w:szCs w:val="20"/>
        </w:rPr>
        <w:t>Revenues, expenses, assets and liabilities can vary during each quarter of the year. Therefore, the results and trends in these interim fina</w:t>
      </w:r>
      <w:r>
        <w:rPr>
          <w:rFonts w:eastAsia="Times New Roman"/>
          <w:color w:val="000000"/>
          <w:sz w:val="20"/>
          <w:szCs w:val="20"/>
        </w:rPr>
        <w:t xml:space="preserve">ncial statements may not be representative of those for the full year. In our opinion, all adjustments necessary for a fair statement of the financial statements, which are of a normal and recurring nature, have been made for the interim periods reported. </w:t>
      </w:r>
      <w:r>
        <w:rPr>
          <w:rFonts w:eastAsia="Times New Roman"/>
          <w:color w:val="000000"/>
          <w:sz w:val="20"/>
          <w:szCs w:val="20"/>
        </w:rPr>
        <w:t>The information included in this 10-Q Report should be read in conjunction with the Consolidated Financial Statements and accompanying Notes included in our 2020 10-K Report. Certain amounts in the Condensed Consolidated Financial Statements and accompanyi</w:t>
      </w:r>
      <w:r>
        <w:rPr>
          <w:rFonts w:eastAsia="Times New Roman"/>
          <w:color w:val="000000"/>
          <w:sz w:val="20"/>
          <w:szCs w:val="20"/>
        </w:rPr>
        <w:t>ng Notes may not add due to rounding; however, all percentages have been calculated using unrounded amounts.</w:t>
      </w:r>
    </w:p>
    <w:p w:rsidR="00000000" w:rsidRDefault="00967E53">
      <w:pPr>
        <w:ind w:firstLine="360"/>
        <w:jc w:val="both"/>
        <w:divId w:val="1027099595"/>
        <w:rPr>
          <w:rFonts w:eastAsia="Times New Roman"/>
        </w:rPr>
      </w:pPr>
      <w:r>
        <w:rPr>
          <w:rFonts w:eastAsia="Times New Roman"/>
          <w:b/>
          <w:bCs/>
          <w:color w:val="000000"/>
          <w:sz w:val="20"/>
          <w:szCs w:val="20"/>
        </w:rPr>
        <w:t>COVID-19</w:t>
      </w:r>
    </w:p>
    <w:p w:rsidR="00000000" w:rsidRDefault="00967E53">
      <w:pPr>
        <w:ind w:firstLine="360"/>
        <w:jc w:val="both"/>
        <w:divId w:val="1040280970"/>
        <w:rPr>
          <w:rFonts w:eastAsia="Times New Roman"/>
        </w:rPr>
      </w:pPr>
      <w:r>
        <w:rPr>
          <w:rFonts w:eastAsia="Times New Roman"/>
          <w:color w:val="000000"/>
          <w:sz w:val="20"/>
          <w:szCs w:val="20"/>
        </w:rPr>
        <w:t>Throughout 2020, the COVID-19 pandemic had a significant impact on the global economy as a whole, and the transportation industries in par</w:t>
      </w:r>
      <w:r>
        <w:rPr>
          <w:rFonts w:eastAsia="Times New Roman"/>
          <w:color w:val="000000"/>
          <w:sz w:val="20"/>
          <w:szCs w:val="20"/>
        </w:rPr>
        <w:t>ticular, which has continued into 2021. Many of our customers in these industries, especially commercial airlines, have experienced a substantial decline in business activity arising from the various measures enacted by governments around the world to cont</w:t>
      </w:r>
      <w:r>
        <w:rPr>
          <w:rFonts w:eastAsia="Times New Roman"/>
          <w:color w:val="000000"/>
          <w:sz w:val="20"/>
          <w:szCs w:val="20"/>
        </w:rPr>
        <w:t>ain the spread of the virus. While travel and economic activity has begun to improve in certain regions, activity in many parts of the world continues to be negatively impacted by travel restrictions and lockdowns.</w:t>
      </w:r>
    </w:p>
    <w:p w:rsidR="00000000" w:rsidRDefault="00967E53">
      <w:pPr>
        <w:ind w:firstLine="360"/>
        <w:jc w:val="both"/>
        <w:divId w:val="1572109837"/>
        <w:rPr>
          <w:rFonts w:eastAsia="Times New Roman"/>
        </w:rPr>
      </w:pPr>
      <w:r>
        <w:rPr>
          <w:rFonts w:eastAsia="Times New Roman"/>
          <w:color w:val="000000"/>
          <w:sz w:val="20"/>
          <w:szCs w:val="20"/>
        </w:rPr>
        <w:t>In response to the challenges arising fro</w:t>
      </w:r>
      <w:r>
        <w:rPr>
          <w:rFonts w:eastAsia="Times New Roman"/>
          <w:color w:val="000000"/>
          <w:sz w:val="20"/>
          <w:szCs w:val="20"/>
        </w:rPr>
        <w:t>m the pandemic, we commenced a number of initiatives in 2020 relating to cost reduction, liquidity and operating efficiencies, which remain an area of focus for us in 2021. The ultimate global recovery from the pandemic will be dependent on, among other th</w:t>
      </w:r>
      <w:r>
        <w:rPr>
          <w:rFonts w:eastAsia="Times New Roman"/>
          <w:color w:val="000000"/>
          <w:sz w:val="20"/>
          <w:szCs w:val="20"/>
        </w:rPr>
        <w:t>ings, actions taken by governments and businesses to contain and combat the virus, including any variant strains, the speed and effectiveness of vaccine production and global distribution, as well as how quickly, and to what extent, normal economic and ope</w:t>
      </w:r>
      <w:r>
        <w:rPr>
          <w:rFonts w:eastAsia="Times New Roman"/>
          <w:color w:val="000000"/>
          <w:sz w:val="20"/>
          <w:szCs w:val="20"/>
        </w:rPr>
        <w:t>rating conditions can resume on a sustainable basis globally.</w:t>
      </w:r>
    </w:p>
    <w:p w:rsidR="00000000" w:rsidRDefault="00967E53">
      <w:pPr>
        <w:ind w:firstLine="360"/>
        <w:jc w:val="both"/>
        <w:divId w:val="1558200936"/>
        <w:rPr>
          <w:rFonts w:eastAsia="Times New Roman"/>
        </w:rPr>
      </w:pPr>
      <w:r>
        <w:rPr>
          <w:rFonts w:eastAsia="Times New Roman"/>
          <w:b/>
          <w:bCs/>
          <w:color w:val="000000"/>
          <w:sz w:val="20"/>
          <w:szCs w:val="20"/>
        </w:rPr>
        <w:t>New Accounting Standards</w:t>
      </w:r>
    </w:p>
    <w:p w:rsidR="00000000" w:rsidRDefault="00967E53">
      <w:pPr>
        <w:ind w:firstLine="360"/>
        <w:jc w:val="both"/>
        <w:divId w:val="899171365"/>
        <w:rPr>
          <w:rFonts w:eastAsia="Times New Roman"/>
        </w:rPr>
      </w:pPr>
      <w:r>
        <w:rPr>
          <w:rFonts w:eastAsia="Times New Roman"/>
          <w:color w:val="000000"/>
          <w:sz w:val="20"/>
          <w:szCs w:val="20"/>
          <w:u w:val="single"/>
        </w:rPr>
        <w:t>Adoption of New Accounting Standards</w:t>
      </w:r>
    </w:p>
    <w:p w:rsidR="00000000" w:rsidRDefault="00967E53">
      <w:pPr>
        <w:ind w:firstLine="360"/>
        <w:jc w:val="both"/>
        <w:divId w:val="1287617786"/>
        <w:rPr>
          <w:rFonts w:eastAsia="Times New Roman"/>
        </w:rPr>
      </w:pPr>
      <w:r>
        <w:rPr>
          <w:rFonts w:eastAsia="Times New Roman"/>
          <w:color w:val="000000"/>
          <w:sz w:val="20"/>
          <w:szCs w:val="20"/>
        </w:rPr>
        <w:t>During 2021, there have been no accounting standards that, upon adoption, had a material impact on the Company’s unaudited Condensed</w:t>
      </w:r>
      <w:r>
        <w:rPr>
          <w:rFonts w:eastAsia="Times New Roman"/>
          <w:color w:val="000000"/>
          <w:sz w:val="20"/>
          <w:szCs w:val="20"/>
        </w:rPr>
        <w:t xml:space="preserve"> Consolidated Financial Statements or processes. </w:t>
      </w:r>
    </w:p>
    <w:p w:rsidR="00000000" w:rsidRDefault="00967E53">
      <w:pPr>
        <w:ind w:firstLine="360"/>
        <w:jc w:val="center"/>
        <w:divId w:val="521432122"/>
        <w:rPr>
          <w:rFonts w:eastAsia="Times New Roman"/>
        </w:rPr>
      </w:pPr>
      <w:r>
        <w:rPr>
          <w:rFonts w:eastAsia="Times New Roman"/>
          <w:color w:val="000000"/>
          <w:sz w:val="20"/>
          <w:szCs w:val="20"/>
        </w:rPr>
        <w:t>6</w:t>
      </w:r>
    </w:p>
    <w:p w:rsidR="00000000" w:rsidRDefault="00967E53">
      <w:pPr>
        <w:rPr>
          <w:rFonts w:eastAsia="Times New Roman"/>
        </w:rPr>
      </w:pPr>
      <w:r>
        <w:rPr>
          <w:rFonts w:eastAsia="Times New Roman"/>
        </w:rPr>
        <w:pict>
          <v:rect id="_x0000_i1034" style="width:0;height:1.5pt" o:hralign="center" o:hrstd="t" o:hr="t" fillcolor="#a0a0a0" stroked="f"/>
        </w:pict>
      </w:r>
    </w:p>
    <w:p w:rsidR="00000000" w:rsidRDefault="00967E53">
      <w:pPr>
        <w:ind w:firstLine="360"/>
        <w:jc w:val="both"/>
        <w:divId w:val="2146269867"/>
        <w:rPr>
          <w:rFonts w:eastAsia="Times New Roman"/>
        </w:rPr>
      </w:pPr>
    </w:p>
    <w:p w:rsidR="00000000" w:rsidRDefault="00967E53">
      <w:pPr>
        <w:ind w:firstLine="360"/>
        <w:jc w:val="both"/>
        <w:divId w:val="773326040"/>
        <w:rPr>
          <w:rFonts w:eastAsia="Times New Roman"/>
        </w:rPr>
      </w:pPr>
    </w:p>
    <w:p w:rsidR="00000000" w:rsidRDefault="00967E53">
      <w:pPr>
        <w:ind w:firstLine="360"/>
        <w:jc w:val="both"/>
        <w:divId w:val="2097827636"/>
        <w:rPr>
          <w:rFonts w:eastAsia="Times New Roman"/>
        </w:rPr>
      </w:pPr>
      <w:r>
        <w:rPr>
          <w:rFonts w:eastAsia="Times New Roman"/>
          <w:color w:val="000000"/>
          <w:sz w:val="20"/>
          <w:szCs w:val="20"/>
          <w:u w:val="single"/>
        </w:rPr>
        <w:t>Accounting Standards Issued but Not Yet Adopted</w:t>
      </w:r>
    </w:p>
    <w:p w:rsidR="00000000" w:rsidRDefault="00967E53">
      <w:pPr>
        <w:ind w:firstLine="360"/>
        <w:jc w:val="both"/>
        <w:divId w:val="775633715"/>
        <w:rPr>
          <w:rFonts w:eastAsia="Times New Roman"/>
        </w:rPr>
      </w:pPr>
      <w:r>
        <w:rPr>
          <w:rFonts w:eastAsia="Times New Roman"/>
          <w:i/>
          <w:iCs/>
          <w:color w:val="000000"/>
          <w:sz w:val="20"/>
          <w:szCs w:val="20"/>
        </w:rPr>
        <w:t>Reference Rate Reform (Topic 848): Facilitation of the Effects of Reference Rate Reform on Financial Reporting and S</w:t>
      </w:r>
      <w:r>
        <w:rPr>
          <w:rFonts w:eastAsia="Times New Roman"/>
          <w:i/>
          <w:iCs/>
          <w:color w:val="000000"/>
          <w:sz w:val="20"/>
          <w:szCs w:val="20"/>
        </w:rPr>
        <w:t xml:space="preserve">cope. </w:t>
      </w:r>
      <w:r>
        <w:rPr>
          <w:rFonts w:eastAsia="Times New Roman"/>
          <w:color w:val="000000"/>
          <w:sz w:val="20"/>
          <w:szCs w:val="20"/>
        </w:rPr>
        <w:t>In March 2020 and January 2021, ASU 2020-04 and ASU 2021-01 were issued, respectively. The amendments provide temporary optional expedients and exceptions to the guidance on contract modifications and hedge accounting to ease the financial reporting burden</w:t>
      </w:r>
      <w:r>
        <w:rPr>
          <w:rFonts w:eastAsia="Times New Roman"/>
          <w:color w:val="000000"/>
          <w:sz w:val="20"/>
          <w:szCs w:val="20"/>
        </w:rPr>
        <w:t xml:space="preserve"> in accounting for (or recognizing the effects of) contracts, hedging relationships and other transactions that reference the London Interbank Offered Rate ("LIBOR") or other interbank offered rates expected to be discontinued because of reference rate ref</w:t>
      </w:r>
      <w:r>
        <w:rPr>
          <w:rFonts w:eastAsia="Times New Roman"/>
          <w:color w:val="000000"/>
          <w:sz w:val="20"/>
          <w:szCs w:val="20"/>
        </w:rPr>
        <w:t xml:space="preserve">orm. The amendments were effective upon issuance and may be applied prospectively to contract modifications made and hedging relationships entered into or evaluated on or before December 31, 2022. The Company is evaluating contracts that could be affected </w:t>
      </w:r>
      <w:r>
        <w:rPr>
          <w:rFonts w:eastAsia="Times New Roman"/>
          <w:color w:val="000000"/>
          <w:sz w:val="20"/>
          <w:szCs w:val="20"/>
        </w:rPr>
        <w:t xml:space="preserve">by an alternative reference rate and assessing the potential effects of the guidance but does not anticipate a material impact to its Consolidated Financial Statements or processes. Additionally, LIBOR fallback language has been included, when applicable, </w:t>
      </w:r>
      <w:r>
        <w:rPr>
          <w:rFonts w:eastAsia="Times New Roman"/>
          <w:color w:val="000000"/>
          <w:sz w:val="20"/>
          <w:szCs w:val="20"/>
        </w:rPr>
        <w:t>in new and renewed contracts entered into by the Company in preparation for the transition from LIBOR to alternative reference rates when such transition occurs.</w:t>
      </w:r>
    </w:p>
    <w:p w:rsidR="00000000" w:rsidRDefault="00967E53">
      <w:pPr>
        <w:ind w:firstLine="360"/>
        <w:jc w:val="both"/>
        <w:divId w:val="843473470"/>
        <w:rPr>
          <w:rFonts w:eastAsia="Times New Roman"/>
        </w:rPr>
      </w:pPr>
      <w:r>
        <w:rPr>
          <w:rFonts w:eastAsia="Times New Roman"/>
          <w:color w:val="000000"/>
          <w:sz w:val="20"/>
          <w:szCs w:val="20"/>
        </w:rPr>
        <w:t>Other recently issued accounting standards not yet adopted by us are not expected, upon adopti</w:t>
      </w:r>
      <w:r>
        <w:rPr>
          <w:rFonts w:eastAsia="Times New Roman"/>
          <w:color w:val="000000"/>
          <w:sz w:val="20"/>
          <w:szCs w:val="20"/>
        </w:rPr>
        <w:t>on, to have a material impact on our Consolidated Financial Statements or processes.</w:t>
      </w:r>
    </w:p>
    <w:p w:rsidR="00000000" w:rsidRDefault="00967E53">
      <w:pPr>
        <w:ind w:firstLine="360"/>
        <w:jc w:val="both"/>
        <w:divId w:val="84424916"/>
        <w:rPr>
          <w:rFonts w:eastAsia="Times New Roman"/>
        </w:rPr>
      </w:pPr>
      <w:r>
        <w:rPr>
          <w:rFonts w:eastAsia="Times New Roman"/>
          <w:b/>
          <w:bCs/>
          <w:color w:val="000000"/>
          <w:sz w:val="20"/>
          <w:szCs w:val="20"/>
        </w:rPr>
        <w:t>Significant Accounting Policies</w:t>
      </w:r>
    </w:p>
    <w:p w:rsidR="00000000" w:rsidRDefault="00967E53">
      <w:pPr>
        <w:ind w:firstLine="360"/>
        <w:jc w:val="both"/>
        <w:divId w:val="769085406"/>
        <w:rPr>
          <w:rFonts w:eastAsia="Times New Roman"/>
        </w:rPr>
      </w:pPr>
      <w:r>
        <w:rPr>
          <w:rFonts w:eastAsia="Times New Roman"/>
          <w:color w:val="000000"/>
          <w:sz w:val="20"/>
          <w:szCs w:val="20"/>
        </w:rPr>
        <w:t>There have been no significant changes in the Company's accounting policies from those disclosed in our 2020 10-K Report. The significant accounting policies we use for quarterly financial reporting are disclosed in Note 1. Basis of Presentation, New Accou</w:t>
      </w:r>
      <w:r>
        <w:rPr>
          <w:rFonts w:eastAsia="Times New Roman"/>
          <w:color w:val="000000"/>
          <w:sz w:val="20"/>
          <w:szCs w:val="20"/>
        </w:rPr>
        <w:t>nting Standards, and Significant Accounting Policies of the accompanying Notes to the Consolidated Financial Statements included in our 2020 10-K Report.</w:t>
      </w:r>
    </w:p>
    <w:p w:rsidR="00000000" w:rsidRDefault="00967E53">
      <w:pPr>
        <w:jc w:val="both"/>
        <w:divId w:val="257060479"/>
        <w:rPr>
          <w:rFonts w:eastAsia="Times New Roman"/>
        </w:rPr>
      </w:pPr>
      <w:r>
        <w:rPr>
          <w:rFonts w:eastAsia="Times New Roman"/>
          <w:b/>
          <w:bCs/>
          <w:color w:val="000000"/>
          <w:sz w:val="20"/>
          <w:szCs w:val="20"/>
        </w:rPr>
        <w:t>2. Accounts Receivable</w:t>
      </w:r>
    </w:p>
    <w:p w:rsidR="00000000" w:rsidRDefault="00967E53">
      <w:pPr>
        <w:ind w:firstLine="360"/>
        <w:jc w:val="both"/>
        <w:divId w:val="795484774"/>
        <w:rPr>
          <w:rFonts w:eastAsia="Times New Roman"/>
        </w:rPr>
      </w:pPr>
      <w:r>
        <w:rPr>
          <w:rFonts w:eastAsia="Times New Roman"/>
          <w:b/>
          <w:bCs/>
          <w:color w:val="000000"/>
          <w:sz w:val="20"/>
          <w:szCs w:val="20"/>
        </w:rPr>
        <w:t>Accounts receivable and allowance for credit losses</w:t>
      </w:r>
    </w:p>
    <w:p w:rsidR="00000000" w:rsidRDefault="00967E53">
      <w:pPr>
        <w:ind w:firstLine="360"/>
        <w:jc w:val="both"/>
        <w:divId w:val="814877886"/>
        <w:rPr>
          <w:rFonts w:eastAsia="Times New Roman"/>
        </w:rPr>
      </w:pPr>
      <w:r>
        <w:rPr>
          <w:rFonts w:eastAsia="Times New Roman"/>
          <w:color w:val="000000"/>
          <w:sz w:val="20"/>
          <w:szCs w:val="20"/>
        </w:rPr>
        <w:t>When we extend credit on an</w:t>
      </w:r>
      <w:r>
        <w:rPr>
          <w:rFonts w:eastAsia="Times New Roman"/>
          <w:color w:val="000000"/>
          <w:sz w:val="20"/>
          <w:szCs w:val="20"/>
        </w:rPr>
        <w:t xml:space="preserve"> unsecured basis, our exposure to credit losses depends on the financial condition of our customers and other macroeconomic factors beyond our control, such as global economic conditions or adverse impacts in the industries we serve, changes in oil prices </w:t>
      </w:r>
      <w:r>
        <w:rPr>
          <w:rFonts w:eastAsia="Times New Roman"/>
          <w:color w:val="000000"/>
          <w:sz w:val="20"/>
          <w:szCs w:val="20"/>
        </w:rPr>
        <w:t>and political instability.</w:t>
      </w:r>
    </w:p>
    <w:p w:rsidR="00000000" w:rsidRDefault="00967E53">
      <w:pPr>
        <w:ind w:firstLine="360"/>
        <w:jc w:val="both"/>
        <w:divId w:val="1618029601"/>
        <w:rPr>
          <w:rFonts w:eastAsia="Times New Roman"/>
        </w:rPr>
      </w:pPr>
      <w:r>
        <w:rPr>
          <w:rFonts w:eastAsia="Times New Roman"/>
          <w:color w:val="000000"/>
          <w:sz w:val="20"/>
          <w:szCs w:val="20"/>
        </w:rPr>
        <w:t>We actively monitor and manage our credit exposure and work to respond to both changes in our customers’ financial conditions or macroeconomic events. Based on the ongoing credit evaluations of our customers, we adjust credit lim</w:t>
      </w:r>
      <w:r>
        <w:rPr>
          <w:rFonts w:eastAsia="Times New Roman"/>
          <w:color w:val="000000"/>
          <w:sz w:val="20"/>
          <w:szCs w:val="20"/>
        </w:rPr>
        <w:t>its based upon payment history and our customers' current creditworthiness. However, because we extend credit on an unsecured basis to most of our customers, there is a possibility that any accounts receivable not collected may ultimately need to be writte</w:t>
      </w:r>
      <w:r>
        <w:rPr>
          <w:rFonts w:eastAsia="Times New Roman"/>
          <w:color w:val="000000"/>
          <w:sz w:val="20"/>
          <w:szCs w:val="20"/>
        </w:rPr>
        <w:t>n off.</w:t>
      </w:r>
    </w:p>
    <w:p w:rsidR="00000000" w:rsidRDefault="00967E53">
      <w:pPr>
        <w:ind w:firstLine="360"/>
        <w:jc w:val="both"/>
        <w:rPr>
          <w:rFonts w:eastAsia="Times New Roman"/>
        </w:rPr>
      </w:pPr>
      <w:r>
        <w:rPr>
          <w:rFonts w:eastAsia="Times New Roman"/>
          <w:color w:val="000000"/>
          <w:sz w:val="20"/>
          <w:szCs w:val="20"/>
        </w:rPr>
        <w:t>We had accounts receivable of $1.8 billion and $1.2 billion and an allowance for expected credit losses, primarily related to accounts receivable, of $39.8 million and $57.3 million, as of June 30, 2021 and December 31, 2020, respectively. Changes t</w:t>
      </w:r>
      <w:r>
        <w:rPr>
          <w:rFonts w:eastAsia="Times New Roman"/>
          <w:color w:val="000000"/>
          <w:sz w:val="20"/>
          <w:szCs w:val="20"/>
        </w:rPr>
        <w:t xml:space="preserve">o the expected credit loss provision during the six months ended June 30, 2021 include global economic outlook considerations as a result of the Company’s assessment of reasonable and supportable forward-looking information, including the expected overall </w:t>
      </w:r>
      <w:r>
        <w:rPr>
          <w:rFonts w:eastAsia="Times New Roman"/>
          <w:color w:val="000000"/>
          <w:sz w:val="20"/>
          <w:szCs w:val="20"/>
        </w:rPr>
        <w:t>impact of the ongoing pandemic and global recovery, primarily in the aviation segment. Write-offs of uncollectible receivables during the six months ended June 30, 2021 resulted from negative impacts of the pandemic combined with pre-existing financial dif</w:t>
      </w:r>
      <w:r>
        <w:rPr>
          <w:rFonts w:eastAsia="Times New Roman"/>
          <w:color w:val="000000"/>
          <w:sz w:val="20"/>
          <w:szCs w:val="20"/>
        </w:rPr>
        <w:t>ficulties experienced by certain customers. Based on an aging analysis as of June 30, 2021, 96% of our net accounts receivable were outstanding less than 60 days.</w:t>
      </w:r>
    </w:p>
    <w:p w:rsidR="00000000" w:rsidRDefault="00967E53">
      <w:pPr>
        <w:ind w:firstLine="360"/>
        <w:jc w:val="both"/>
        <w:divId w:val="2106340323"/>
        <w:rPr>
          <w:rFonts w:eastAsia="Times New Roman"/>
        </w:rPr>
      </w:pPr>
      <w:r>
        <w:rPr>
          <w:rFonts w:eastAsia="Times New Roman"/>
          <w:color w:val="000000"/>
          <w:sz w:val="20"/>
          <w:szCs w:val="20"/>
        </w:rPr>
        <w:t>The following table sets forth activities in our allowance for expected credit losses (in mil</w:t>
      </w:r>
      <w:r>
        <w:rPr>
          <w:rFonts w:eastAsia="Times New Roman"/>
          <w:color w:val="000000"/>
          <w:sz w:val="20"/>
          <w:szCs w:val="20"/>
        </w:rPr>
        <w:t>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537"/>
        <w:gridCol w:w="38"/>
        <w:gridCol w:w="120"/>
        <w:gridCol w:w="1140"/>
        <w:gridCol w:w="36"/>
        <w:gridCol w:w="36"/>
        <w:gridCol w:w="36"/>
        <w:gridCol w:w="36"/>
        <w:gridCol w:w="120"/>
        <w:gridCol w:w="1131"/>
        <w:gridCol w:w="36"/>
      </w:tblGrid>
      <w:tr w:rsidR="00000000">
        <w:trPr>
          <w:divId w:val="1028406650"/>
        </w:trPr>
        <w:tc>
          <w:tcPr>
            <w:tcW w:w="50" w:type="pct"/>
            <w:vAlign w:val="center"/>
            <w:hideMark/>
          </w:tcPr>
          <w:p w:rsidR="00000000" w:rsidRDefault="00967E53">
            <w:pPr>
              <w:ind w:firstLine="360"/>
              <w:jc w:val="both"/>
              <w:rPr>
                <w:rFonts w:eastAsia="Times New Roman"/>
              </w:rPr>
            </w:pPr>
          </w:p>
        </w:tc>
        <w:tc>
          <w:tcPr>
            <w:tcW w:w="335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12"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028406650"/>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r>
      <w:tr w:rsidR="00000000">
        <w:trPr>
          <w:divId w:val="1028406650"/>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Balance as of January 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028406650"/>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Charges to allowance for credit losses</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34.6 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028406650"/>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Write-off of uncollectible receivables</w:t>
            </w: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(21.2)</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(32.9)</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028406650"/>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Recoveries of credit losses</w:t>
            </w: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028406650"/>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028406650"/>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Balance as of June 30,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360"/>
        <w:jc w:val="center"/>
        <w:divId w:val="17587922"/>
        <w:rPr>
          <w:rFonts w:eastAsia="Times New Roman"/>
        </w:rPr>
      </w:pPr>
      <w:r>
        <w:rPr>
          <w:rFonts w:eastAsia="Times New Roman"/>
          <w:color w:val="000000"/>
          <w:sz w:val="20"/>
          <w:szCs w:val="20"/>
        </w:rPr>
        <w:t>7</w:t>
      </w:r>
    </w:p>
    <w:p w:rsidR="00000000" w:rsidRDefault="00967E53">
      <w:pPr>
        <w:rPr>
          <w:rFonts w:eastAsia="Times New Roman"/>
        </w:rPr>
      </w:pPr>
      <w:r>
        <w:rPr>
          <w:rFonts w:eastAsia="Times New Roman"/>
        </w:rPr>
        <w:pict>
          <v:rect id="_x0000_i1035" style="width:0;height:1.5pt" o:hralign="center" o:hrstd="t" o:hr="t" fillcolor="#a0a0a0" stroked="f"/>
        </w:pict>
      </w:r>
    </w:p>
    <w:p w:rsidR="00000000" w:rsidRDefault="00967E53">
      <w:pPr>
        <w:ind w:firstLine="360"/>
        <w:jc w:val="both"/>
        <w:divId w:val="1990401090"/>
        <w:rPr>
          <w:rFonts w:eastAsia="Times New Roman"/>
        </w:rPr>
      </w:pPr>
    </w:p>
    <w:p w:rsidR="00000000" w:rsidRDefault="00967E53">
      <w:pPr>
        <w:ind w:firstLine="360"/>
        <w:jc w:val="both"/>
        <w:divId w:val="756442123"/>
        <w:rPr>
          <w:rFonts w:eastAsia="Times New Roman"/>
        </w:rPr>
      </w:pPr>
    </w:p>
    <w:p w:rsidR="00000000" w:rsidRDefault="00967E53">
      <w:pPr>
        <w:ind w:firstLine="90"/>
        <w:divId w:val="1530755645"/>
        <w:rPr>
          <w:rFonts w:eastAsia="Times New Roman"/>
        </w:rPr>
      </w:pPr>
      <w:r>
        <w:rPr>
          <w:rFonts w:eastAsia="Times New Roman"/>
          <w:b/>
          <w:bCs/>
          <w:color w:val="000000"/>
          <w:sz w:val="20"/>
          <w:szCs w:val="20"/>
        </w:rPr>
        <w:t>Receivable sales programs</w:t>
      </w:r>
    </w:p>
    <w:p w:rsidR="00000000" w:rsidRDefault="00967E53">
      <w:pPr>
        <w:ind w:firstLine="180"/>
        <w:jc w:val="both"/>
        <w:divId w:val="830365835"/>
        <w:rPr>
          <w:rFonts w:eastAsia="Times New Roman"/>
        </w:rPr>
      </w:pPr>
      <w:r>
        <w:rPr>
          <w:rFonts w:eastAsia="Times New Roman"/>
          <w:color w:val="000000"/>
          <w:sz w:val="20"/>
          <w:szCs w:val="20"/>
        </w:rPr>
        <w:t xml:space="preserve">We have receivables purchase agreements (“RPAs”) with Wells Fargo Bank, N.A. and Citibank, N.A. that allow for the sale of our accounts receivable in an amount up to 100% of our outstanding </w:t>
      </w:r>
      <w:r>
        <w:rPr>
          <w:rFonts w:eastAsia="Times New Roman"/>
          <w:color w:val="000000"/>
          <w:sz w:val="20"/>
          <w:szCs w:val="20"/>
        </w:rPr>
        <w:t>qualifying balances in exchange for cash consideration equal to the total balance, less a discount margin equal to LIBOR plus 1.00% to 3.25%, depending on the outstanding accounts receivable at any given time and assuming maximum utilization of the RPA fac</w:t>
      </w:r>
      <w:r>
        <w:rPr>
          <w:rFonts w:eastAsia="Times New Roman"/>
          <w:color w:val="000000"/>
          <w:sz w:val="20"/>
          <w:szCs w:val="20"/>
        </w:rPr>
        <w:t>ilities. Accounts receivable sold under the RPAs are accounted for as sales and excluded from Accounts receivable, net of allowance for credit losses on the accompanying Condensed Consolidated Balance Sheets. Fees paid under the RPAs are recorded within In</w:t>
      </w:r>
      <w:r>
        <w:rPr>
          <w:rFonts w:eastAsia="Times New Roman"/>
          <w:color w:val="000000"/>
          <w:sz w:val="20"/>
          <w:szCs w:val="20"/>
        </w:rPr>
        <w:t>terest expense and other financing costs, net on the Condensed Consolidated Statements of Income and Comprehensive Income.</w:t>
      </w:r>
    </w:p>
    <w:p w:rsidR="00000000" w:rsidRDefault="00967E53">
      <w:pPr>
        <w:ind w:firstLine="360"/>
        <w:jc w:val="both"/>
        <w:divId w:val="1473332589"/>
        <w:rPr>
          <w:rFonts w:eastAsia="Times New Roman"/>
        </w:rPr>
      </w:pPr>
      <w:r>
        <w:rPr>
          <w:rFonts w:eastAsia="Times New Roman"/>
          <w:color w:val="000000"/>
          <w:sz w:val="20"/>
          <w:szCs w:val="20"/>
        </w:rPr>
        <w:t>During the six months ended June 30, 2021 and 2020, we sold receivables under the RPAs with an aggregate face value of $4.3 billion a</w:t>
      </w:r>
      <w:r>
        <w:rPr>
          <w:rFonts w:eastAsia="Times New Roman"/>
          <w:color w:val="000000"/>
          <w:sz w:val="20"/>
          <w:szCs w:val="20"/>
        </w:rPr>
        <w:t>nd $2.2 billion, respectively, and paid fees of $9.4 million and $5.5 million, respectively.</w:t>
      </w:r>
    </w:p>
    <w:p w:rsidR="00000000" w:rsidRDefault="00967E53">
      <w:pPr>
        <w:divId w:val="214976547"/>
        <w:rPr>
          <w:rFonts w:eastAsia="Times New Roman"/>
        </w:rPr>
      </w:pPr>
      <w:r>
        <w:rPr>
          <w:rFonts w:eastAsia="Times New Roman"/>
          <w:b/>
          <w:bCs/>
          <w:color w:val="000000"/>
          <w:sz w:val="20"/>
          <w:szCs w:val="20"/>
        </w:rPr>
        <w:t>3. Acquisitions</w:t>
      </w:r>
    </w:p>
    <w:p w:rsidR="00000000" w:rsidRDefault="00967E53">
      <w:pPr>
        <w:ind w:firstLine="360"/>
        <w:jc w:val="both"/>
        <w:divId w:val="129369708"/>
        <w:rPr>
          <w:rFonts w:eastAsia="Times New Roman"/>
        </w:rPr>
      </w:pPr>
      <w:r>
        <w:rPr>
          <w:rFonts w:eastAsia="Times New Roman"/>
          <w:color w:val="000000"/>
          <w:sz w:val="20"/>
          <w:szCs w:val="20"/>
        </w:rPr>
        <w:t>During the first quarter of 2020, we completed the acquisition of the aviation fuel business from Universal Weather and Aviation, Inc. (“UVair fuel</w:t>
      </w:r>
      <w:r>
        <w:rPr>
          <w:rFonts w:eastAsia="Times New Roman"/>
          <w:color w:val="000000"/>
          <w:sz w:val="20"/>
          <w:szCs w:val="20"/>
        </w:rPr>
        <w:t xml:space="preserve"> business”), which serves business and general aviation customers worldwide. The total purchase price of $159.0 million included a $30 million deferred payment that remained partially outstanding as of June 30, 2021. The acquisition was accounted for as a </w:t>
      </w:r>
      <w:r>
        <w:rPr>
          <w:rFonts w:eastAsia="Times New Roman"/>
          <w:color w:val="000000"/>
          <w:sz w:val="20"/>
          <w:szCs w:val="20"/>
        </w:rPr>
        <w:t>business combination and is reported in the aviation segment.</w:t>
      </w:r>
    </w:p>
    <w:p w:rsidR="00000000" w:rsidRDefault="00967E53">
      <w:pPr>
        <w:divId w:val="1594436225"/>
        <w:rPr>
          <w:rFonts w:eastAsia="Times New Roman"/>
        </w:rPr>
      </w:pPr>
      <w:r>
        <w:rPr>
          <w:rFonts w:eastAsia="Times New Roman"/>
          <w:b/>
          <w:bCs/>
          <w:color w:val="000000"/>
          <w:sz w:val="20"/>
          <w:szCs w:val="20"/>
        </w:rPr>
        <w:t>4. Derivative Instruments</w:t>
      </w:r>
    </w:p>
    <w:p w:rsidR="00000000" w:rsidRDefault="00967E53">
      <w:pPr>
        <w:ind w:firstLine="360"/>
        <w:jc w:val="both"/>
        <w:divId w:val="688606757"/>
        <w:rPr>
          <w:rFonts w:eastAsia="Times New Roman"/>
        </w:rPr>
      </w:pPr>
      <w:r>
        <w:rPr>
          <w:rFonts w:eastAsia="Times New Roman"/>
          <w:color w:val="000000"/>
          <w:sz w:val="20"/>
          <w:szCs w:val="20"/>
        </w:rPr>
        <w:t>The following describes our derivative classifications:</w:t>
      </w:r>
    </w:p>
    <w:p w:rsidR="00000000" w:rsidRDefault="00967E53">
      <w:pPr>
        <w:ind w:firstLine="360"/>
        <w:jc w:val="both"/>
        <w:divId w:val="2036543310"/>
        <w:rPr>
          <w:rFonts w:eastAsia="Times New Roman"/>
        </w:rPr>
      </w:pPr>
      <w:r>
        <w:rPr>
          <w:rFonts w:eastAsia="Times New Roman"/>
          <w:i/>
          <w:iCs/>
          <w:color w:val="000000"/>
          <w:sz w:val="20"/>
          <w:szCs w:val="20"/>
        </w:rPr>
        <w:t>Fair Value Hedges.</w:t>
      </w:r>
      <w:r>
        <w:rPr>
          <w:rFonts w:eastAsia="Times New Roman"/>
          <w:color w:val="000000"/>
          <w:sz w:val="20"/>
          <w:szCs w:val="20"/>
        </w:rPr>
        <w:t xml:space="preserve"> Derivative contracts we hold to hedge the risk of changes in the price of our inventory.</w:t>
      </w:r>
    </w:p>
    <w:p w:rsidR="00000000" w:rsidRDefault="00967E53">
      <w:pPr>
        <w:ind w:firstLine="360"/>
        <w:jc w:val="both"/>
        <w:divId w:val="1330450024"/>
        <w:rPr>
          <w:rFonts w:eastAsia="Times New Roman"/>
        </w:rPr>
      </w:pPr>
      <w:r>
        <w:rPr>
          <w:rFonts w:eastAsia="Times New Roman"/>
          <w:i/>
          <w:iCs/>
          <w:color w:val="000000"/>
          <w:sz w:val="20"/>
          <w:szCs w:val="20"/>
        </w:rPr>
        <w:t>Cash</w:t>
      </w:r>
      <w:r>
        <w:rPr>
          <w:rFonts w:eastAsia="Times New Roman"/>
          <w:i/>
          <w:iCs/>
          <w:color w:val="000000"/>
          <w:sz w:val="20"/>
          <w:szCs w:val="20"/>
        </w:rPr>
        <w:t xml:space="preserve"> Flow Hedges.</w:t>
      </w:r>
      <w:r>
        <w:rPr>
          <w:rFonts w:eastAsia="Times New Roman"/>
          <w:color w:val="000000"/>
          <w:sz w:val="20"/>
          <w:szCs w:val="20"/>
        </w:rPr>
        <w:t xml:space="preserve"> Derivative contracts we execute to mitigate the risk of price and interest rate volatility in forecasted transactions.</w:t>
      </w:r>
    </w:p>
    <w:p w:rsidR="00000000" w:rsidRDefault="00967E53">
      <w:pPr>
        <w:ind w:firstLine="360"/>
        <w:jc w:val="both"/>
        <w:divId w:val="1001740065"/>
        <w:rPr>
          <w:rFonts w:eastAsia="Times New Roman"/>
        </w:rPr>
      </w:pPr>
      <w:r>
        <w:rPr>
          <w:rFonts w:eastAsia="Times New Roman"/>
          <w:i/>
          <w:iCs/>
          <w:color w:val="000000"/>
          <w:sz w:val="20"/>
          <w:szCs w:val="20"/>
        </w:rPr>
        <w:t>Non-designated Derivatives.</w:t>
      </w:r>
      <w:r>
        <w:rPr>
          <w:rFonts w:eastAsia="Times New Roman"/>
          <w:color w:val="000000"/>
          <w:sz w:val="20"/>
          <w:szCs w:val="20"/>
        </w:rPr>
        <w:t xml:space="preserve"> Derivatives we primarily transact to mitigate the risk of market price fluctuations in swaps or</w:t>
      </w:r>
      <w:r>
        <w:rPr>
          <w:rFonts w:eastAsia="Times New Roman"/>
          <w:color w:val="000000"/>
          <w:sz w:val="20"/>
          <w:szCs w:val="20"/>
        </w:rPr>
        <w:t xml:space="preserve"> futures contracts, as well as certain forward fixed price purchase and sale contracts to hedge the risk of currency rate fluctuations and for portfolio optimization.</w:t>
      </w:r>
    </w:p>
    <w:p w:rsidR="00000000" w:rsidRDefault="00967E53">
      <w:pPr>
        <w:ind w:firstLine="360"/>
        <w:jc w:val="both"/>
        <w:divId w:val="484050458"/>
        <w:rPr>
          <w:rFonts w:eastAsia="Times New Roman"/>
        </w:rPr>
      </w:pPr>
      <w:r>
        <w:rPr>
          <w:rFonts w:eastAsia="Times New Roman"/>
          <w:color w:val="000000"/>
          <w:sz w:val="20"/>
          <w:szCs w:val="20"/>
        </w:rPr>
        <w:t>The following table presents the gross fair value of our derivative instruments and their</w:t>
      </w:r>
      <w:r>
        <w:rPr>
          <w:rFonts w:eastAsia="Times New Roman"/>
          <w:color w:val="000000"/>
          <w:sz w:val="20"/>
          <w:szCs w:val="20"/>
        </w:rPr>
        <w:t xml:space="preserve"> locations on the Consolidated Balance Sheets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371"/>
        <w:gridCol w:w="36"/>
        <w:gridCol w:w="44"/>
        <w:gridCol w:w="2642"/>
        <w:gridCol w:w="36"/>
        <w:gridCol w:w="36"/>
        <w:gridCol w:w="36"/>
        <w:gridCol w:w="36"/>
        <w:gridCol w:w="100"/>
        <w:gridCol w:w="713"/>
        <w:gridCol w:w="36"/>
        <w:gridCol w:w="36"/>
        <w:gridCol w:w="36"/>
        <w:gridCol w:w="36"/>
        <w:gridCol w:w="101"/>
        <w:gridCol w:w="811"/>
        <w:gridCol w:w="37"/>
        <w:gridCol w:w="36"/>
        <w:gridCol w:w="36"/>
        <w:gridCol w:w="36"/>
        <w:gridCol w:w="100"/>
        <w:gridCol w:w="811"/>
        <w:gridCol w:w="36"/>
        <w:gridCol w:w="36"/>
        <w:gridCol w:w="36"/>
        <w:gridCol w:w="36"/>
        <w:gridCol w:w="101"/>
        <w:gridCol w:w="813"/>
        <w:gridCol w:w="37"/>
      </w:tblGrid>
      <w:tr w:rsidR="00000000">
        <w:trPr>
          <w:divId w:val="1132208028"/>
          <w:jc w:val="center"/>
        </w:trPr>
        <w:tc>
          <w:tcPr>
            <w:tcW w:w="50" w:type="pct"/>
            <w:vAlign w:val="center"/>
            <w:hideMark/>
          </w:tcPr>
          <w:p w:rsidR="00000000" w:rsidRDefault="00967E53">
            <w:pPr>
              <w:ind w:firstLine="360"/>
              <w:jc w:val="both"/>
              <w:rPr>
                <w:rFonts w:eastAsia="Times New Roman"/>
              </w:rPr>
            </w:pPr>
          </w:p>
        </w:tc>
        <w:tc>
          <w:tcPr>
            <w:tcW w:w="85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161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47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2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30"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132208028"/>
          <w:jc w:val="center"/>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Gross Derivative Assets</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Gross Derivative Liabilities</w:t>
            </w:r>
          </w:p>
        </w:tc>
      </w:tr>
      <w:tr w:rsidR="00000000">
        <w:trPr>
          <w:divId w:val="1132208028"/>
          <w:jc w:val="center"/>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June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December 31,</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June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December 31,</w:t>
            </w:r>
          </w:p>
        </w:tc>
      </w:tr>
      <w:tr w:rsidR="00000000">
        <w:trPr>
          <w:divId w:val="1132208028"/>
          <w:jc w:val="center"/>
        </w:trPr>
        <w:tc>
          <w:tcPr>
            <w:tcW w:w="0" w:type="auto"/>
            <w:gridSpan w:val="3"/>
            <w:tcMar>
              <w:top w:w="30" w:type="dxa"/>
              <w:left w:w="20" w:type="dxa"/>
              <w:bottom w:w="30" w:type="dxa"/>
              <w:right w:w="20" w:type="dxa"/>
            </w:tcMar>
            <w:hideMark/>
          </w:tcPr>
          <w:p w:rsidR="00000000" w:rsidRDefault="00967E53">
            <w:pPr>
              <w:spacing w:after="100"/>
              <w:rPr>
                <w:rFonts w:eastAsia="Times New Roman"/>
              </w:rPr>
            </w:pPr>
            <w:r>
              <w:rPr>
                <w:rFonts w:eastAsia="Times New Roman"/>
                <w:b/>
                <w:bCs/>
                <w:color w:val="000000"/>
                <w:sz w:val="16"/>
                <w:szCs w:val="16"/>
              </w:rPr>
              <w:t>Derivative Instruments</w:t>
            </w:r>
          </w:p>
        </w:tc>
        <w:tc>
          <w:tcPr>
            <w:tcW w:w="0" w:type="auto"/>
            <w:gridSpan w:val="3"/>
            <w:tcBorders>
              <w:bottom w:val="single" w:sz="8" w:space="0" w:color="000000"/>
            </w:tcBorders>
            <w:tcMar>
              <w:top w:w="30" w:type="dxa"/>
              <w:left w:w="20" w:type="dxa"/>
              <w:bottom w:w="30" w:type="dxa"/>
              <w:right w:w="20" w:type="dxa"/>
            </w:tcMar>
            <w:hideMark/>
          </w:tcPr>
          <w:p w:rsidR="00000000" w:rsidRDefault="00967E53">
            <w:pPr>
              <w:spacing w:after="100"/>
              <w:rPr>
                <w:rFonts w:eastAsia="Times New Roman"/>
              </w:rPr>
            </w:pPr>
            <w:r>
              <w:rPr>
                <w:rFonts w:eastAsia="Times New Roman"/>
                <w:b/>
                <w:bCs/>
                <w:color w:val="000000"/>
                <w:sz w:val="16"/>
                <w:szCs w:val="16"/>
              </w:rPr>
              <w:t>Consolidated Balance Sheets location</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2020</w:t>
            </w:r>
          </w:p>
        </w:tc>
      </w:tr>
      <w:tr w:rsidR="00000000">
        <w:trPr>
          <w:divId w:val="1132208028"/>
          <w:jc w:val="center"/>
        </w:trPr>
        <w:tc>
          <w:tcPr>
            <w:tcW w:w="0" w:type="auto"/>
            <w:gridSpan w:val="6"/>
            <w:tcBorders>
              <w:top w:val="single" w:sz="8" w:space="0" w:color="000000"/>
            </w:tcBorders>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b/>
                <w:bCs/>
                <w:color w:val="000000"/>
                <w:sz w:val="16"/>
                <w:szCs w:val="16"/>
              </w:rPr>
              <w:t>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132208028"/>
          <w:jc w:val="center"/>
        </w:trPr>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Commodity contracts</w:t>
            </w:r>
          </w:p>
        </w:tc>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138.4 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124.9 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181.1 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120.7 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132208028"/>
          <w:jc w:val="center"/>
        </w:trPr>
        <w:tc>
          <w:tcPr>
            <w:tcW w:w="0" w:type="auto"/>
            <w:gridSpan w:val="3"/>
            <w:vAlign w:val="center"/>
            <w:hideMark/>
          </w:tcPr>
          <w:p w:rsidR="00000000" w:rsidRDefault="00967E53">
            <w:pPr>
              <w:spacing w:after="100"/>
              <w:jc w:val="right"/>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132208028"/>
          <w:jc w:val="center"/>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5.0 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132208028"/>
          <w:jc w:val="center"/>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0.1 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0.5 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132208028"/>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132208028"/>
          <w:jc w:val="center"/>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132208028"/>
          <w:jc w:val="center"/>
        </w:trPr>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Interest rate contracts</w:t>
            </w:r>
          </w:p>
        </w:tc>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Identifiable intangible and 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132208028"/>
          <w:jc w:val="center"/>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132208028"/>
          <w:jc w:val="center"/>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2.4 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132208028"/>
          <w:jc w:val="center"/>
        </w:trPr>
        <w:tc>
          <w:tcPr>
            <w:tcW w:w="0" w:type="auto"/>
            <w:gridSpan w:val="3"/>
            <w:vAlign w:val="center"/>
            <w:hideMark/>
          </w:tcPr>
          <w:p w:rsidR="00000000" w:rsidRDefault="00967E53">
            <w:pPr>
              <w:spacing w:after="100"/>
              <w:jc w:val="right"/>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132208028"/>
          <w:jc w:val="center"/>
        </w:trPr>
        <w:tc>
          <w:tcPr>
            <w:tcW w:w="0" w:type="auto"/>
            <w:gridSpan w:val="6"/>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b/>
                <w:bCs/>
                <w:color w:val="000000"/>
                <w:sz w:val="16"/>
                <w:szCs w:val="16"/>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143.6 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126.0 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187.5 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127.2 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132208028"/>
          <w:trHeight w:val="160"/>
          <w:jc w:val="center"/>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132208028"/>
          <w:jc w:val="center"/>
        </w:trPr>
        <w:tc>
          <w:tcPr>
            <w:tcW w:w="0" w:type="auto"/>
            <w:gridSpan w:val="6"/>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b/>
                <w:bCs/>
                <w:color w:val="000000"/>
                <w:sz w:val="16"/>
                <w:szCs w:val="16"/>
              </w:rPr>
              <w:t>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132208028"/>
          <w:jc w:val="center"/>
        </w:trPr>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Commodity contracts</w:t>
            </w:r>
          </w:p>
        </w:tc>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298.2 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164.9 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171.8 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102.7 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132208028"/>
          <w:jc w:val="center"/>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Identifiable intangible and 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64.6 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32.1 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25.5 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7.9 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132208028"/>
          <w:jc w:val="center"/>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48.8 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30.5 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158.2 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68.4 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132208028"/>
          <w:jc w:val="center"/>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6.1 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17.5 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28.3 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23.5 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132208028"/>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132208028"/>
          <w:jc w:val="center"/>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Foreign currency contracts</w:t>
            </w:r>
          </w:p>
        </w:tc>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0.3 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132208028"/>
          <w:jc w:val="center"/>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Identifiable intangible and 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0.1 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132208028"/>
          <w:jc w:val="center"/>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2.8 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7.5 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4.3 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19.6 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132208028"/>
          <w:jc w:val="center"/>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132208028"/>
          <w:jc w:val="center"/>
        </w:trPr>
        <w:tc>
          <w:tcPr>
            <w:tcW w:w="0" w:type="auto"/>
            <w:gridSpan w:val="6"/>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b/>
                <w:bCs/>
                <w:color w:val="000000"/>
                <w:sz w:val="16"/>
                <w:szCs w:val="16"/>
              </w:rPr>
              <w:t>Total 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421.8 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252.5 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388.5 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222.3 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132208028"/>
          <w:trHeight w:val="160"/>
          <w:jc w:val="center"/>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132208028"/>
          <w:jc w:val="center"/>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b/>
                <w:bCs/>
                <w:color w:val="000000"/>
                <w:sz w:val="16"/>
                <w:szCs w:val="16"/>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565.4 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378.5 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576.0 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349.5 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r>
    </w:tbl>
    <w:p w:rsidR="00000000" w:rsidRDefault="00967E53">
      <w:pPr>
        <w:ind w:firstLine="360"/>
        <w:jc w:val="center"/>
        <w:divId w:val="1136148250"/>
        <w:rPr>
          <w:rFonts w:eastAsia="Times New Roman"/>
        </w:rPr>
      </w:pPr>
      <w:r>
        <w:rPr>
          <w:rFonts w:eastAsia="Times New Roman"/>
          <w:color w:val="000000"/>
          <w:sz w:val="20"/>
          <w:szCs w:val="20"/>
        </w:rPr>
        <w:t>8</w:t>
      </w:r>
    </w:p>
    <w:p w:rsidR="00000000" w:rsidRDefault="00967E53">
      <w:pPr>
        <w:rPr>
          <w:rFonts w:eastAsia="Times New Roman"/>
        </w:rPr>
      </w:pPr>
      <w:r>
        <w:rPr>
          <w:rFonts w:eastAsia="Times New Roman"/>
        </w:rPr>
        <w:pict>
          <v:rect id="_x0000_i1036" style="width:0;height:1.5pt" o:hralign="center" o:hrstd="t" o:hr="t" fillcolor="#a0a0a0" stroked="f"/>
        </w:pict>
      </w:r>
    </w:p>
    <w:p w:rsidR="00000000" w:rsidRDefault="00967E53">
      <w:pPr>
        <w:ind w:firstLine="360"/>
        <w:jc w:val="both"/>
        <w:divId w:val="1873809281"/>
        <w:rPr>
          <w:rFonts w:eastAsia="Times New Roman"/>
        </w:rPr>
      </w:pPr>
    </w:p>
    <w:p w:rsidR="00000000" w:rsidRDefault="00967E53">
      <w:pPr>
        <w:ind w:firstLine="360"/>
        <w:jc w:val="both"/>
        <w:divId w:val="1474979654"/>
        <w:rPr>
          <w:rFonts w:eastAsia="Times New Roman"/>
        </w:rPr>
      </w:pPr>
    </w:p>
    <w:p w:rsidR="00000000" w:rsidRDefault="00967E53">
      <w:pPr>
        <w:ind w:firstLine="360"/>
        <w:jc w:val="both"/>
        <w:divId w:val="2125342883"/>
        <w:rPr>
          <w:rFonts w:eastAsia="Times New Roman"/>
        </w:rPr>
      </w:pPr>
      <w:r>
        <w:rPr>
          <w:rFonts w:eastAsia="Times New Roman"/>
          <w:color w:val="000000"/>
          <w:sz w:val="20"/>
          <w:szCs w:val="20"/>
        </w:rPr>
        <w:t>For information regarding ou</w:t>
      </w:r>
      <w:r>
        <w:rPr>
          <w:rFonts w:eastAsia="Times New Roman"/>
          <w:color w:val="000000"/>
          <w:sz w:val="20"/>
          <w:szCs w:val="20"/>
        </w:rPr>
        <w:t>r derivative instruments measured at fair value after netting and collateral, see Note 6. Fair Value Measurements.</w:t>
      </w:r>
    </w:p>
    <w:p w:rsidR="00000000" w:rsidRDefault="00967E53">
      <w:pPr>
        <w:ind w:firstLine="360"/>
        <w:jc w:val="both"/>
        <w:divId w:val="444890015"/>
        <w:rPr>
          <w:rFonts w:eastAsia="Times New Roman"/>
        </w:rPr>
      </w:pPr>
      <w:r>
        <w:rPr>
          <w:rFonts w:eastAsia="Times New Roman"/>
          <w:color w:val="000000"/>
          <w:sz w:val="20"/>
          <w:szCs w:val="20"/>
        </w:rPr>
        <w:t>The following table summarizes the gross notional values of our commodity and foreign currency exchange derivative contracts used for risk ma</w:t>
      </w:r>
      <w:r>
        <w:rPr>
          <w:rFonts w:eastAsia="Times New Roman"/>
          <w:color w:val="000000"/>
          <w:sz w:val="20"/>
          <w:szCs w:val="20"/>
        </w:rPr>
        <w:t>nagement purposes (in millions):</w:t>
      </w:r>
    </w:p>
    <w:tbl>
      <w:tblPr>
        <w:tblW w:w="5000" w:type="pct"/>
        <w:tblCellMar>
          <w:top w:w="15" w:type="dxa"/>
          <w:left w:w="15" w:type="dxa"/>
          <w:bottom w:w="15" w:type="dxa"/>
          <w:right w:w="15" w:type="dxa"/>
        </w:tblCellMar>
        <w:tblLook w:val="04A0" w:firstRow="1" w:lastRow="0" w:firstColumn="1" w:lastColumn="0" w:noHBand="0" w:noVBand="1"/>
      </w:tblPr>
      <w:tblGrid>
        <w:gridCol w:w="58"/>
        <w:gridCol w:w="5422"/>
        <w:gridCol w:w="36"/>
        <w:gridCol w:w="36"/>
        <w:gridCol w:w="44"/>
        <w:gridCol w:w="36"/>
        <w:gridCol w:w="59"/>
        <w:gridCol w:w="1184"/>
        <w:gridCol w:w="36"/>
        <w:gridCol w:w="36"/>
        <w:gridCol w:w="44"/>
        <w:gridCol w:w="36"/>
        <w:gridCol w:w="59"/>
        <w:gridCol w:w="1184"/>
        <w:gridCol w:w="36"/>
      </w:tblGrid>
      <w:tr w:rsidR="00000000">
        <w:trPr>
          <w:divId w:val="1082948732"/>
        </w:trPr>
        <w:tc>
          <w:tcPr>
            <w:tcW w:w="50" w:type="pct"/>
            <w:vAlign w:val="center"/>
            <w:hideMark/>
          </w:tcPr>
          <w:p w:rsidR="00000000" w:rsidRDefault="00967E53">
            <w:pPr>
              <w:ind w:firstLine="360"/>
              <w:jc w:val="both"/>
              <w:rPr>
                <w:rFonts w:eastAsia="Times New Roman"/>
              </w:rPr>
            </w:pPr>
          </w:p>
        </w:tc>
        <w:tc>
          <w:tcPr>
            <w:tcW w:w="327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b/>
                <w:bCs/>
                <w:color w:val="333333"/>
                <w:sz w:val="20"/>
                <w:szCs w:val="20"/>
              </w:rPr>
              <w:t>Unit</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b/>
                <w:bCs/>
                <w:color w:val="000000"/>
                <w:sz w:val="20"/>
                <w:szCs w:val="20"/>
              </w:rPr>
              <w:t>June 30, 2021</w:t>
            </w:r>
          </w:p>
        </w:tc>
      </w:tr>
      <w:tr w:rsidR="00000000">
        <w:trPr>
          <w:divId w:val="1082948732"/>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b/>
                <w:bCs/>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Long</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color w:val="000000"/>
                <w:sz w:val="20"/>
                <w:szCs w:val="20"/>
              </w:rPr>
              <w:t>BBL</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20"/>
                <w:szCs w:val="20"/>
              </w:rPr>
              <w:t>53.0 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082948732"/>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Short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color w:val="000000"/>
                <w:sz w:val="20"/>
                <w:szCs w:val="20"/>
              </w:rPr>
              <w:t>BBL</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20"/>
                <w:szCs w:val="20"/>
              </w:rPr>
              <w:t>(45.0)</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082948732"/>
          <w:trHeight w:val="240"/>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b/>
                <w:bCs/>
                <w:color w:val="000000"/>
                <w:sz w:val="20"/>
                <w:szCs w:val="20"/>
              </w:rPr>
              <w:t>Foreign currency exchange contracts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Sell U.S. dollar, buy other currencies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20"/>
                <w:szCs w:val="20"/>
              </w:rPr>
              <w:t>(244.6)</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082948732"/>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Buy U.S. dollar, sell other currencies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color w:val="000000"/>
                <w:sz w:val="20"/>
                <w:szCs w:val="20"/>
              </w:rPr>
              <w:t>USD</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20"/>
                <w:szCs w:val="20"/>
              </w:rPr>
              <w:t>346.3 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082948732"/>
        </w:trPr>
        <w:tc>
          <w:tcPr>
            <w:tcW w:w="0" w:type="auto"/>
            <w:gridSpan w:val="3"/>
            <w:vAlign w:val="center"/>
            <w:hideMark/>
          </w:tcPr>
          <w:p w:rsidR="00000000" w:rsidRDefault="00967E53">
            <w:pPr>
              <w:spacing w:after="100"/>
              <w:jc w:val="right"/>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082948732"/>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bl>
    <w:p w:rsidR="00000000" w:rsidRDefault="00967E53">
      <w:pPr>
        <w:ind w:firstLine="360"/>
        <w:jc w:val="both"/>
        <w:divId w:val="1551920440"/>
        <w:rPr>
          <w:rFonts w:eastAsia="Times New Roman"/>
        </w:rPr>
      </w:pPr>
      <w:r>
        <w:rPr>
          <w:rFonts w:eastAsia="Times New Roman"/>
          <w:color w:val="000000"/>
          <w:sz w:val="20"/>
          <w:szCs w:val="20"/>
        </w:rPr>
        <w:t>The following amounts were recorded on our Consolidated Balance Sheets related to cumulative basis adjustments for fair value hedges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2620"/>
        <w:gridCol w:w="36"/>
        <w:gridCol w:w="36"/>
        <w:gridCol w:w="36"/>
        <w:gridCol w:w="36"/>
        <w:gridCol w:w="121"/>
        <w:gridCol w:w="1137"/>
        <w:gridCol w:w="36"/>
        <w:gridCol w:w="36"/>
        <w:gridCol w:w="36"/>
        <w:gridCol w:w="36"/>
        <w:gridCol w:w="120"/>
        <w:gridCol w:w="1138"/>
        <w:gridCol w:w="36"/>
        <w:gridCol w:w="36"/>
        <w:gridCol w:w="36"/>
        <w:gridCol w:w="36"/>
        <w:gridCol w:w="121"/>
        <w:gridCol w:w="1138"/>
        <w:gridCol w:w="37"/>
        <w:gridCol w:w="37"/>
        <w:gridCol w:w="37"/>
        <w:gridCol w:w="36"/>
        <w:gridCol w:w="121"/>
        <w:gridCol w:w="1137"/>
        <w:gridCol w:w="37"/>
      </w:tblGrid>
      <w:tr w:rsidR="00000000">
        <w:trPr>
          <w:divId w:val="896016640"/>
        </w:trPr>
        <w:tc>
          <w:tcPr>
            <w:tcW w:w="50" w:type="pct"/>
            <w:vAlign w:val="center"/>
            <w:hideMark/>
          </w:tcPr>
          <w:p w:rsidR="00000000" w:rsidRDefault="00967E53">
            <w:pPr>
              <w:ind w:firstLine="360"/>
              <w:jc w:val="both"/>
              <w:rPr>
                <w:rFonts w:eastAsia="Times New Roman"/>
              </w:rPr>
            </w:pPr>
          </w:p>
        </w:tc>
        <w:tc>
          <w:tcPr>
            <w:tcW w:w="161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896016640"/>
        </w:trPr>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Line item in the Consolidated Balance Sheets in which the hedged item is included</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Carrying Amount of Hedged Assets/(Liabilities)</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Cumulative Amount of Fair Value Hedging Adjustment Included in the Carrying Amount of the Hedged Asset/(Liabili</w:t>
            </w:r>
            <w:r>
              <w:rPr>
                <w:rFonts w:eastAsia="Times New Roman"/>
                <w:b/>
                <w:bCs/>
                <w:color w:val="000000"/>
                <w:sz w:val="16"/>
                <w:szCs w:val="16"/>
              </w:rPr>
              <w:t>ties)</w:t>
            </w:r>
          </w:p>
        </w:tc>
      </w:tr>
      <w:tr w:rsidR="00000000">
        <w:trPr>
          <w:divId w:val="89601664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b/>
                <w:bCs/>
                <w:color w:val="000000"/>
                <w:sz w:val="16"/>
                <w:szCs w:val="16"/>
              </w:rPr>
              <w:t>June 30,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b/>
                <w:bCs/>
                <w:color w:val="000000"/>
                <w:sz w:val="16"/>
                <w:szCs w:val="16"/>
              </w:rPr>
              <w:t>June 30,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b/>
                <w:bCs/>
                <w:color w:val="000000"/>
                <w:sz w:val="16"/>
                <w:szCs w:val="16"/>
              </w:rPr>
              <w:t>December 31, 2020</w:t>
            </w:r>
          </w:p>
        </w:tc>
      </w:tr>
      <w:tr w:rsidR="00000000">
        <w:trPr>
          <w:divId w:val="896016640"/>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Inventory</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20"/>
                <w:szCs w:val="20"/>
              </w:rPr>
              <w:t>51.4 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20"/>
                <w:szCs w:val="20"/>
              </w:rPr>
              <w:t>44.5 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20"/>
                <w:szCs w:val="20"/>
              </w:rPr>
              <w:t>9.3 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r>
    </w:tbl>
    <w:p w:rsidR="00000000" w:rsidRDefault="00967E53">
      <w:pPr>
        <w:ind w:firstLine="360"/>
        <w:jc w:val="both"/>
        <w:divId w:val="567618282"/>
        <w:rPr>
          <w:rFonts w:eastAsia="Times New Roman"/>
        </w:rPr>
      </w:pPr>
      <w:r>
        <w:rPr>
          <w:rFonts w:eastAsia="Times New Roman"/>
          <w:color w:val="000000"/>
          <w:sz w:val="20"/>
          <w:szCs w:val="20"/>
        </w:rPr>
        <w:t>The following table presents the location and amount of gains (losses) on fair value and cash flow hedges re</w:t>
      </w:r>
      <w:r>
        <w:rPr>
          <w:rFonts w:eastAsia="Times New Roman"/>
          <w:color w:val="000000"/>
          <w:sz w:val="20"/>
          <w:szCs w:val="20"/>
        </w:rPr>
        <w:t>cognized in income in our Condensed Consolidated Statements of Income and Comprehensive Income (in millions):</w:t>
      </w:r>
    </w:p>
    <w:tbl>
      <w:tblPr>
        <w:tblW w:w="4970" w:type="pct"/>
        <w:tblCellMar>
          <w:top w:w="15" w:type="dxa"/>
          <w:left w:w="15" w:type="dxa"/>
          <w:bottom w:w="15" w:type="dxa"/>
          <w:right w:w="15" w:type="dxa"/>
        </w:tblCellMar>
        <w:tblLook w:val="04A0" w:firstRow="1" w:lastRow="0" w:firstColumn="1" w:lastColumn="0" w:noHBand="0" w:noVBand="1"/>
      </w:tblPr>
      <w:tblGrid>
        <w:gridCol w:w="51"/>
        <w:gridCol w:w="1569"/>
        <w:gridCol w:w="39"/>
        <w:gridCol w:w="41"/>
        <w:gridCol w:w="1046"/>
        <w:gridCol w:w="37"/>
        <w:gridCol w:w="36"/>
        <w:gridCol w:w="36"/>
        <w:gridCol w:w="36"/>
        <w:gridCol w:w="100"/>
        <w:gridCol w:w="585"/>
        <w:gridCol w:w="36"/>
        <w:gridCol w:w="36"/>
        <w:gridCol w:w="36"/>
        <w:gridCol w:w="36"/>
        <w:gridCol w:w="100"/>
        <w:gridCol w:w="585"/>
        <w:gridCol w:w="36"/>
        <w:gridCol w:w="36"/>
        <w:gridCol w:w="36"/>
        <w:gridCol w:w="36"/>
        <w:gridCol w:w="101"/>
        <w:gridCol w:w="831"/>
        <w:gridCol w:w="36"/>
        <w:gridCol w:w="36"/>
        <w:gridCol w:w="36"/>
        <w:gridCol w:w="36"/>
        <w:gridCol w:w="100"/>
        <w:gridCol w:w="587"/>
        <w:gridCol w:w="36"/>
        <w:gridCol w:w="36"/>
        <w:gridCol w:w="36"/>
        <w:gridCol w:w="36"/>
        <w:gridCol w:w="100"/>
        <w:gridCol w:w="587"/>
        <w:gridCol w:w="36"/>
        <w:gridCol w:w="36"/>
        <w:gridCol w:w="36"/>
        <w:gridCol w:w="36"/>
        <w:gridCol w:w="101"/>
        <w:gridCol w:w="832"/>
        <w:gridCol w:w="36"/>
      </w:tblGrid>
      <w:tr w:rsidR="00000000">
        <w:trPr>
          <w:divId w:val="189150371"/>
        </w:trPr>
        <w:tc>
          <w:tcPr>
            <w:tcW w:w="50" w:type="pct"/>
            <w:vAlign w:val="center"/>
            <w:hideMark/>
          </w:tcPr>
          <w:p w:rsidR="00000000" w:rsidRDefault="00967E53">
            <w:pPr>
              <w:ind w:firstLine="360"/>
              <w:jc w:val="both"/>
              <w:rPr>
                <w:rFonts w:eastAsia="Times New Roman"/>
              </w:rPr>
            </w:pPr>
          </w:p>
        </w:tc>
        <w:tc>
          <w:tcPr>
            <w:tcW w:w="98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5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8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8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3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8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8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3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89150371"/>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For the Three Months Ended</w:t>
            </w:r>
          </w:p>
        </w:tc>
      </w:tr>
      <w:tr w:rsidR="00000000">
        <w:trPr>
          <w:divId w:val="189150371"/>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June 30,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June 30, 2020</w:t>
            </w:r>
          </w:p>
        </w:tc>
      </w:tr>
      <w:tr w:rsidR="00000000">
        <w:trPr>
          <w:divId w:val="189150371"/>
        </w:trPr>
        <w:tc>
          <w:tcPr>
            <w:tcW w:w="0" w:type="auto"/>
            <w:gridSpan w:val="6"/>
            <w:shd w:val="clear" w:color="auto" w:fill="CCEE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Interest expense and other financing costs, net</w:t>
            </w:r>
          </w:p>
        </w:tc>
      </w:tr>
      <w:tr w:rsidR="00000000">
        <w:trPr>
          <w:divId w:val="189150371"/>
        </w:trPr>
        <w:tc>
          <w:tcPr>
            <w:tcW w:w="0" w:type="auto"/>
            <w:gridSpan w:val="6"/>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Total amounts of income and expense line items in which the effects of fair value or cash flow hedged are recorded</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7,085.5 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6,901.6 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3,158.3 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2,944.5 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9150371"/>
        </w:trPr>
        <w:tc>
          <w:tcPr>
            <w:tcW w:w="0" w:type="auto"/>
            <w:gridSpan w:val="6"/>
            <w:shd w:val="clear" w:color="auto" w:fill="CCEEFF"/>
            <w:tcMar>
              <w:top w:w="30" w:type="dxa"/>
              <w:left w:w="14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Gains (losses) on fair value hedge relationships: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89150371"/>
        </w:trPr>
        <w:tc>
          <w:tcPr>
            <w:tcW w:w="0" w:type="auto"/>
            <w:gridSpan w:val="3"/>
            <w:shd w:val="clear" w:color="auto" w:fill="FFFFFF"/>
            <w:tcMar>
              <w:top w:w="30" w:type="dxa"/>
              <w:left w:w="14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   Commodity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89150371"/>
        </w:trPr>
        <w:tc>
          <w:tcPr>
            <w:tcW w:w="0" w:type="auto"/>
            <w:gridSpan w:val="6"/>
            <w:shd w:val="clear" w:color="auto" w:fill="CCEEFF"/>
            <w:tcMar>
              <w:top w:w="30" w:type="dxa"/>
              <w:left w:w="50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Hedged item</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14.6 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8.9 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9150371"/>
        </w:trPr>
        <w:tc>
          <w:tcPr>
            <w:tcW w:w="0" w:type="auto"/>
            <w:gridSpan w:val="6"/>
            <w:shd w:val="clear" w:color="auto" w:fill="FFFFFF"/>
            <w:tcMar>
              <w:top w:w="30" w:type="dxa"/>
              <w:left w:w="50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(11.3)</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(4.6)</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9150371"/>
        </w:trPr>
        <w:tc>
          <w:tcPr>
            <w:tcW w:w="0" w:type="auto"/>
            <w:gridSpan w:val="3"/>
            <w:vAlign w:val="center"/>
            <w:hideMark/>
          </w:tcPr>
          <w:p w:rsidR="00000000" w:rsidRDefault="00967E53">
            <w:pPr>
              <w:spacing w:after="100"/>
              <w:jc w:val="right"/>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89150371"/>
        </w:trPr>
        <w:tc>
          <w:tcPr>
            <w:tcW w:w="0" w:type="auto"/>
            <w:gridSpan w:val="6"/>
            <w:shd w:val="clear" w:color="auto" w:fill="CCEEFF"/>
            <w:tcMar>
              <w:top w:w="30" w:type="dxa"/>
              <w:left w:w="12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Gains (losses) on cash flow hedge relationships: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89150371"/>
        </w:trPr>
        <w:tc>
          <w:tcPr>
            <w:tcW w:w="0" w:type="auto"/>
            <w:gridSpan w:val="3"/>
            <w:shd w:val="clear" w:color="auto" w:fill="FFFFFF"/>
            <w:tcMar>
              <w:top w:w="30" w:type="dxa"/>
              <w:left w:w="14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   </w:t>
            </w:r>
            <w:r>
              <w:rPr>
                <w:rFonts w:eastAsia="Times New Roman"/>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89150371"/>
        </w:trPr>
        <w:tc>
          <w:tcPr>
            <w:tcW w:w="0" w:type="auto"/>
            <w:gridSpan w:val="6"/>
            <w:shd w:val="clear" w:color="auto" w:fill="CCEEFF"/>
            <w:tcMar>
              <w:top w:w="30" w:type="dxa"/>
              <w:left w:w="50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Amount of gain (loss) reclassified from accumulated other comprehensive income into income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(2.9)</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67.4 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27.0 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(56.2)</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9150371"/>
        </w:trPr>
        <w:tc>
          <w:tcPr>
            <w:tcW w:w="0" w:type="auto"/>
            <w:gridSpan w:val="3"/>
            <w:shd w:val="clear" w:color="auto" w:fill="FFFFFF"/>
            <w:tcMar>
              <w:top w:w="30" w:type="dxa"/>
              <w:left w:w="14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   </w:t>
            </w:r>
            <w:r>
              <w:rPr>
                <w:rFonts w:eastAsia="Times New Roman"/>
                <w:color w:val="000000"/>
                <w:sz w:val="16"/>
                <w:szCs w:val="16"/>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89150371"/>
        </w:trPr>
        <w:tc>
          <w:tcPr>
            <w:tcW w:w="0" w:type="auto"/>
            <w:gridSpan w:val="6"/>
            <w:shd w:val="clear" w:color="auto" w:fill="CCEEFF"/>
            <w:tcMar>
              <w:top w:w="30" w:type="dxa"/>
              <w:left w:w="50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Amount of gain (loss) reclassified from accumulated other comprehensive income into income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(0.3)</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9150371"/>
        </w:trPr>
        <w:tc>
          <w:tcPr>
            <w:tcW w:w="0" w:type="auto"/>
            <w:gridSpan w:val="3"/>
            <w:vAlign w:val="center"/>
            <w:hideMark/>
          </w:tcPr>
          <w:p w:rsidR="00000000" w:rsidRDefault="00967E53">
            <w:pPr>
              <w:spacing w:after="100"/>
              <w:jc w:val="right"/>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89150371"/>
        </w:trPr>
        <w:tc>
          <w:tcPr>
            <w:tcW w:w="0" w:type="auto"/>
            <w:gridSpan w:val="6"/>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Total amount of income and expense line items excluding the impact of hedges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7,088.4 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6,972.2 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3,131.4 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2,892.6 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9150371"/>
          <w:trHeight w:val="120"/>
        </w:trPr>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67E53">
            <w:pPr>
              <w:spacing w:after="100"/>
              <w:rPr>
                <w:rFonts w:eastAsia="Times New Roman"/>
                <w:sz w:val="20"/>
                <w:szCs w:val="20"/>
              </w:rPr>
            </w:pPr>
          </w:p>
        </w:tc>
      </w:tr>
    </w:tbl>
    <w:p w:rsidR="00000000" w:rsidRDefault="00967E53">
      <w:pPr>
        <w:ind w:firstLine="360"/>
        <w:jc w:val="center"/>
        <w:divId w:val="1884251133"/>
        <w:rPr>
          <w:rFonts w:eastAsia="Times New Roman"/>
        </w:rPr>
      </w:pPr>
      <w:r>
        <w:rPr>
          <w:rFonts w:eastAsia="Times New Roman"/>
          <w:color w:val="000000"/>
          <w:sz w:val="20"/>
          <w:szCs w:val="20"/>
        </w:rPr>
        <w:t>9</w:t>
      </w:r>
    </w:p>
    <w:p w:rsidR="00000000" w:rsidRDefault="00967E53">
      <w:pPr>
        <w:rPr>
          <w:rFonts w:eastAsia="Times New Roman"/>
        </w:rPr>
      </w:pPr>
      <w:r>
        <w:rPr>
          <w:rFonts w:eastAsia="Times New Roman"/>
        </w:rPr>
        <w:pict>
          <v:rect id="_x0000_i1037" style="width:0;height:1.5pt" o:hralign="center" o:hrstd="t" o:hr="t" fillcolor="#a0a0a0" stroked="f"/>
        </w:pict>
      </w:r>
    </w:p>
    <w:p w:rsidR="00000000" w:rsidRDefault="00967E53">
      <w:pPr>
        <w:ind w:firstLine="360"/>
        <w:jc w:val="both"/>
        <w:divId w:val="1510438813"/>
        <w:rPr>
          <w:rFonts w:eastAsia="Times New Roman"/>
        </w:rPr>
      </w:pPr>
    </w:p>
    <w:p w:rsidR="00000000" w:rsidRDefault="00967E53">
      <w:pPr>
        <w:ind w:firstLine="360"/>
        <w:jc w:val="both"/>
        <w:divId w:val="1861964056"/>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50"/>
        <w:gridCol w:w="1570"/>
        <w:gridCol w:w="39"/>
        <w:gridCol w:w="41"/>
        <w:gridCol w:w="1046"/>
        <w:gridCol w:w="37"/>
        <w:gridCol w:w="36"/>
        <w:gridCol w:w="36"/>
        <w:gridCol w:w="36"/>
        <w:gridCol w:w="100"/>
        <w:gridCol w:w="600"/>
        <w:gridCol w:w="36"/>
        <w:gridCol w:w="36"/>
        <w:gridCol w:w="36"/>
        <w:gridCol w:w="36"/>
        <w:gridCol w:w="100"/>
        <w:gridCol w:w="600"/>
        <w:gridCol w:w="36"/>
        <w:gridCol w:w="36"/>
        <w:gridCol w:w="36"/>
        <w:gridCol w:w="36"/>
        <w:gridCol w:w="101"/>
        <w:gridCol w:w="801"/>
        <w:gridCol w:w="36"/>
        <w:gridCol w:w="36"/>
        <w:gridCol w:w="36"/>
        <w:gridCol w:w="36"/>
        <w:gridCol w:w="100"/>
        <w:gridCol w:w="600"/>
        <w:gridCol w:w="36"/>
        <w:gridCol w:w="36"/>
        <w:gridCol w:w="36"/>
        <w:gridCol w:w="36"/>
        <w:gridCol w:w="100"/>
        <w:gridCol w:w="600"/>
        <w:gridCol w:w="36"/>
        <w:gridCol w:w="36"/>
        <w:gridCol w:w="36"/>
        <w:gridCol w:w="36"/>
        <w:gridCol w:w="101"/>
        <w:gridCol w:w="806"/>
        <w:gridCol w:w="36"/>
      </w:tblGrid>
      <w:tr w:rsidR="00000000">
        <w:trPr>
          <w:divId w:val="749349825"/>
        </w:trPr>
        <w:tc>
          <w:tcPr>
            <w:tcW w:w="50" w:type="pct"/>
            <w:vAlign w:val="center"/>
            <w:hideMark/>
          </w:tcPr>
          <w:p w:rsidR="00000000" w:rsidRDefault="00967E53">
            <w:pPr>
              <w:ind w:firstLine="360"/>
              <w:jc w:val="both"/>
              <w:rPr>
                <w:rFonts w:eastAsia="Times New Roman"/>
              </w:rPr>
            </w:pPr>
          </w:p>
        </w:tc>
        <w:tc>
          <w:tcPr>
            <w:tcW w:w="98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5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8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8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3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8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38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3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749349825"/>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For the Six Months Ended</w:t>
            </w:r>
          </w:p>
        </w:tc>
      </w:tr>
      <w:tr w:rsidR="00000000">
        <w:trPr>
          <w:divId w:val="749349825"/>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June 30,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June 30, 2020</w:t>
            </w:r>
          </w:p>
        </w:tc>
      </w:tr>
      <w:tr w:rsidR="00000000">
        <w:trPr>
          <w:divId w:val="749349825"/>
        </w:trPr>
        <w:tc>
          <w:tcPr>
            <w:tcW w:w="0" w:type="auto"/>
            <w:gridSpan w:val="6"/>
            <w:shd w:val="clear" w:color="auto" w:fill="CCEE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Interest expense and other financing costs, net</w:t>
            </w:r>
          </w:p>
        </w:tc>
      </w:tr>
      <w:tr w:rsidR="00000000">
        <w:trPr>
          <w:divId w:val="749349825"/>
        </w:trPr>
        <w:tc>
          <w:tcPr>
            <w:tcW w:w="0" w:type="auto"/>
            <w:gridSpan w:val="6"/>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Total amounts of income and expense line items in which the effects of fair value or cash flow hedged are recorded</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13,043.4 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12,667.9 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11,173.5 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10,700.9 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49349825"/>
        </w:trPr>
        <w:tc>
          <w:tcPr>
            <w:tcW w:w="0" w:type="auto"/>
            <w:gridSpan w:val="6"/>
            <w:shd w:val="clear" w:color="auto" w:fill="CCEEFF"/>
            <w:tcMar>
              <w:top w:w="30" w:type="dxa"/>
              <w:left w:w="12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Gains (losses) on fair value hedge relationships: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49349825"/>
        </w:trPr>
        <w:tc>
          <w:tcPr>
            <w:tcW w:w="0" w:type="auto"/>
            <w:gridSpan w:val="3"/>
            <w:shd w:val="clear" w:color="auto" w:fill="FFFFFF"/>
            <w:tcMar>
              <w:top w:w="30" w:type="dxa"/>
              <w:left w:w="12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   Commodity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49349825"/>
        </w:trPr>
        <w:tc>
          <w:tcPr>
            <w:tcW w:w="0" w:type="auto"/>
            <w:gridSpan w:val="6"/>
            <w:shd w:val="clear" w:color="auto" w:fill="CCEEFF"/>
            <w:tcMar>
              <w:top w:w="30" w:type="dxa"/>
              <w:left w:w="50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Hedged item</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26.5 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(14.3)</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49349825"/>
        </w:trPr>
        <w:tc>
          <w:tcPr>
            <w:tcW w:w="0" w:type="auto"/>
            <w:gridSpan w:val="6"/>
            <w:shd w:val="clear" w:color="auto" w:fill="FFFFFF"/>
            <w:tcMar>
              <w:top w:w="30" w:type="dxa"/>
              <w:left w:w="50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(19.7)</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13.8 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49349825"/>
        </w:trPr>
        <w:tc>
          <w:tcPr>
            <w:tcW w:w="0" w:type="auto"/>
            <w:gridSpan w:val="3"/>
            <w:vAlign w:val="center"/>
            <w:hideMark/>
          </w:tcPr>
          <w:p w:rsidR="00000000" w:rsidRDefault="00967E53">
            <w:pPr>
              <w:spacing w:after="100"/>
              <w:jc w:val="right"/>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749349825"/>
        </w:trPr>
        <w:tc>
          <w:tcPr>
            <w:tcW w:w="0" w:type="auto"/>
            <w:gridSpan w:val="6"/>
            <w:shd w:val="clear" w:color="auto" w:fill="CCEEFF"/>
            <w:tcMar>
              <w:top w:w="30" w:type="dxa"/>
              <w:left w:w="12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Gains (losses) on cash flow hedge relationships: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49349825"/>
        </w:trPr>
        <w:tc>
          <w:tcPr>
            <w:tcW w:w="0" w:type="auto"/>
            <w:gridSpan w:val="3"/>
            <w:shd w:val="clear" w:color="auto" w:fill="FFFFFF"/>
            <w:tcMar>
              <w:top w:w="30" w:type="dxa"/>
              <w:left w:w="12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   </w:t>
            </w:r>
            <w:r>
              <w:rPr>
                <w:rFonts w:eastAsia="Times New Roman"/>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49349825"/>
        </w:trPr>
        <w:tc>
          <w:tcPr>
            <w:tcW w:w="0" w:type="auto"/>
            <w:gridSpan w:val="6"/>
            <w:shd w:val="clear" w:color="auto" w:fill="CCEEFF"/>
            <w:tcMar>
              <w:top w:w="30" w:type="dxa"/>
              <w:left w:w="50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Amount of gain (loss) reclassified from accumulated other comprehensive income into income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(14.6)</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88.4 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41.0 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(57.3)</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49349825"/>
        </w:trPr>
        <w:tc>
          <w:tcPr>
            <w:tcW w:w="0" w:type="auto"/>
            <w:gridSpan w:val="3"/>
            <w:shd w:val="clear" w:color="auto" w:fill="FFFFFF"/>
            <w:tcMar>
              <w:top w:w="30" w:type="dxa"/>
              <w:left w:w="125"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   </w:t>
            </w:r>
            <w:r>
              <w:rPr>
                <w:rFonts w:eastAsia="Times New Roman"/>
                <w:color w:val="000000"/>
                <w:sz w:val="16"/>
                <w:szCs w:val="16"/>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49349825"/>
        </w:trPr>
        <w:tc>
          <w:tcPr>
            <w:tcW w:w="0" w:type="auto"/>
            <w:gridSpan w:val="6"/>
            <w:shd w:val="clear" w:color="auto" w:fill="CCEEFF"/>
            <w:tcMar>
              <w:top w:w="30" w:type="dxa"/>
              <w:left w:w="50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Amount of gain (loss) reclassified from accumulated other comprehensive income into income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(0.5)</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49349825"/>
        </w:trPr>
        <w:tc>
          <w:tcPr>
            <w:tcW w:w="0" w:type="auto"/>
            <w:gridSpan w:val="6"/>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Total amount of income and expense line items excluding the impact of hedges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13,058.0 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12,763.2 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11,132.5 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10,643.1 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360"/>
        <w:jc w:val="both"/>
        <w:divId w:val="361169766"/>
        <w:rPr>
          <w:rFonts w:eastAsia="Times New Roman"/>
        </w:rPr>
      </w:pPr>
      <w:r>
        <w:rPr>
          <w:rFonts w:eastAsia="Times New Roman"/>
          <w:color w:val="000000"/>
          <w:sz w:val="20"/>
          <w:szCs w:val="20"/>
        </w:rPr>
        <w:t>For the three and six months ended June 30, 2021 and 2020, there were no gains or losses recognized in earnings related to our fair value or cash flow hedges that were excluded from the assessment of hedge effectiveness.</w:t>
      </w:r>
    </w:p>
    <w:p w:rsidR="00000000" w:rsidRDefault="00967E53">
      <w:pPr>
        <w:ind w:firstLine="360"/>
        <w:jc w:val="both"/>
        <w:divId w:val="1469008003"/>
        <w:rPr>
          <w:rFonts w:eastAsia="Times New Roman"/>
        </w:rPr>
      </w:pPr>
      <w:r>
        <w:rPr>
          <w:rFonts w:eastAsia="Times New Roman"/>
          <w:color w:val="000000"/>
          <w:sz w:val="20"/>
          <w:szCs w:val="20"/>
        </w:rPr>
        <w:t>As of June 30, 2021, on a pre-tax basis for commodity cash flow hedges, $184.3 million and $177.2 million are scheduled to be reclassified from Accumulated other comprehensive loss as an increase to Revenue and increase to Cost of revenue, respectively, ov</w:t>
      </w:r>
      <w:r>
        <w:rPr>
          <w:rFonts w:eastAsia="Times New Roman"/>
          <w:color w:val="000000"/>
          <w:sz w:val="20"/>
          <w:szCs w:val="20"/>
        </w:rPr>
        <w:t>er the next twelve months. As of June 30, 2021, all designated cash flow hedges executed to mitigate exposure to commodity price risk are scheduled to mature within twelve months.</w:t>
      </w:r>
    </w:p>
    <w:p w:rsidR="00000000" w:rsidRDefault="00967E53">
      <w:pPr>
        <w:ind w:firstLine="360"/>
        <w:jc w:val="both"/>
        <w:divId w:val="1867019971"/>
        <w:rPr>
          <w:rFonts w:eastAsia="Times New Roman"/>
        </w:rPr>
      </w:pPr>
      <w:r>
        <w:rPr>
          <w:rFonts w:eastAsia="Times New Roman"/>
          <w:color w:val="000000"/>
          <w:sz w:val="20"/>
          <w:szCs w:val="20"/>
        </w:rPr>
        <w:t>The following tables presents the effect and financial statement location of</w:t>
      </w:r>
      <w:r>
        <w:rPr>
          <w:rFonts w:eastAsia="Times New Roman"/>
          <w:color w:val="000000"/>
          <w:sz w:val="20"/>
          <w:szCs w:val="20"/>
        </w:rPr>
        <w:t xml:space="preserve"> our derivative instruments in cash flow hedging relationships on Accumulated other comprehensive income and Condensed Consolidated Statements of Income and Comprehensive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3947"/>
        <w:gridCol w:w="36"/>
        <w:gridCol w:w="36"/>
        <w:gridCol w:w="36"/>
        <w:gridCol w:w="36"/>
        <w:gridCol w:w="100"/>
        <w:gridCol w:w="825"/>
        <w:gridCol w:w="36"/>
        <w:gridCol w:w="36"/>
        <w:gridCol w:w="36"/>
        <w:gridCol w:w="36"/>
        <w:gridCol w:w="100"/>
        <w:gridCol w:w="827"/>
        <w:gridCol w:w="36"/>
        <w:gridCol w:w="36"/>
        <w:gridCol w:w="36"/>
        <w:gridCol w:w="36"/>
        <w:gridCol w:w="100"/>
        <w:gridCol w:w="827"/>
        <w:gridCol w:w="36"/>
        <w:gridCol w:w="36"/>
        <w:gridCol w:w="36"/>
        <w:gridCol w:w="36"/>
        <w:gridCol w:w="100"/>
        <w:gridCol w:w="828"/>
        <w:gridCol w:w="36"/>
      </w:tblGrid>
      <w:tr w:rsidR="00000000">
        <w:trPr>
          <w:divId w:val="886449058"/>
        </w:trPr>
        <w:tc>
          <w:tcPr>
            <w:tcW w:w="50" w:type="pct"/>
            <w:vAlign w:val="center"/>
            <w:hideMark/>
          </w:tcPr>
          <w:p w:rsidR="00000000" w:rsidRDefault="00967E53">
            <w:pPr>
              <w:ind w:firstLine="360"/>
              <w:jc w:val="both"/>
              <w:rPr>
                <w:rFonts w:eastAsia="Times New Roman"/>
              </w:rPr>
            </w:pPr>
          </w:p>
        </w:tc>
        <w:tc>
          <w:tcPr>
            <w:tcW w:w="240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30"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886449058"/>
          <w:trHeight w:val="240"/>
        </w:trPr>
        <w:tc>
          <w:tcPr>
            <w:tcW w:w="0" w:type="auto"/>
            <w:gridSpan w:val="3"/>
            <w:vMerge w:val="restart"/>
            <w:tcMar>
              <w:top w:w="30" w:type="dxa"/>
              <w:left w:w="20" w:type="dxa"/>
              <w:bottom w:w="30" w:type="dxa"/>
              <w:right w:w="20" w:type="dxa"/>
            </w:tcMar>
            <w:vAlign w:val="bottom"/>
            <w:hideMark/>
          </w:tcPr>
          <w:p w:rsidR="00000000" w:rsidRDefault="00967E53">
            <w:pPr>
              <w:spacing w:after="100"/>
              <w:ind w:firstLine="360"/>
              <w:jc w:val="center"/>
              <w:rPr>
                <w:rFonts w:eastAsia="Times New Roman"/>
              </w:rPr>
            </w:pPr>
            <w:r>
              <w:rPr>
                <w:rFonts w:eastAsia="Times New Roman"/>
                <w:b/>
                <w:bCs/>
                <w:color w:val="000000"/>
                <w:sz w:val="16"/>
                <w:szCs w:val="16"/>
              </w:rPr>
              <w:t xml:space="preserve">Amount of gain (loss) recognized in accumulated other comprehensive income </w:t>
            </w:r>
          </w:p>
        </w:tc>
        <w:tc>
          <w:tcPr>
            <w:tcW w:w="0" w:type="auto"/>
            <w:gridSpan w:val="3"/>
            <w:tcMar>
              <w:top w:w="0" w:type="dxa"/>
              <w:left w:w="20" w:type="dxa"/>
              <w:bottom w:w="0" w:type="dxa"/>
              <w:right w:w="20" w:type="dxa"/>
            </w:tcMar>
            <w:vAlign w:val="center"/>
            <w:hideMark/>
          </w:tcPr>
          <w:p w:rsidR="00000000" w:rsidRDefault="00967E53">
            <w:pPr>
              <w:spacing w:after="100"/>
              <w:ind w:firstLine="36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Six Months Ended June 30,</w:t>
            </w:r>
          </w:p>
        </w:tc>
      </w:tr>
      <w:tr w:rsidR="00000000">
        <w:trPr>
          <w:divId w:val="886449058"/>
          <w:trHeight w:val="300"/>
        </w:trPr>
        <w:tc>
          <w:tcPr>
            <w:tcW w:w="0" w:type="auto"/>
            <w:gridSpan w:val="3"/>
            <w:vMerge/>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2020</w:t>
            </w:r>
          </w:p>
        </w:tc>
      </w:tr>
      <w:tr w:rsidR="00000000">
        <w:trPr>
          <w:divId w:val="88644905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16"/>
                <w:szCs w:val="16"/>
              </w:rPr>
              <w:t>Commodity contracts (Revenue)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(13.3)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(148.5)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(76.1)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185.6 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67E53">
            <w:pPr>
              <w:spacing w:after="100"/>
              <w:jc w:val="right"/>
              <w:rPr>
                <w:rFonts w:eastAsia="Times New Roman"/>
              </w:rPr>
            </w:pPr>
          </w:p>
        </w:tc>
      </w:tr>
      <w:tr w:rsidR="00000000">
        <w:trPr>
          <w:divId w:val="886449058"/>
        </w:trPr>
        <w:tc>
          <w:tcPr>
            <w:tcW w:w="0" w:type="auto"/>
            <w:gridSpan w:val="3"/>
            <w:shd w:val="clear" w:color="auto" w:fill="FFFF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16"/>
                <w:szCs w:val="16"/>
              </w:rPr>
              <w:t>Commodity contracts (Cost of revenue)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69.6 </w:t>
            </w:r>
          </w:p>
        </w:tc>
        <w:tc>
          <w:tcPr>
            <w:tcW w:w="0" w:type="auto"/>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100.3 </w:t>
            </w:r>
          </w:p>
        </w:tc>
        <w:tc>
          <w:tcPr>
            <w:tcW w:w="0" w:type="auto"/>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154.3 </w:t>
            </w:r>
          </w:p>
        </w:tc>
        <w:tc>
          <w:tcPr>
            <w:tcW w:w="0" w:type="auto"/>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(197.4)</w:t>
            </w:r>
          </w:p>
        </w:tc>
        <w:tc>
          <w:tcPr>
            <w:tcW w:w="0" w:type="auto"/>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r>
      <w:tr w:rsidR="00000000">
        <w:trPr>
          <w:divId w:val="886449058"/>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(0.7)</w:t>
            </w:r>
          </w:p>
        </w:tc>
        <w:tc>
          <w:tcPr>
            <w:tcW w:w="0" w:type="auto"/>
            <w:shd w:val="clear" w:color="auto" w:fill="CCEE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(2.2)</w:t>
            </w:r>
          </w:p>
        </w:tc>
        <w:tc>
          <w:tcPr>
            <w:tcW w:w="0" w:type="auto"/>
            <w:shd w:val="clear" w:color="auto" w:fill="CCEE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3.0 </w:t>
            </w:r>
          </w:p>
        </w:tc>
        <w:tc>
          <w:tcPr>
            <w:tcW w:w="0" w:type="auto"/>
            <w:shd w:val="clear" w:color="auto" w:fill="CCEE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(3.7)</w:t>
            </w:r>
          </w:p>
        </w:tc>
        <w:tc>
          <w:tcPr>
            <w:tcW w:w="0" w:type="auto"/>
            <w:shd w:val="clear" w:color="auto" w:fill="CCEEFF"/>
            <w:tcMar>
              <w:top w:w="30" w:type="dxa"/>
              <w:left w:w="0" w:type="dxa"/>
              <w:bottom w:w="30" w:type="dxa"/>
              <w:right w:w="20" w:type="dxa"/>
            </w:tcMar>
            <w:vAlign w:val="center"/>
            <w:hideMark/>
          </w:tcPr>
          <w:p w:rsidR="00000000" w:rsidRDefault="00967E53">
            <w:pPr>
              <w:spacing w:after="100"/>
              <w:jc w:val="right"/>
              <w:rPr>
                <w:rFonts w:eastAsia="Times New Roman"/>
              </w:rPr>
            </w:pPr>
          </w:p>
        </w:tc>
      </w:tr>
      <w:tr w:rsidR="00000000">
        <w:trPr>
          <w:divId w:val="886449058"/>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Total gain (loss)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55.7 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(50.3)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81.2 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(15.5)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530"/>
        <w:gridCol w:w="144"/>
        <w:gridCol w:w="144"/>
        <w:gridCol w:w="144"/>
        <w:gridCol w:w="144"/>
        <w:gridCol w:w="144"/>
        <w:gridCol w:w="1280"/>
        <w:gridCol w:w="144"/>
        <w:gridCol w:w="144"/>
        <w:gridCol w:w="144"/>
        <w:gridCol w:w="144"/>
        <w:gridCol w:w="144"/>
        <w:gridCol w:w="878"/>
        <w:gridCol w:w="144"/>
        <w:gridCol w:w="144"/>
        <w:gridCol w:w="144"/>
        <w:gridCol w:w="144"/>
        <w:gridCol w:w="144"/>
        <w:gridCol w:w="878"/>
        <w:gridCol w:w="144"/>
        <w:gridCol w:w="144"/>
        <w:gridCol w:w="144"/>
        <w:gridCol w:w="144"/>
        <w:gridCol w:w="144"/>
        <w:gridCol w:w="878"/>
        <w:gridCol w:w="144"/>
        <w:gridCol w:w="144"/>
        <w:gridCol w:w="144"/>
        <w:gridCol w:w="144"/>
        <w:gridCol w:w="144"/>
        <w:gridCol w:w="880"/>
        <w:gridCol w:w="144"/>
      </w:tblGrid>
      <w:tr w:rsidR="00000000">
        <w:tc>
          <w:tcPr>
            <w:tcW w:w="50" w:type="pct"/>
            <w:vAlign w:val="center"/>
            <w:hideMark/>
          </w:tcPr>
          <w:p w:rsidR="00000000" w:rsidRDefault="00967E53">
            <w:pPr>
              <w:jc w:val="both"/>
              <w:rPr>
                <w:rFonts w:eastAsia="Times New Roman"/>
              </w:rPr>
            </w:pPr>
          </w:p>
        </w:tc>
        <w:tc>
          <w:tcPr>
            <w:tcW w:w="152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7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30"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trHeight w:val="280"/>
        </w:trPr>
        <w:tc>
          <w:tcPr>
            <w:tcW w:w="0" w:type="auto"/>
            <w:gridSpan w:val="3"/>
            <w:vMerge w:val="restart"/>
            <w:tcMar>
              <w:top w:w="30" w:type="dxa"/>
              <w:left w:w="20" w:type="dxa"/>
              <w:bottom w:w="30" w:type="dxa"/>
              <w:right w:w="20" w:type="dxa"/>
            </w:tcMar>
            <w:vAlign w:val="bottom"/>
            <w:hideMark/>
          </w:tcPr>
          <w:p w:rsidR="00000000" w:rsidRDefault="00967E53">
            <w:pPr>
              <w:spacing w:after="100"/>
              <w:ind w:firstLine="360"/>
              <w:jc w:val="center"/>
              <w:rPr>
                <w:rFonts w:eastAsia="Times New Roman"/>
              </w:rPr>
            </w:pPr>
            <w:r>
              <w:rPr>
                <w:rFonts w:eastAsia="Times New Roman"/>
                <w:b/>
                <w:bCs/>
                <w:color w:val="000000"/>
                <w:sz w:val="16"/>
                <w:szCs w:val="16"/>
              </w:rPr>
              <w:t xml:space="preserve">Amount of gain (loss) reclassified from accumulated other comprehensive income into Income </w:t>
            </w:r>
          </w:p>
        </w:tc>
        <w:tc>
          <w:tcPr>
            <w:tcW w:w="0" w:type="auto"/>
            <w:gridSpan w:val="3"/>
            <w:tcMar>
              <w:top w:w="0" w:type="dxa"/>
              <w:left w:w="20" w:type="dxa"/>
              <w:bottom w:w="0" w:type="dxa"/>
              <w:right w:w="20" w:type="dxa"/>
            </w:tcMar>
            <w:vAlign w:val="center"/>
            <w:hideMark/>
          </w:tcPr>
          <w:p w:rsidR="00000000" w:rsidRDefault="00967E53">
            <w:pPr>
              <w:spacing w:after="100"/>
              <w:ind w:firstLine="36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Six Months Ended June 30,</w:t>
            </w:r>
          </w:p>
        </w:tc>
      </w:tr>
      <w:tr w:rsidR="00000000">
        <w:trPr>
          <w:trHeight w:val="300"/>
        </w:trPr>
        <w:tc>
          <w:tcPr>
            <w:tcW w:w="0" w:type="auto"/>
            <w:gridSpan w:val="3"/>
            <w:vMerge/>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b/>
                <w:bCs/>
                <w:color w:val="000000"/>
                <w:sz w:val="16"/>
                <w:szCs w:val="16"/>
              </w:rPr>
              <w:t>Location</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2020</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16"/>
                <w:szCs w:val="16"/>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16"/>
                <w:szCs w:val="16"/>
              </w:rPr>
              <w:t>Revenue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(2.9)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27.0 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(14.6)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41.0 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67E5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16"/>
                <w:szCs w:val="16"/>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67.4 </w:t>
            </w:r>
          </w:p>
        </w:tc>
        <w:tc>
          <w:tcPr>
            <w:tcW w:w="0" w:type="auto"/>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(56.2)</w:t>
            </w:r>
          </w:p>
        </w:tc>
        <w:tc>
          <w:tcPr>
            <w:tcW w:w="0" w:type="auto"/>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88.4 </w:t>
            </w:r>
          </w:p>
        </w:tc>
        <w:tc>
          <w:tcPr>
            <w:tcW w:w="0" w:type="auto"/>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(57.3)</w:t>
            </w:r>
          </w:p>
        </w:tc>
        <w:tc>
          <w:tcPr>
            <w:tcW w:w="0" w:type="auto"/>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16"/>
                <w:szCs w:val="16"/>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(0.3)</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(0.5)</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16"/>
                <w:szCs w:val="16"/>
              </w:rPr>
              <w:t>Total gain (loss)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64.2 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(29.2)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73.4 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(16.3)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r>
    </w:tbl>
    <w:p w:rsidR="00000000" w:rsidRDefault="00967E53">
      <w:pPr>
        <w:ind w:firstLine="360"/>
        <w:jc w:val="center"/>
        <w:divId w:val="704913634"/>
        <w:rPr>
          <w:rFonts w:eastAsia="Times New Roman"/>
        </w:rPr>
      </w:pPr>
      <w:r>
        <w:rPr>
          <w:rFonts w:eastAsia="Times New Roman"/>
          <w:color w:val="000000"/>
          <w:sz w:val="20"/>
          <w:szCs w:val="20"/>
        </w:rPr>
        <w:t>10</w:t>
      </w:r>
    </w:p>
    <w:p w:rsidR="00000000" w:rsidRDefault="00967E53">
      <w:pPr>
        <w:rPr>
          <w:rFonts w:eastAsia="Times New Roman"/>
        </w:rPr>
      </w:pPr>
      <w:r>
        <w:rPr>
          <w:rFonts w:eastAsia="Times New Roman"/>
        </w:rPr>
        <w:pict>
          <v:rect id="_x0000_i1038" style="width:0;height:1.5pt" o:hralign="center" o:hrstd="t" o:hr="t" fillcolor="#a0a0a0" stroked="f"/>
        </w:pict>
      </w:r>
    </w:p>
    <w:p w:rsidR="00000000" w:rsidRDefault="00967E53">
      <w:pPr>
        <w:ind w:firstLine="360"/>
        <w:jc w:val="both"/>
        <w:divId w:val="278266223"/>
        <w:rPr>
          <w:rFonts w:eastAsia="Times New Roman"/>
        </w:rPr>
      </w:pPr>
    </w:p>
    <w:p w:rsidR="00000000" w:rsidRDefault="00967E53">
      <w:pPr>
        <w:ind w:firstLine="360"/>
        <w:jc w:val="both"/>
        <w:divId w:val="288977197"/>
        <w:rPr>
          <w:rFonts w:eastAsia="Times New Roman"/>
        </w:rPr>
      </w:pPr>
    </w:p>
    <w:p w:rsidR="00000000" w:rsidRDefault="00967E53">
      <w:pPr>
        <w:ind w:firstLine="360"/>
        <w:jc w:val="both"/>
        <w:divId w:val="570626612"/>
        <w:rPr>
          <w:rFonts w:eastAsia="Times New Roman"/>
        </w:rPr>
      </w:pPr>
      <w:r>
        <w:rPr>
          <w:rFonts w:eastAsia="Times New Roman"/>
          <w:color w:val="000000"/>
          <w:sz w:val="20"/>
          <w:szCs w:val="20"/>
        </w:rPr>
        <w:t>The following table presen</w:t>
      </w:r>
      <w:r>
        <w:rPr>
          <w:rFonts w:eastAsia="Times New Roman"/>
          <w:color w:val="000000"/>
          <w:sz w:val="20"/>
          <w:szCs w:val="20"/>
        </w:rPr>
        <w:t>ts the amounts not recorded in Accumulated other comprehensive income due to intra-period settlement but recognized in Revenue and Cost of revenue in our Condensed Consolidated Statements of Income and Comprehensive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44"/>
        <w:gridCol w:w="2493"/>
        <w:gridCol w:w="36"/>
        <w:gridCol w:w="36"/>
        <w:gridCol w:w="36"/>
        <w:gridCol w:w="36"/>
        <w:gridCol w:w="40"/>
        <w:gridCol w:w="1240"/>
        <w:gridCol w:w="36"/>
        <w:gridCol w:w="36"/>
        <w:gridCol w:w="36"/>
        <w:gridCol w:w="36"/>
        <w:gridCol w:w="100"/>
        <w:gridCol w:w="833"/>
        <w:gridCol w:w="36"/>
        <w:gridCol w:w="36"/>
        <w:gridCol w:w="36"/>
        <w:gridCol w:w="36"/>
        <w:gridCol w:w="100"/>
        <w:gridCol w:w="833"/>
        <w:gridCol w:w="36"/>
        <w:gridCol w:w="36"/>
        <w:gridCol w:w="36"/>
        <w:gridCol w:w="36"/>
        <w:gridCol w:w="100"/>
        <w:gridCol w:w="833"/>
        <w:gridCol w:w="36"/>
        <w:gridCol w:w="36"/>
        <w:gridCol w:w="36"/>
        <w:gridCol w:w="36"/>
        <w:gridCol w:w="100"/>
        <w:gridCol w:w="834"/>
        <w:gridCol w:w="36"/>
      </w:tblGrid>
      <w:tr w:rsidR="00000000">
        <w:trPr>
          <w:divId w:val="1150563276"/>
        </w:trPr>
        <w:tc>
          <w:tcPr>
            <w:tcW w:w="50" w:type="pct"/>
            <w:vAlign w:val="center"/>
            <w:hideMark/>
          </w:tcPr>
          <w:p w:rsidR="00000000" w:rsidRDefault="00967E53">
            <w:pPr>
              <w:ind w:firstLine="360"/>
              <w:jc w:val="both"/>
              <w:rPr>
                <w:rFonts w:eastAsia="Times New Roman"/>
              </w:rPr>
            </w:pPr>
          </w:p>
        </w:tc>
        <w:tc>
          <w:tcPr>
            <w:tcW w:w="152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7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30"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150563276"/>
          <w:trHeight w:val="480"/>
        </w:trPr>
        <w:tc>
          <w:tcPr>
            <w:tcW w:w="0" w:type="auto"/>
            <w:gridSpan w:val="3"/>
            <w:vMerge w:val="restart"/>
            <w:tcMar>
              <w:top w:w="30" w:type="dxa"/>
              <w:left w:w="20" w:type="dxa"/>
              <w:bottom w:w="30" w:type="dxa"/>
              <w:right w:w="20" w:type="dxa"/>
            </w:tcMar>
            <w:vAlign w:val="bottom"/>
            <w:hideMark/>
          </w:tcPr>
          <w:p w:rsidR="00000000" w:rsidRDefault="00967E53">
            <w:pPr>
              <w:spacing w:after="100"/>
              <w:ind w:firstLine="360"/>
              <w:jc w:val="center"/>
              <w:divId w:val="1716195988"/>
              <w:rPr>
                <w:rFonts w:eastAsia="Times New Roman"/>
              </w:rPr>
            </w:pPr>
            <w:r>
              <w:rPr>
                <w:rFonts w:eastAsia="Times New Roman"/>
                <w:b/>
                <w:bCs/>
                <w:color w:val="000000"/>
                <w:sz w:val="16"/>
                <w:szCs w:val="16"/>
              </w:rPr>
              <w:t>Gain (loss) not recorded in accumulated other comprehensive income due to intra-period settlement</w:t>
            </w:r>
          </w:p>
        </w:tc>
        <w:tc>
          <w:tcPr>
            <w:tcW w:w="0" w:type="auto"/>
            <w:gridSpan w:val="3"/>
            <w:tcMar>
              <w:top w:w="0" w:type="dxa"/>
              <w:left w:w="20" w:type="dxa"/>
              <w:bottom w:w="0" w:type="dxa"/>
              <w:right w:w="20" w:type="dxa"/>
            </w:tcMar>
            <w:vAlign w:val="center"/>
            <w:hideMark/>
          </w:tcPr>
          <w:p w:rsidR="00000000" w:rsidRDefault="00967E53">
            <w:pPr>
              <w:spacing w:after="100"/>
              <w:ind w:firstLine="36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Six Months Ended June 30,</w:t>
            </w:r>
          </w:p>
        </w:tc>
      </w:tr>
      <w:tr w:rsidR="00000000">
        <w:trPr>
          <w:divId w:val="1150563276"/>
          <w:trHeight w:val="240"/>
        </w:trPr>
        <w:tc>
          <w:tcPr>
            <w:tcW w:w="0" w:type="auto"/>
            <w:gridSpan w:val="3"/>
            <w:vMerge/>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67E53">
            <w:pPr>
              <w:spacing w:after="100"/>
              <w:rPr>
                <w:rFonts w:eastAsia="Times New Roman"/>
              </w:rPr>
            </w:pPr>
            <w:r>
              <w:rPr>
                <w:rFonts w:eastAsia="Times New Roman"/>
                <w:b/>
                <w:bCs/>
                <w:color w:val="000000"/>
                <w:sz w:val="16"/>
                <w:szCs w:val="16"/>
              </w:rPr>
              <w:t>Location</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16"/>
                <w:szCs w:val="16"/>
              </w:rPr>
              <w:t>2020</w:t>
            </w:r>
          </w:p>
        </w:tc>
      </w:tr>
      <w:tr w:rsidR="00000000">
        <w:trPr>
          <w:divId w:val="115056327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16"/>
                <w:szCs w:val="16"/>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16"/>
                <w:szCs w:val="16"/>
              </w:rPr>
              <w:t>Revenue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(113.8)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140.9 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(190.6)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303.3 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67E53">
            <w:pPr>
              <w:spacing w:after="100"/>
              <w:jc w:val="right"/>
              <w:rPr>
                <w:rFonts w:eastAsia="Times New Roman"/>
              </w:rPr>
            </w:pPr>
          </w:p>
        </w:tc>
      </w:tr>
      <w:tr w:rsidR="00000000">
        <w:trPr>
          <w:divId w:val="1150563276"/>
        </w:trPr>
        <w:tc>
          <w:tcPr>
            <w:tcW w:w="0" w:type="auto"/>
            <w:gridSpan w:val="3"/>
            <w:shd w:val="clear" w:color="auto" w:fill="FFFF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16"/>
                <w:szCs w:val="16"/>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8.0 </w:t>
            </w:r>
          </w:p>
        </w:tc>
        <w:tc>
          <w:tcPr>
            <w:tcW w:w="0" w:type="auto"/>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(83.4)</w:t>
            </w:r>
          </w:p>
        </w:tc>
        <w:tc>
          <w:tcPr>
            <w:tcW w:w="0" w:type="auto"/>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15.2 </w:t>
            </w:r>
          </w:p>
        </w:tc>
        <w:tc>
          <w:tcPr>
            <w:tcW w:w="0" w:type="auto"/>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67E5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67E53">
            <w:pPr>
              <w:spacing w:after="100"/>
              <w:jc w:val="right"/>
              <w:rPr>
                <w:rFonts w:eastAsia="Times New Roman"/>
              </w:rPr>
            </w:pPr>
            <w:r>
              <w:rPr>
                <w:rFonts w:eastAsia="Times New Roman"/>
                <w:color w:val="000000"/>
                <w:sz w:val="16"/>
                <w:szCs w:val="16"/>
              </w:rPr>
              <w:t>(173.5)</w:t>
            </w:r>
          </w:p>
        </w:tc>
        <w:tc>
          <w:tcPr>
            <w:tcW w:w="0" w:type="auto"/>
            <w:shd w:val="clear" w:color="auto" w:fill="FFFFFF"/>
            <w:tcMar>
              <w:top w:w="30" w:type="dxa"/>
              <w:left w:w="0" w:type="dxa"/>
              <w:bottom w:w="30" w:type="dxa"/>
              <w:right w:w="20" w:type="dxa"/>
            </w:tcMar>
            <w:vAlign w:val="center"/>
            <w:hideMark/>
          </w:tcPr>
          <w:p w:rsidR="00000000" w:rsidRDefault="00967E53">
            <w:pPr>
              <w:spacing w:after="100"/>
              <w:jc w:val="right"/>
              <w:rPr>
                <w:rFonts w:eastAsia="Times New Roman"/>
              </w:rPr>
            </w:pPr>
          </w:p>
        </w:tc>
      </w:tr>
    </w:tbl>
    <w:p w:rsidR="00000000" w:rsidRDefault="00967E53">
      <w:pPr>
        <w:ind w:firstLine="360"/>
        <w:jc w:val="both"/>
        <w:divId w:val="798500733"/>
        <w:rPr>
          <w:rFonts w:eastAsia="Times New Roman"/>
        </w:rPr>
      </w:pPr>
      <w:r>
        <w:rPr>
          <w:rFonts w:eastAsia="Times New Roman"/>
          <w:color w:val="000000"/>
          <w:sz w:val="20"/>
          <w:szCs w:val="20"/>
        </w:rPr>
        <w:t>The following table presents the amount and financial statement location in our Condensed Consolidated Statements of Income and Comprehensive Income of realized and unrealized gai</w:t>
      </w:r>
      <w:r>
        <w:rPr>
          <w:rFonts w:eastAsia="Times New Roman"/>
          <w:color w:val="000000"/>
          <w:sz w:val="20"/>
          <w:szCs w:val="20"/>
        </w:rPr>
        <w:t>ns (losses) recognized on derivative instruments not designated as hedging instruments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482"/>
        <w:gridCol w:w="36"/>
        <w:gridCol w:w="36"/>
        <w:gridCol w:w="36"/>
        <w:gridCol w:w="36"/>
        <w:gridCol w:w="43"/>
        <w:gridCol w:w="1228"/>
        <w:gridCol w:w="37"/>
        <w:gridCol w:w="36"/>
        <w:gridCol w:w="36"/>
        <w:gridCol w:w="36"/>
        <w:gridCol w:w="100"/>
        <w:gridCol w:w="828"/>
        <w:gridCol w:w="36"/>
        <w:gridCol w:w="36"/>
        <w:gridCol w:w="36"/>
        <w:gridCol w:w="36"/>
        <w:gridCol w:w="100"/>
        <w:gridCol w:w="829"/>
        <w:gridCol w:w="36"/>
        <w:gridCol w:w="36"/>
        <w:gridCol w:w="36"/>
        <w:gridCol w:w="36"/>
        <w:gridCol w:w="100"/>
        <w:gridCol w:w="829"/>
        <w:gridCol w:w="36"/>
        <w:gridCol w:w="36"/>
        <w:gridCol w:w="36"/>
        <w:gridCol w:w="36"/>
        <w:gridCol w:w="100"/>
        <w:gridCol w:w="831"/>
        <w:gridCol w:w="36"/>
        <w:gridCol w:w="36"/>
      </w:tblGrid>
      <w:tr w:rsidR="00000000">
        <w:trPr>
          <w:divId w:val="298535731"/>
          <w:jc w:val="center"/>
        </w:trPr>
        <w:tc>
          <w:tcPr>
            <w:tcW w:w="50" w:type="pct"/>
            <w:vAlign w:val="center"/>
            <w:hideMark/>
          </w:tcPr>
          <w:p w:rsidR="00000000" w:rsidRDefault="00967E53">
            <w:pPr>
              <w:ind w:firstLine="360"/>
              <w:jc w:val="both"/>
              <w:rPr>
                <w:rFonts w:eastAsia="Times New Roman"/>
              </w:rPr>
            </w:pPr>
          </w:p>
        </w:tc>
        <w:tc>
          <w:tcPr>
            <w:tcW w:w="152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7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30"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298535731"/>
          <w:jc w:val="center"/>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9"/>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967E53">
            <w:pPr>
              <w:spacing w:after="100"/>
              <w:jc w:val="center"/>
              <w:rPr>
                <w:rFonts w:eastAsia="Times New Roman"/>
              </w:rPr>
            </w:pPr>
          </w:p>
        </w:tc>
      </w:tr>
      <w:tr w:rsidR="00000000">
        <w:trPr>
          <w:divId w:val="298535731"/>
          <w:jc w:val="center"/>
        </w:trPr>
        <w:tc>
          <w:tcPr>
            <w:tcW w:w="0" w:type="auto"/>
            <w:gridSpan w:val="3"/>
            <w:tcMar>
              <w:top w:w="30" w:type="dxa"/>
              <w:left w:w="20" w:type="dxa"/>
              <w:bottom w:w="30" w:type="dxa"/>
              <w:right w:w="20" w:type="dxa"/>
            </w:tcMar>
            <w:hideMark/>
          </w:tcPr>
          <w:p w:rsidR="00000000" w:rsidRDefault="00967E53">
            <w:pPr>
              <w:spacing w:after="100"/>
              <w:rPr>
                <w:rFonts w:eastAsia="Times New Roman"/>
              </w:rPr>
            </w:pPr>
            <w:r>
              <w:rPr>
                <w:rFonts w:eastAsia="Times New Roman"/>
                <w:b/>
                <w:bCs/>
                <w:color w:val="000000"/>
                <w:sz w:val="16"/>
                <w:szCs w:val="16"/>
              </w:rPr>
              <w:t>Derivative Instruments - Non-designated</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Mar>
              <w:top w:w="30" w:type="dxa"/>
              <w:left w:w="20" w:type="dxa"/>
              <w:bottom w:w="30" w:type="dxa"/>
              <w:right w:w="20" w:type="dxa"/>
            </w:tcMar>
            <w:hideMark/>
          </w:tcPr>
          <w:p w:rsidR="00000000" w:rsidRDefault="00967E53">
            <w:pPr>
              <w:spacing w:after="100"/>
              <w:rPr>
                <w:rFonts w:eastAsia="Times New Roman"/>
              </w:rPr>
            </w:pPr>
            <w:r>
              <w:rPr>
                <w:rFonts w:eastAsia="Times New Roman"/>
                <w:b/>
                <w:bCs/>
                <w:color w:val="000000"/>
                <w:sz w:val="16"/>
                <w:szCs w:val="16"/>
              </w:rPr>
              <w:t>Location</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967E53">
            <w:pPr>
              <w:spacing w:after="100"/>
              <w:jc w:val="center"/>
              <w:rPr>
                <w:rFonts w:eastAsia="Times New Roman"/>
              </w:rPr>
            </w:pPr>
          </w:p>
        </w:tc>
      </w:tr>
      <w:tr w:rsidR="00000000">
        <w:trPr>
          <w:divId w:val="298535731"/>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298535731"/>
          <w:jc w:val="center"/>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Revenue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12.9 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34.1 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(290.9)</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113.3 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r>
      <w:tr w:rsidR="00000000">
        <w:trPr>
          <w:divId w:val="298535731"/>
          <w:jc w:val="center"/>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Cost of revenue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(6.2)</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(25.8)</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306.8 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(10.3)</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r>
      <w:tr w:rsidR="00000000">
        <w:trPr>
          <w:divId w:val="298535731"/>
          <w:jc w:val="center"/>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6.7 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8.4 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15.9 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102.9 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r>
      <w:tr w:rsidR="00000000">
        <w:trPr>
          <w:divId w:val="298535731"/>
          <w:jc w:val="center"/>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r>
      <w:tr w:rsidR="00000000">
        <w:trPr>
          <w:divId w:val="298535731"/>
          <w:jc w:val="center"/>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Revenue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(0.2)</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(0.5)</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0.1 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r>
      <w:tr w:rsidR="00000000">
        <w:trPr>
          <w:divId w:val="298535731"/>
          <w:jc w:val="center"/>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Other (expense), net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(7.8)</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1.8 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10.7 </w:t>
            </w:r>
          </w:p>
        </w:tc>
        <w:tc>
          <w:tcPr>
            <w:tcW w:w="0" w:type="auto"/>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r>
      <w:tr w:rsidR="00000000">
        <w:trPr>
          <w:divId w:val="298535731"/>
          <w:jc w:val="center"/>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(1.7)</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(8.3)</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2.0 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10.7 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r>
      <w:tr w:rsidR="00000000">
        <w:trPr>
          <w:divId w:val="298535731"/>
          <w:jc w:val="center"/>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16"/>
                <w:szCs w:val="16"/>
              </w:rPr>
              <w:t>Total gain (loss)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16"/>
                <w:szCs w:val="16"/>
              </w:rPr>
              <w:t>113.6 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vAlign w:val="center"/>
            <w:hideMark/>
          </w:tcPr>
          <w:p w:rsidR="00000000" w:rsidRDefault="00967E53">
            <w:pPr>
              <w:spacing w:after="100"/>
              <w:jc w:val="right"/>
              <w:rPr>
                <w:rFonts w:eastAsia="Times New Roman"/>
                <w:sz w:val="20"/>
                <w:szCs w:val="20"/>
              </w:rPr>
            </w:pPr>
          </w:p>
        </w:tc>
      </w:tr>
    </w:tbl>
    <w:p w:rsidR="00000000" w:rsidRDefault="00967E53">
      <w:pPr>
        <w:ind w:firstLine="360"/>
        <w:divId w:val="278682028"/>
        <w:rPr>
          <w:rFonts w:eastAsia="Times New Roman"/>
        </w:rPr>
      </w:pPr>
      <w:r>
        <w:rPr>
          <w:rFonts w:eastAsia="Times New Roman"/>
          <w:b/>
          <w:bCs/>
          <w:color w:val="000000"/>
          <w:sz w:val="20"/>
          <w:szCs w:val="20"/>
        </w:rPr>
        <w:t>Credit-Risk-Related Contingent Feature</w:t>
      </w:r>
      <w:r>
        <w:rPr>
          <w:rFonts w:eastAsia="Times New Roman"/>
          <w:b/>
          <w:bCs/>
          <w:color w:val="000000"/>
          <w:sz w:val="20"/>
          <w:szCs w:val="20"/>
        </w:rPr>
        <w:t>s</w:t>
      </w:r>
    </w:p>
    <w:p w:rsidR="00000000" w:rsidRDefault="00967E53">
      <w:pPr>
        <w:ind w:firstLine="360"/>
        <w:jc w:val="both"/>
        <w:divId w:val="1182550248"/>
        <w:rPr>
          <w:rFonts w:eastAsia="Times New Roman"/>
        </w:rPr>
      </w:pPr>
      <w:r>
        <w:rPr>
          <w:rFonts w:eastAsia="Times New Roman"/>
          <w:color w:val="000000"/>
          <w:sz w:val="20"/>
          <w:szCs w:val="20"/>
        </w:rPr>
        <w:t>We enter into derivative contracts which may require us to post collateral periodically. Certain of these derivative contracts contain credit-risk-related contingent clauses which are triggered by credit events. These credit events may include the requirem</w:t>
      </w:r>
      <w:r>
        <w:rPr>
          <w:rFonts w:eastAsia="Times New Roman"/>
          <w:color w:val="000000"/>
          <w:sz w:val="20"/>
          <w:szCs w:val="20"/>
        </w:rPr>
        <w:t>ent to post additional collateral or the immediate settlement of the derivative instruments upon the occurrence of a credit downgrade or if certain defined financial ratios fall below an established threshold. The following table presents the potential col</w:t>
      </w:r>
      <w:r>
        <w:rPr>
          <w:rFonts w:eastAsia="Times New Roman"/>
          <w:color w:val="000000"/>
          <w:sz w:val="20"/>
          <w:szCs w:val="20"/>
        </w:rPr>
        <w:t>lateral requirements for derivative liabilities with credit-risk-contingent features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061"/>
        <w:gridCol w:w="37"/>
        <w:gridCol w:w="36"/>
        <w:gridCol w:w="36"/>
        <w:gridCol w:w="36"/>
        <w:gridCol w:w="36"/>
        <w:gridCol w:w="120"/>
        <w:gridCol w:w="1302"/>
        <w:gridCol w:w="36"/>
        <w:gridCol w:w="36"/>
        <w:gridCol w:w="36"/>
        <w:gridCol w:w="36"/>
        <w:gridCol w:w="121"/>
        <w:gridCol w:w="1303"/>
        <w:gridCol w:w="36"/>
      </w:tblGrid>
      <w:tr w:rsidR="00000000">
        <w:trPr>
          <w:divId w:val="1282031697"/>
        </w:trPr>
        <w:tc>
          <w:tcPr>
            <w:tcW w:w="50" w:type="pct"/>
            <w:vAlign w:val="center"/>
            <w:hideMark/>
          </w:tcPr>
          <w:p w:rsidR="00000000" w:rsidRDefault="00967E53">
            <w:pPr>
              <w:ind w:firstLine="360"/>
              <w:jc w:val="both"/>
              <w:rPr>
                <w:rFonts w:eastAsia="Times New Roman"/>
              </w:rPr>
            </w:pPr>
          </w:p>
        </w:tc>
        <w:tc>
          <w:tcPr>
            <w:tcW w:w="308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822"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822"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282031697"/>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June 30, 2021</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December 31, 2020</w:t>
            </w:r>
          </w:p>
        </w:tc>
      </w:tr>
      <w:tr w:rsidR="00000000">
        <w:trPr>
          <w:divId w:val="1282031697"/>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Net derivative liability positions with credit contingent features</w:t>
            </w:r>
          </w:p>
        </w:tc>
        <w:tc>
          <w:tcPr>
            <w:tcW w:w="0" w:type="auto"/>
            <w:vAlign w:val="center"/>
            <w:hideMark/>
          </w:tcPr>
          <w:p w:rsidR="00000000" w:rsidRDefault="00967E5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20"/>
                <w:szCs w:val="20"/>
              </w:rPr>
              <w:t>4.0 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20"/>
                <w:szCs w:val="20"/>
              </w:rPr>
              <w:t>20.0 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282031697"/>
        </w:trPr>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Collateral posted and held by our counterparties</w:t>
            </w:r>
          </w:p>
        </w:tc>
        <w:tc>
          <w:tcPr>
            <w:tcW w:w="0" w:type="auto"/>
            <w:vAlign w:val="center"/>
            <w:hideMark/>
          </w:tcPr>
          <w:p w:rsidR="00000000" w:rsidRDefault="00967E5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rsidR="00000000" w:rsidRDefault="00967E53">
            <w:pPr>
              <w:spacing w:after="100"/>
              <w:jc w:val="right"/>
              <w:rPr>
                <w:rFonts w:eastAsia="Times New Roman"/>
              </w:rPr>
            </w:pPr>
          </w:p>
        </w:tc>
      </w:tr>
      <w:tr w:rsidR="00000000">
        <w:trPr>
          <w:divId w:val="1282031697"/>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Maximum additional potential collateral requirements</w:t>
            </w:r>
          </w:p>
        </w:tc>
        <w:tc>
          <w:tcPr>
            <w:tcW w:w="0" w:type="auto"/>
            <w:vAlign w:val="center"/>
            <w:hideMark/>
          </w:tcPr>
          <w:p w:rsidR="00000000" w:rsidRDefault="00967E5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20"/>
                <w:szCs w:val="20"/>
              </w:rPr>
              <w:t>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967E53">
            <w:pPr>
              <w:spacing w:after="100"/>
              <w:jc w:val="right"/>
              <w:rPr>
                <w:rFonts w:eastAsia="Times New Roman"/>
              </w:rPr>
            </w:pPr>
            <w:r>
              <w:rPr>
                <w:rFonts w:eastAsia="Times New Roman"/>
                <w:color w:val="000000"/>
                <w:sz w:val="20"/>
                <w:szCs w:val="20"/>
              </w:rPr>
              <w:t>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967E53">
            <w:pPr>
              <w:spacing w:after="100"/>
              <w:jc w:val="right"/>
              <w:rPr>
                <w:rFonts w:eastAsia="Times New Roman"/>
              </w:rPr>
            </w:pPr>
          </w:p>
        </w:tc>
      </w:tr>
    </w:tbl>
    <w:p w:rsidR="00000000" w:rsidRDefault="00967E53">
      <w:pPr>
        <w:ind w:firstLine="360"/>
        <w:jc w:val="both"/>
        <w:divId w:val="2064257477"/>
        <w:rPr>
          <w:rFonts w:eastAsia="Times New Roman"/>
        </w:rPr>
      </w:pPr>
      <w:r>
        <w:rPr>
          <w:rFonts w:eastAsia="Times New Roman"/>
          <w:color w:val="000000"/>
          <w:sz w:val="20"/>
          <w:szCs w:val="20"/>
        </w:rPr>
        <w:t>As o</w:t>
      </w:r>
      <w:r>
        <w:rPr>
          <w:rFonts w:eastAsia="Times New Roman"/>
          <w:color w:val="000000"/>
          <w:sz w:val="20"/>
          <w:szCs w:val="20"/>
        </w:rPr>
        <w:t>f June 30, 2021 and December 31, 2020, there was no collateral held by our counterparties on these derivative contracts with credit-risk-contingent features.</w:t>
      </w:r>
    </w:p>
    <w:p w:rsidR="00000000" w:rsidRDefault="00967E53">
      <w:pPr>
        <w:divId w:val="1379740483"/>
        <w:rPr>
          <w:rFonts w:eastAsia="Times New Roman"/>
        </w:rPr>
      </w:pPr>
      <w:r>
        <w:rPr>
          <w:rFonts w:eastAsia="Times New Roman"/>
          <w:b/>
          <w:bCs/>
          <w:color w:val="000000"/>
          <w:sz w:val="20"/>
          <w:szCs w:val="20"/>
        </w:rPr>
        <w:t>5. Debt, Interest Income, Expense, and Other Finance Costs</w:t>
      </w:r>
    </w:p>
    <w:p w:rsidR="00000000" w:rsidRDefault="00967E53">
      <w:pPr>
        <w:ind w:firstLine="360"/>
        <w:jc w:val="both"/>
        <w:divId w:val="972635025"/>
        <w:rPr>
          <w:rFonts w:eastAsia="Times New Roman"/>
        </w:rPr>
      </w:pPr>
      <w:r>
        <w:rPr>
          <w:rFonts w:eastAsia="Times New Roman"/>
          <w:color w:val="000000"/>
          <w:sz w:val="20"/>
          <w:szCs w:val="20"/>
        </w:rPr>
        <w:t>Our outstanding debt consists of the fo</w:t>
      </w:r>
      <w:r>
        <w:rPr>
          <w:rFonts w:eastAsia="Times New Roman"/>
          <w:color w:val="000000"/>
          <w:sz w:val="20"/>
          <w:szCs w:val="20"/>
        </w:rPr>
        <w:t>llowing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084"/>
        <w:gridCol w:w="38"/>
        <w:gridCol w:w="36"/>
        <w:gridCol w:w="36"/>
        <w:gridCol w:w="36"/>
        <w:gridCol w:w="120"/>
        <w:gridCol w:w="1308"/>
        <w:gridCol w:w="36"/>
        <w:gridCol w:w="36"/>
        <w:gridCol w:w="36"/>
        <w:gridCol w:w="36"/>
        <w:gridCol w:w="121"/>
        <w:gridCol w:w="1308"/>
        <w:gridCol w:w="36"/>
      </w:tblGrid>
      <w:tr w:rsidR="00000000">
        <w:trPr>
          <w:divId w:val="71780829"/>
          <w:jc w:val="center"/>
        </w:trPr>
        <w:tc>
          <w:tcPr>
            <w:tcW w:w="50" w:type="pct"/>
            <w:vAlign w:val="center"/>
            <w:hideMark/>
          </w:tcPr>
          <w:p w:rsidR="00000000" w:rsidRDefault="00967E53">
            <w:pPr>
              <w:ind w:firstLine="360"/>
              <w:jc w:val="both"/>
              <w:rPr>
                <w:rFonts w:eastAsia="Times New Roman"/>
              </w:rPr>
            </w:pPr>
          </w:p>
        </w:tc>
        <w:tc>
          <w:tcPr>
            <w:tcW w:w="308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822"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822"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71780829"/>
          <w:jc w:val="center"/>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June 30, 2021</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December 31, 2020</w:t>
            </w:r>
          </w:p>
        </w:tc>
      </w:tr>
      <w:tr w:rsidR="00000000">
        <w:trPr>
          <w:divId w:val="71780829"/>
          <w:jc w:val="center"/>
        </w:trPr>
        <w:tc>
          <w:tcPr>
            <w:tcW w:w="0" w:type="auto"/>
            <w:gridSpan w:val="3"/>
            <w:vAlign w:val="center"/>
            <w:hideMark/>
          </w:tcPr>
          <w:p w:rsidR="00000000" w:rsidRDefault="00967E53">
            <w:pPr>
              <w:spacing w:after="100"/>
              <w:jc w:val="center"/>
              <w:rPr>
                <w:rFonts w:eastAsia="Times New Roman"/>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71780829"/>
          <w:jc w:val="center"/>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Term loans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503.2 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1780829"/>
          <w:jc w:val="center"/>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1780829"/>
          <w:jc w:val="center"/>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1780829"/>
          <w:jc w:val="center"/>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521.7 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524.7 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1780829"/>
          <w:jc w:val="center"/>
        </w:trPr>
        <w:tc>
          <w:tcPr>
            <w:tcW w:w="0" w:type="auto"/>
            <w:gridSpan w:val="3"/>
            <w:shd w:val="clear" w:color="auto" w:fill="CCEEFF"/>
            <w:tcMar>
              <w:top w:w="30" w:type="dxa"/>
              <w:left w:w="14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Less: Current maturities of long-term debt and finance leases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30.1 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1780829"/>
          <w:jc w:val="center"/>
        </w:trPr>
        <w:tc>
          <w:tcPr>
            <w:tcW w:w="0" w:type="auto"/>
            <w:gridSpan w:val="3"/>
            <w:shd w:val="clear" w:color="auto" w:fill="FFFFFF"/>
            <w:tcMar>
              <w:top w:w="30" w:type="dxa"/>
              <w:left w:w="14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491.6 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501.8 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360"/>
        <w:jc w:val="center"/>
        <w:divId w:val="862281523"/>
        <w:rPr>
          <w:rFonts w:eastAsia="Times New Roman"/>
        </w:rPr>
      </w:pPr>
      <w:r>
        <w:rPr>
          <w:rFonts w:eastAsia="Times New Roman"/>
          <w:color w:val="000000"/>
          <w:sz w:val="20"/>
          <w:szCs w:val="20"/>
        </w:rPr>
        <w:t>11</w:t>
      </w:r>
    </w:p>
    <w:p w:rsidR="00000000" w:rsidRDefault="00967E53">
      <w:pPr>
        <w:rPr>
          <w:rFonts w:eastAsia="Times New Roman"/>
        </w:rPr>
      </w:pPr>
      <w:r>
        <w:rPr>
          <w:rFonts w:eastAsia="Times New Roman"/>
        </w:rPr>
        <w:pict>
          <v:rect id="_x0000_i1039" style="width:0;height:1.5pt" o:hralign="center" o:hrstd="t" o:hr="t" fillcolor="#a0a0a0" stroked="f"/>
        </w:pict>
      </w:r>
    </w:p>
    <w:p w:rsidR="00000000" w:rsidRDefault="00967E53">
      <w:pPr>
        <w:ind w:firstLine="360"/>
        <w:jc w:val="both"/>
        <w:divId w:val="1754207202"/>
        <w:rPr>
          <w:rFonts w:eastAsia="Times New Roman"/>
        </w:rPr>
      </w:pPr>
    </w:p>
    <w:p w:rsidR="00000000" w:rsidRDefault="00967E53">
      <w:pPr>
        <w:ind w:firstLine="360"/>
        <w:jc w:val="both"/>
        <w:divId w:val="1145243999"/>
        <w:rPr>
          <w:rFonts w:eastAsia="Times New Roman"/>
        </w:rPr>
      </w:pPr>
    </w:p>
    <w:p w:rsidR="00000000" w:rsidRDefault="00967E53">
      <w:pPr>
        <w:ind w:firstLine="360"/>
        <w:jc w:val="both"/>
        <w:divId w:val="315109388"/>
        <w:rPr>
          <w:rFonts w:eastAsia="Times New Roman"/>
        </w:rPr>
      </w:pPr>
      <w:r>
        <w:rPr>
          <w:rFonts w:eastAsia="Times New Roman"/>
          <w:color w:val="000000"/>
          <w:sz w:val="20"/>
          <w:szCs w:val="20"/>
        </w:rPr>
        <w:t xml:space="preserve">The following table provides additional information about our Interest income (expense), and other financing costs, net, for the periods presented for the three and six months ended June 30, 2021 and </w:t>
      </w:r>
      <w:r>
        <w:rPr>
          <w:rFonts w:eastAsia="Times New Roman"/>
          <w:color w:val="000000"/>
          <w:sz w:val="20"/>
          <w:szCs w:val="20"/>
          <w:shd w:val="clear" w:color="auto" w:fill="FFFFFF"/>
        </w:rPr>
        <w:t>2020</w:t>
      </w:r>
      <w:r>
        <w:rPr>
          <w:rFonts w:eastAsia="Times New Roman"/>
          <w:color w:val="000000"/>
          <w:sz w:val="20"/>
          <w:szCs w:val="20"/>
        </w:rPr>
        <w:t xml:space="preserve">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302"/>
        <w:gridCol w:w="37"/>
        <w:gridCol w:w="36"/>
        <w:gridCol w:w="36"/>
        <w:gridCol w:w="36"/>
        <w:gridCol w:w="120"/>
        <w:gridCol w:w="967"/>
        <w:gridCol w:w="36"/>
        <w:gridCol w:w="36"/>
        <w:gridCol w:w="36"/>
        <w:gridCol w:w="36"/>
        <w:gridCol w:w="120"/>
        <w:gridCol w:w="967"/>
        <w:gridCol w:w="36"/>
        <w:gridCol w:w="36"/>
        <w:gridCol w:w="36"/>
        <w:gridCol w:w="36"/>
        <w:gridCol w:w="120"/>
        <w:gridCol w:w="969"/>
        <w:gridCol w:w="36"/>
        <w:gridCol w:w="36"/>
        <w:gridCol w:w="36"/>
        <w:gridCol w:w="36"/>
        <w:gridCol w:w="120"/>
        <w:gridCol w:w="970"/>
        <w:gridCol w:w="36"/>
      </w:tblGrid>
      <w:tr w:rsidR="00000000">
        <w:trPr>
          <w:divId w:val="1816020914"/>
        </w:trPr>
        <w:tc>
          <w:tcPr>
            <w:tcW w:w="50" w:type="pct"/>
            <w:vAlign w:val="center"/>
            <w:hideMark/>
          </w:tcPr>
          <w:p w:rsidR="00000000" w:rsidRDefault="00967E53">
            <w:pPr>
              <w:ind w:firstLine="360"/>
              <w:jc w:val="both"/>
              <w:rPr>
                <w:rFonts w:eastAsia="Times New Roman"/>
              </w:rPr>
            </w:pPr>
          </w:p>
        </w:tc>
        <w:tc>
          <w:tcPr>
            <w:tcW w:w="202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24"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24"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24"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2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816020914"/>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9"/>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b/>
                <w:bCs/>
                <w:color w:val="000000"/>
                <w:sz w:val="20"/>
                <w:szCs w:val="20"/>
              </w:rPr>
              <w:t>Six Months Ended June 30,</w:t>
            </w:r>
          </w:p>
        </w:tc>
      </w:tr>
      <w:tr w:rsidR="00000000">
        <w:trPr>
          <w:divId w:val="1816020914"/>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r>
      <w:tr w:rsidR="00000000">
        <w:trPr>
          <w:divId w:val="1816020914"/>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16020914"/>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Interest expense and other financing costs</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(11.4)</w:t>
            </w:r>
          </w:p>
        </w:tc>
        <w:tc>
          <w:tcPr>
            <w:tcW w:w="0" w:type="auto"/>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(10.7)</w:t>
            </w:r>
          </w:p>
        </w:tc>
        <w:tc>
          <w:tcPr>
            <w:tcW w:w="0" w:type="auto"/>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(22.5)</w:t>
            </w:r>
          </w:p>
        </w:tc>
        <w:tc>
          <w:tcPr>
            <w:tcW w:w="0" w:type="auto"/>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(26.9)</w:t>
            </w:r>
          </w:p>
        </w:tc>
        <w:tc>
          <w:tcPr>
            <w:tcW w:w="0" w:type="auto"/>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16020914"/>
        </w:trPr>
        <w:tc>
          <w:tcPr>
            <w:tcW w:w="0" w:type="auto"/>
            <w:gridSpan w:val="3"/>
            <w:shd w:val="clear" w:color="auto" w:fill="CCEE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20"/>
                <w:szCs w:val="20"/>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720"/>
        <w:jc w:val="both"/>
        <w:divId w:val="516621082"/>
        <w:rPr>
          <w:rFonts w:eastAsia="Times New Roman"/>
        </w:rPr>
      </w:pPr>
      <w:r>
        <w:rPr>
          <w:rFonts w:eastAsia="Times New Roman"/>
          <w:color w:val="000000"/>
          <w:sz w:val="2"/>
          <w:szCs w:val="2"/>
        </w:rPr>
        <w:t>t</w:t>
      </w:r>
    </w:p>
    <w:p w:rsidR="00000000" w:rsidRDefault="00967E53">
      <w:pPr>
        <w:jc w:val="both"/>
        <w:divId w:val="285939724"/>
        <w:rPr>
          <w:rFonts w:eastAsia="Times New Roman"/>
        </w:rPr>
      </w:pPr>
      <w:r>
        <w:rPr>
          <w:rFonts w:eastAsia="Times New Roman"/>
          <w:b/>
          <w:bCs/>
          <w:color w:val="000000"/>
          <w:sz w:val="20"/>
          <w:szCs w:val="20"/>
        </w:rPr>
        <w:t>6. Fair Value Measurements</w:t>
      </w:r>
    </w:p>
    <w:p w:rsidR="00000000" w:rsidRDefault="00967E53">
      <w:pPr>
        <w:ind w:firstLine="360"/>
        <w:jc w:val="both"/>
        <w:divId w:val="409543176"/>
        <w:rPr>
          <w:rFonts w:eastAsia="Times New Roman"/>
        </w:rPr>
      </w:pPr>
      <w:r>
        <w:rPr>
          <w:rFonts w:eastAsia="Times New Roman"/>
          <w:color w:val="000000"/>
          <w:sz w:val="20"/>
          <w:szCs w:val="20"/>
        </w:rPr>
        <w:t>The carrying amounts of cash and cash equivalents, net accounts receivable, accounts payable and accrued expenses and other current liabilities approximate fair value based on their short-term maturities. The carrying values of our debt and notes receivabl</w:t>
      </w:r>
      <w:r>
        <w:rPr>
          <w:rFonts w:eastAsia="Times New Roman"/>
          <w:color w:val="000000"/>
          <w:sz w:val="20"/>
          <w:szCs w:val="20"/>
        </w:rPr>
        <w:t>e approximate fair value as these instruments bear interest either at variable rates or fixed rates, which are not significantly different from market rates. The fair value measurements for our debt and notes receivable are considered to be Level 2 measure</w:t>
      </w:r>
      <w:r>
        <w:rPr>
          <w:rFonts w:eastAsia="Times New Roman"/>
          <w:color w:val="000000"/>
          <w:sz w:val="20"/>
          <w:szCs w:val="20"/>
        </w:rPr>
        <w:t>ments based on the fair value hierarchy.</w:t>
      </w:r>
    </w:p>
    <w:p w:rsidR="00000000" w:rsidRDefault="00967E53">
      <w:pPr>
        <w:ind w:firstLine="360"/>
        <w:divId w:val="589310558"/>
        <w:rPr>
          <w:rFonts w:eastAsia="Times New Roman"/>
        </w:rPr>
      </w:pPr>
      <w:r>
        <w:rPr>
          <w:rFonts w:eastAsia="Times New Roman"/>
          <w:b/>
          <w:bCs/>
          <w:color w:val="000000"/>
          <w:sz w:val="20"/>
          <w:szCs w:val="20"/>
        </w:rPr>
        <w:t>Recurring Fair Value Measurements</w:t>
      </w:r>
    </w:p>
    <w:p w:rsidR="00000000" w:rsidRDefault="00967E53">
      <w:pPr>
        <w:ind w:firstLine="360"/>
        <w:jc w:val="both"/>
        <w:divId w:val="1915384539"/>
        <w:rPr>
          <w:rFonts w:eastAsia="Times New Roman"/>
        </w:rPr>
      </w:pPr>
      <w:r>
        <w:rPr>
          <w:rFonts w:eastAsia="Times New Roman"/>
          <w:color w:val="000000"/>
          <w:sz w:val="20"/>
          <w:szCs w:val="20"/>
        </w:rPr>
        <w:t xml:space="preserve">The following tables present information about our gross assets and liabilities that are measured at fair value on a recurring basis as of June 30, 2021 and </w:t>
      </w:r>
      <w:r>
        <w:rPr>
          <w:rFonts w:eastAsia="Times New Roman"/>
          <w:color w:val="000000"/>
          <w:sz w:val="20"/>
          <w:szCs w:val="20"/>
          <w:shd w:val="clear" w:color="auto" w:fill="FFFFFF"/>
        </w:rPr>
        <w:t>December 31, 2020</w:t>
      </w:r>
      <w:r>
        <w:rPr>
          <w:rFonts w:eastAsia="Times New Roman"/>
          <w:color w:val="000000"/>
          <w:sz w:val="20"/>
          <w:szCs w:val="20"/>
        </w:rPr>
        <w:t xml:space="preserve"> (in mi</w:t>
      </w:r>
      <w:r>
        <w:rPr>
          <w:rFonts w:eastAsia="Times New Roman"/>
          <w:color w:val="000000"/>
          <w:sz w:val="20"/>
          <w:szCs w:val="20"/>
        </w:rPr>
        <w:t>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302"/>
        <w:gridCol w:w="36"/>
        <w:gridCol w:w="36"/>
        <w:gridCol w:w="36"/>
        <w:gridCol w:w="36"/>
        <w:gridCol w:w="120"/>
        <w:gridCol w:w="967"/>
        <w:gridCol w:w="36"/>
        <w:gridCol w:w="36"/>
        <w:gridCol w:w="36"/>
        <w:gridCol w:w="36"/>
        <w:gridCol w:w="120"/>
        <w:gridCol w:w="967"/>
        <w:gridCol w:w="36"/>
        <w:gridCol w:w="36"/>
        <w:gridCol w:w="36"/>
        <w:gridCol w:w="36"/>
        <w:gridCol w:w="121"/>
        <w:gridCol w:w="969"/>
        <w:gridCol w:w="36"/>
        <w:gridCol w:w="36"/>
        <w:gridCol w:w="36"/>
        <w:gridCol w:w="36"/>
        <w:gridCol w:w="120"/>
        <w:gridCol w:w="970"/>
        <w:gridCol w:w="36"/>
      </w:tblGrid>
      <w:tr w:rsidR="00000000">
        <w:trPr>
          <w:divId w:val="341246373"/>
        </w:trPr>
        <w:tc>
          <w:tcPr>
            <w:tcW w:w="50" w:type="pct"/>
            <w:vAlign w:val="center"/>
            <w:hideMark/>
          </w:tcPr>
          <w:p w:rsidR="00000000" w:rsidRDefault="00967E53">
            <w:pPr>
              <w:ind w:firstLine="360"/>
              <w:jc w:val="both"/>
              <w:rPr>
                <w:rFonts w:eastAsia="Times New Roman"/>
              </w:rPr>
            </w:pPr>
          </w:p>
        </w:tc>
        <w:tc>
          <w:tcPr>
            <w:tcW w:w="202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24"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24"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24"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2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341246373"/>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24"/>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Fair Value Measurements as of June 30, 2021</w:t>
            </w:r>
          </w:p>
        </w:tc>
      </w:tr>
      <w:tr w:rsidR="00000000">
        <w:trPr>
          <w:divId w:val="341246373"/>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Level 1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Level 2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Level 3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Total</w:t>
            </w:r>
          </w:p>
        </w:tc>
      </w:tr>
      <w:tr w:rsidR="00000000">
        <w:trPr>
          <w:divId w:val="34124637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341246373"/>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378.0 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176.6 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559.0 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124637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1246373"/>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Interest rate contract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124637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Cash surrender value of life insurance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1246373"/>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assets at fair value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578.5 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1246373"/>
          <w:trHeight w:val="280"/>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341246373"/>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r>
      <w:tr w:rsidR="00000000">
        <w:trPr>
          <w:divId w:val="34124637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Commodities contracts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340.5 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223.8 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570.0 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1246373"/>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Interest rate contract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124637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1246373"/>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liabilities at fair value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340.5 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229.8 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576.0 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1246373"/>
          <w:trHeight w:val="280"/>
        </w:trPr>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341246373"/>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24"/>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Fair Value Measurements as of December 31, 2020</w:t>
            </w:r>
          </w:p>
        </w:tc>
      </w:tr>
      <w:tr w:rsidR="00000000">
        <w:trPr>
          <w:divId w:val="341246373"/>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Level 1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Level 2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Level 3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Total</w:t>
            </w:r>
          </w:p>
        </w:tc>
      </w:tr>
      <w:tr w:rsidR="00000000">
        <w:trPr>
          <w:divId w:val="34124637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341246373"/>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233.5 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127.9 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371.0 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124637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1246373"/>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Cash surrender value of life insurance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124637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assets at fair value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389.9 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1246373"/>
          <w:trHeight w:val="280"/>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34124637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341246373"/>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223.0 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96.8 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326.0 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124637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1246373"/>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124637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liabilities at fair value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223.0 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120.2 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349.5 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360"/>
        <w:jc w:val="center"/>
        <w:divId w:val="800146348"/>
        <w:rPr>
          <w:rFonts w:eastAsia="Times New Roman"/>
        </w:rPr>
      </w:pPr>
      <w:r>
        <w:rPr>
          <w:rFonts w:eastAsia="Times New Roman"/>
          <w:color w:val="000000"/>
          <w:sz w:val="20"/>
          <w:szCs w:val="20"/>
        </w:rPr>
        <w:t>12</w:t>
      </w:r>
    </w:p>
    <w:p w:rsidR="00000000" w:rsidRDefault="00967E53">
      <w:pPr>
        <w:rPr>
          <w:rFonts w:eastAsia="Times New Roman"/>
        </w:rPr>
      </w:pPr>
      <w:r>
        <w:rPr>
          <w:rFonts w:eastAsia="Times New Roman"/>
        </w:rPr>
        <w:pict>
          <v:rect id="_x0000_i1040" style="width:0;height:1.5pt" o:hralign="center" o:hrstd="t" o:hr="t" fillcolor="#a0a0a0" stroked="f"/>
        </w:pict>
      </w:r>
    </w:p>
    <w:p w:rsidR="00000000" w:rsidRDefault="00967E53">
      <w:pPr>
        <w:ind w:firstLine="360"/>
        <w:jc w:val="both"/>
        <w:divId w:val="484660541"/>
        <w:rPr>
          <w:rFonts w:eastAsia="Times New Roman"/>
        </w:rPr>
      </w:pPr>
    </w:p>
    <w:p w:rsidR="00000000" w:rsidRDefault="00967E53">
      <w:pPr>
        <w:ind w:firstLine="360"/>
        <w:jc w:val="both"/>
        <w:divId w:val="499933217"/>
        <w:rPr>
          <w:rFonts w:eastAsia="Times New Roman"/>
        </w:rPr>
      </w:pPr>
    </w:p>
    <w:p w:rsidR="00000000" w:rsidRDefault="00967E53">
      <w:pPr>
        <w:ind w:firstLine="360"/>
        <w:jc w:val="both"/>
        <w:divId w:val="15889091"/>
        <w:rPr>
          <w:rFonts w:eastAsia="Times New Roman"/>
        </w:rPr>
      </w:pPr>
      <w:r>
        <w:rPr>
          <w:rFonts w:eastAsia="Times New Roman"/>
          <w:color w:val="000000"/>
          <w:sz w:val="20"/>
          <w:szCs w:val="20"/>
        </w:rPr>
        <w:t>For ou</w:t>
      </w:r>
      <w:r>
        <w:rPr>
          <w:rFonts w:eastAsia="Times New Roman"/>
          <w:color w:val="000000"/>
          <w:sz w:val="20"/>
          <w:szCs w:val="20"/>
        </w:rPr>
        <w:t>r derivative contracts, we may enter into master netting, collateral and offset agreements with counterparties. These agreements provide us the ability to offset a counterparty’s rights and obligations, request additional collateral when necessary, or liqu</w:t>
      </w:r>
      <w:r>
        <w:rPr>
          <w:rFonts w:eastAsia="Times New Roman"/>
          <w:color w:val="000000"/>
          <w:sz w:val="20"/>
          <w:szCs w:val="20"/>
        </w:rPr>
        <w:t>idate the collateral in the event of counterparty default. We net the fair value of cash collateral paid or received against fair value amounts recognized for net derivative positions executed with the same counterparty under the same master netting or off</w:t>
      </w:r>
      <w:r>
        <w:rPr>
          <w:rFonts w:eastAsia="Times New Roman"/>
          <w:color w:val="000000"/>
          <w:sz w:val="20"/>
          <w:szCs w:val="20"/>
        </w:rPr>
        <w:t>set agreement.</w:t>
      </w:r>
    </w:p>
    <w:p w:rsidR="00000000" w:rsidRDefault="00967E53">
      <w:pPr>
        <w:ind w:firstLine="360"/>
        <w:jc w:val="both"/>
        <w:divId w:val="1516580235"/>
        <w:rPr>
          <w:rFonts w:eastAsia="Times New Roman"/>
        </w:rPr>
      </w:pPr>
      <w:r>
        <w:rPr>
          <w:rFonts w:eastAsia="Times New Roman"/>
          <w:color w:val="000000"/>
          <w:sz w:val="20"/>
          <w:szCs w:val="20"/>
        </w:rPr>
        <w:t>We have elected to offset the recognized fair value amounts for multiple derivative instruments executed with the same counterparty in our financial statements when a legal right of offset exists. The following tables summarize those derivative balances su</w:t>
      </w:r>
      <w:r>
        <w:rPr>
          <w:rFonts w:eastAsia="Times New Roman"/>
          <w:color w:val="000000"/>
          <w:sz w:val="20"/>
          <w:szCs w:val="20"/>
        </w:rPr>
        <w:t xml:space="preserve">bject to the right of offset as presented on our Consolidated Balance Sheets </w:t>
      </w:r>
      <w:r>
        <w:rPr>
          <w:rFonts w:eastAsia="Times New Roman"/>
          <w:color w:val="000000"/>
          <w:sz w:val="20"/>
          <w:szCs w:val="20"/>
          <w:shd w:val="clear" w:color="auto" w:fill="FFFFFF"/>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896"/>
        <w:gridCol w:w="36"/>
        <w:gridCol w:w="36"/>
        <w:gridCol w:w="36"/>
        <w:gridCol w:w="36"/>
        <w:gridCol w:w="121"/>
        <w:gridCol w:w="913"/>
        <w:gridCol w:w="36"/>
        <w:gridCol w:w="36"/>
        <w:gridCol w:w="36"/>
        <w:gridCol w:w="36"/>
        <w:gridCol w:w="121"/>
        <w:gridCol w:w="734"/>
        <w:gridCol w:w="36"/>
        <w:gridCol w:w="36"/>
        <w:gridCol w:w="36"/>
        <w:gridCol w:w="36"/>
        <w:gridCol w:w="121"/>
        <w:gridCol w:w="793"/>
        <w:gridCol w:w="36"/>
        <w:gridCol w:w="36"/>
        <w:gridCol w:w="36"/>
        <w:gridCol w:w="36"/>
        <w:gridCol w:w="121"/>
        <w:gridCol w:w="795"/>
        <w:gridCol w:w="36"/>
        <w:gridCol w:w="36"/>
        <w:gridCol w:w="36"/>
        <w:gridCol w:w="36"/>
        <w:gridCol w:w="121"/>
        <w:gridCol w:w="771"/>
        <w:gridCol w:w="36"/>
        <w:gridCol w:w="36"/>
        <w:gridCol w:w="36"/>
        <w:gridCol w:w="36"/>
        <w:gridCol w:w="121"/>
        <w:gridCol w:w="734"/>
        <w:gridCol w:w="36"/>
      </w:tblGrid>
      <w:tr w:rsidR="00000000">
        <w:trPr>
          <w:divId w:val="1883515717"/>
          <w:jc w:val="center"/>
        </w:trPr>
        <w:tc>
          <w:tcPr>
            <w:tcW w:w="50" w:type="pct"/>
            <w:vAlign w:val="center"/>
            <w:hideMark/>
          </w:tcPr>
          <w:p w:rsidR="00000000" w:rsidRDefault="00967E53">
            <w:pPr>
              <w:ind w:firstLine="360"/>
              <w:jc w:val="both"/>
              <w:rPr>
                <w:rFonts w:eastAsia="Times New Roman"/>
              </w:rPr>
            </w:pPr>
          </w:p>
        </w:tc>
        <w:tc>
          <w:tcPr>
            <w:tcW w:w="123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47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47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47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434"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47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883515717"/>
          <w:jc w:val="center"/>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3"/>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b/>
                <w:bCs/>
                <w:color w:val="000000"/>
                <w:sz w:val="20"/>
                <w:szCs w:val="20"/>
              </w:rPr>
              <w:t>Fair Value as of June 30, 2021</w:t>
            </w:r>
          </w:p>
        </w:tc>
      </w:tr>
      <w:tr w:rsidR="00000000">
        <w:trPr>
          <w:divId w:val="1883515717"/>
          <w:jc w:val="center"/>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Gross Amounts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Gross Amounts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Net Amounts Presented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Cash Collateral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Gross Amounts without Right of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Net Amounts</w:t>
            </w:r>
          </w:p>
        </w:tc>
      </w:tr>
      <w:tr w:rsidR="00000000">
        <w:trPr>
          <w:divId w:val="1883515717"/>
          <w:jc w:val="center"/>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883515717"/>
          <w:jc w:val="center"/>
        </w:trPr>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559.0 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439.0 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119.9 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114.5 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83515717"/>
          <w:jc w:val="center"/>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83515717"/>
          <w:jc w:val="center"/>
        </w:trPr>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83515717"/>
          <w:jc w:val="center"/>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Total assets at fair value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565.4 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442.3 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83515717"/>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883515717"/>
          <w:jc w:val="center"/>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883515717"/>
          <w:jc w:val="center"/>
        </w:trPr>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570.0 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439.0 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131.0 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127.9 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83515717"/>
          <w:jc w:val="center"/>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83515717"/>
          <w:jc w:val="center"/>
        </w:trPr>
        <w:tc>
          <w:tcPr>
            <w:tcW w:w="0" w:type="auto"/>
            <w:gridSpan w:val="3"/>
            <w:shd w:val="clear" w:color="auto" w:fill="FFFF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83515717"/>
          <w:jc w:val="center"/>
        </w:trPr>
        <w:tc>
          <w:tcPr>
            <w:tcW w:w="0" w:type="auto"/>
            <w:gridSpan w:val="3"/>
            <w:shd w:val="clear" w:color="auto" w:fill="CCEEFF"/>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Total liabilities at fair value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576.0 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442.3 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118"/>
        <w:gridCol w:w="144"/>
        <w:gridCol w:w="144"/>
        <w:gridCol w:w="144"/>
        <w:gridCol w:w="144"/>
        <w:gridCol w:w="144"/>
        <w:gridCol w:w="794"/>
        <w:gridCol w:w="144"/>
        <w:gridCol w:w="144"/>
        <w:gridCol w:w="144"/>
        <w:gridCol w:w="144"/>
        <w:gridCol w:w="144"/>
        <w:gridCol w:w="794"/>
        <w:gridCol w:w="144"/>
        <w:gridCol w:w="144"/>
        <w:gridCol w:w="144"/>
        <w:gridCol w:w="144"/>
        <w:gridCol w:w="144"/>
        <w:gridCol w:w="794"/>
        <w:gridCol w:w="144"/>
        <w:gridCol w:w="144"/>
        <w:gridCol w:w="144"/>
        <w:gridCol w:w="144"/>
        <w:gridCol w:w="144"/>
        <w:gridCol w:w="720"/>
        <w:gridCol w:w="144"/>
        <w:gridCol w:w="144"/>
        <w:gridCol w:w="144"/>
        <w:gridCol w:w="144"/>
        <w:gridCol w:w="144"/>
        <w:gridCol w:w="1207"/>
        <w:gridCol w:w="144"/>
        <w:gridCol w:w="144"/>
        <w:gridCol w:w="144"/>
        <w:gridCol w:w="144"/>
        <w:gridCol w:w="144"/>
        <w:gridCol w:w="794"/>
        <w:gridCol w:w="144"/>
      </w:tblGrid>
      <w:tr w:rsidR="00000000">
        <w:trPr>
          <w:jc w:val="center"/>
        </w:trPr>
        <w:tc>
          <w:tcPr>
            <w:tcW w:w="50" w:type="pct"/>
            <w:vAlign w:val="center"/>
            <w:hideMark/>
          </w:tcPr>
          <w:p w:rsidR="00000000" w:rsidRDefault="00967E53">
            <w:pPr>
              <w:ind w:firstLine="360"/>
              <w:jc w:val="center"/>
              <w:rPr>
                <w:rFonts w:eastAsia="Times New Roman"/>
              </w:rPr>
            </w:pPr>
          </w:p>
        </w:tc>
        <w:tc>
          <w:tcPr>
            <w:tcW w:w="127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3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47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3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47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3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47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3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434"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3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3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47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3"/>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b/>
                <w:bCs/>
                <w:color w:val="000000"/>
                <w:sz w:val="20"/>
                <w:szCs w:val="20"/>
              </w:rPr>
              <w:t>Fair Value as of December 31, 2020</w:t>
            </w:r>
          </w:p>
        </w:tc>
      </w:tr>
      <w:tr w:rsidR="00000000">
        <w:trPr>
          <w:jc w:val="center"/>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Gross Amounts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Gross Amounts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Net Amounts Presented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Cash Collateral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Gross Amounts without Right of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Net Amounts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371.0 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287.1 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83.9 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82.7 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jc w:val="center"/>
        </w:trPr>
        <w:tc>
          <w:tcPr>
            <w:tcW w:w="0" w:type="auto"/>
            <w:gridSpan w:val="3"/>
            <w:vAlign w:val="center"/>
            <w:hideMark/>
          </w:tcPr>
          <w:p w:rsidR="00000000" w:rsidRDefault="00967E53">
            <w:pPr>
              <w:spacing w:after="100"/>
              <w:jc w:val="right"/>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assets at fair value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294.6 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Commodities contracts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326.0 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287.1 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38.9 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36.6 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Interest rate contract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liabilities at fair value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349.5 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294.6 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360"/>
        <w:jc w:val="both"/>
        <w:divId w:val="686953097"/>
        <w:rPr>
          <w:rFonts w:eastAsia="Times New Roman"/>
        </w:rPr>
      </w:pPr>
      <w:r>
        <w:rPr>
          <w:rFonts w:eastAsia="Times New Roman"/>
          <w:color w:val="000000"/>
          <w:sz w:val="20"/>
          <w:szCs w:val="20"/>
        </w:rPr>
        <w:t>At June 30, 2021 and December 31, 2020, we did not present any amounts gross on our Condensed Consolidated Balance Sheets where we had the right of offset.</w:t>
      </w:r>
    </w:p>
    <w:p w:rsidR="00000000" w:rsidRDefault="00967E53">
      <w:pPr>
        <w:ind w:firstLine="90"/>
        <w:divId w:val="697580664"/>
        <w:rPr>
          <w:rFonts w:eastAsia="Times New Roman"/>
        </w:rPr>
      </w:pPr>
      <w:r>
        <w:rPr>
          <w:rFonts w:eastAsia="Times New Roman"/>
          <w:b/>
          <w:bCs/>
          <w:color w:val="000000"/>
          <w:sz w:val="20"/>
          <w:szCs w:val="20"/>
        </w:rPr>
        <w:t>Concentration of Credit Ris</w:t>
      </w:r>
      <w:r>
        <w:rPr>
          <w:rFonts w:eastAsia="Times New Roman"/>
          <w:b/>
          <w:bCs/>
          <w:color w:val="000000"/>
          <w:sz w:val="20"/>
          <w:szCs w:val="20"/>
        </w:rPr>
        <w:t>k</w:t>
      </w:r>
    </w:p>
    <w:p w:rsidR="00000000" w:rsidRDefault="00967E53">
      <w:pPr>
        <w:ind w:firstLine="360"/>
        <w:jc w:val="both"/>
        <w:divId w:val="1674068841"/>
        <w:rPr>
          <w:rFonts w:eastAsia="Times New Roman"/>
        </w:rPr>
      </w:pPr>
      <w:r>
        <w:rPr>
          <w:rFonts w:eastAsia="Times New Roman"/>
          <w:color w:val="000000"/>
          <w:sz w:val="20"/>
          <w:szCs w:val="20"/>
        </w:rPr>
        <w:t>Our individual over-the-counter ("OTC") counterparty exposure is managed within predetermined credit limits and includes the use of cash-call margins when appropriate, thereby reducing the risk of significant nonperformance. At June 30, 2021, two of our co</w:t>
      </w:r>
      <w:r>
        <w:rPr>
          <w:rFonts w:eastAsia="Times New Roman"/>
          <w:color w:val="000000"/>
          <w:sz w:val="20"/>
          <w:szCs w:val="20"/>
        </w:rPr>
        <w:t>unterparties with a total exposure of $25.9 million represented over 10% of our credit exposure to OTC derivative counterparties.</w:t>
      </w:r>
    </w:p>
    <w:p w:rsidR="00000000" w:rsidRDefault="00967E53">
      <w:pPr>
        <w:ind w:firstLine="360"/>
        <w:jc w:val="center"/>
        <w:divId w:val="805317629"/>
        <w:rPr>
          <w:rFonts w:eastAsia="Times New Roman"/>
        </w:rPr>
      </w:pPr>
      <w:r>
        <w:rPr>
          <w:rFonts w:eastAsia="Times New Roman"/>
          <w:color w:val="000000"/>
          <w:sz w:val="20"/>
          <w:szCs w:val="20"/>
        </w:rPr>
        <w:t>13</w:t>
      </w:r>
    </w:p>
    <w:p w:rsidR="00000000" w:rsidRDefault="00967E53">
      <w:pPr>
        <w:rPr>
          <w:rFonts w:eastAsia="Times New Roman"/>
        </w:rPr>
      </w:pPr>
      <w:r>
        <w:rPr>
          <w:rFonts w:eastAsia="Times New Roman"/>
        </w:rPr>
        <w:pict>
          <v:rect id="_x0000_i1041" style="width:0;height:1.5pt" o:hralign="center" o:hrstd="t" o:hr="t" fillcolor="#a0a0a0" stroked="f"/>
        </w:pict>
      </w:r>
    </w:p>
    <w:p w:rsidR="00000000" w:rsidRDefault="00967E53">
      <w:pPr>
        <w:ind w:firstLine="360"/>
        <w:jc w:val="both"/>
        <w:divId w:val="1501432048"/>
        <w:rPr>
          <w:rFonts w:eastAsia="Times New Roman"/>
        </w:rPr>
      </w:pPr>
    </w:p>
    <w:p w:rsidR="00000000" w:rsidRDefault="00967E53">
      <w:pPr>
        <w:ind w:firstLine="360"/>
        <w:jc w:val="both"/>
        <w:divId w:val="1852866102"/>
        <w:rPr>
          <w:rFonts w:eastAsia="Times New Roman"/>
        </w:rPr>
      </w:pPr>
    </w:p>
    <w:p w:rsidR="00000000" w:rsidRDefault="00967E53">
      <w:pPr>
        <w:ind w:firstLine="360"/>
        <w:divId w:val="1938365152"/>
        <w:rPr>
          <w:rFonts w:eastAsia="Times New Roman"/>
        </w:rPr>
      </w:pPr>
      <w:r>
        <w:rPr>
          <w:rFonts w:eastAsia="Times New Roman"/>
          <w:b/>
          <w:bCs/>
          <w:color w:val="000000"/>
          <w:sz w:val="20"/>
          <w:szCs w:val="20"/>
        </w:rPr>
        <w:t>Nonrecurring Fair Value Measurements</w:t>
      </w:r>
    </w:p>
    <w:p w:rsidR="00000000" w:rsidRDefault="00967E53">
      <w:pPr>
        <w:ind w:firstLine="360"/>
        <w:jc w:val="both"/>
        <w:rPr>
          <w:rFonts w:eastAsia="Times New Roman"/>
        </w:rPr>
      </w:pPr>
      <w:r>
        <w:rPr>
          <w:rFonts w:eastAsia="Times New Roman"/>
          <w:color w:val="000000"/>
          <w:sz w:val="20"/>
          <w:szCs w:val="20"/>
        </w:rPr>
        <w:t>During the second quarter of 2021, we identif</w:t>
      </w:r>
      <w:r>
        <w:rPr>
          <w:rFonts w:eastAsia="Times New Roman"/>
          <w:color w:val="000000"/>
          <w:sz w:val="20"/>
          <w:szCs w:val="20"/>
        </w:rPr>
        <w:t>ied an impairment indicator with respect to certain long-lived assets within the land segment. We determined that the carrying amount of the asset group was not recoverable and recognized an asset impairment of $4.7 million during the three months ended Ju</w:t>
      </w:r>
      <w:r>
        <w:rPr>
          <w:rFonts w:eastAsia="Times New Roman"/>
          <w:color w:val="000000"/>
          <w:sz w:val="20"/>
          <w:szCs w:val="20"/>
        </w:rPr>
        <w:t>ne 30, 2021. The fair value of the asset group was measured using an income approach based on estimated future cash flows as of the measurement date. Due to the significance of unobservable inputs, the measurement is categorized as Level 3. The fair values</w:t>
      </w:r>
      <w:r>
        <w:rPr>
          <w:rFonts w:eastAsia="Times New Roman"/>
          <w:color w:val="000000"/>
          <w:sz w:val="20"/>
          <w:szCs w:val="20"/>
        </w:rPr>
        <w:t xml:space="preserve"> of nonrecurring assets or liabilities measured using Level 3 inputs were not material as of June 30, 2021 and </w:t>
      </w:r>
      <w:r>
        <w:rPr>
          <w:rFonts w:eastAsia="Times New Roman"/>
          <w:color w:val="000000"/>
          <w:sz w:val="20"/>
          <w:szCs w:val="20"/>
          <w:shd w:val="clear" w:color="auto" w:fill="FFFFFF"/>
        </w:rPr>
        <w:t>December 31, 2020, respectively.</w:t>
      </w:r>
    </w:p>
    <w:p w:rsidR="00000000" w:rsidRDefault="00967E53">
      <w:pPr>
        <w:divId w:val="369261456"/>
        <w:rPr>
          <w:rFonts w:eastAsia="Times New Roman"/>
        </w:rPr>
      </w:pPr>
      <w:r>
        <w:rPr>
          <w:rFonts w:eastAsia="Times New Roman"/>
          <w:b/>
          <w:bCs/>
          <w:color w:val="000000"/>
          <w:sz w:val="20"/>
          <w:szCs w:val="20"/>
        </w:rPr>
        <w:t>7. Revenue from Contracts with Customers</w:t>
      </w:r>
    </w:p>
    <w:p w:rsidR="00000000" w:rsidRDefault="00967E53">
      <w:pPr>
        <w:ind w:firstLine="360"/>
        <w:jc w:val="both"/>
        <w:divId w:val="2003047672"/>
        <w:rPr>
          <w:rFonts w:eastAsia="Times New Roman"/>
        </w:rPr>
      </w:pPr>
      <w:r>
        <w:rPr>
          <w:rFonts w:eastAsia="Times New Roman"/>
          <w:color w:val="000000"/>
          <w:sz w:val="20"/>
          <w:szCs w:val="20"/>
        </w:rPr>
        <w:t>The following table presents our revenues from contracts with customers</w:t>
      </w:r>
      <w:r>
        <w:rPr>
          <w:rFonts w:eastAsia="Times New Roman"/>
          <w:color w:val="000000"/>
          <w:sz w:val="20"/>
          <w:szCs w:val="20"/>
        </w:rPr>
        <w:t xml:space="preserve"> disaggregated by major geographic areas in which we conduct business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961"/>
        <w:gridCol w:w="37"/>
        <w:gridCol w:w="36"/>
        <w:gridCol w:w="36"/>
        <w:gridCol w:w="36"/>
        <w:gridCol w:w="120"/>
        <w:gridCol w:w="1053"/>
        <w:gridCol w:w="36"/>
        <w:gridCol w:w="36"/>
        <w:gridCol w:w="36"/>
        <w:gridCol w:w="36"/>
        <w:gridCol w:w="120"/>
        <w:gridCol w:w="1053"/>
        <w:gridCol w:w="36"/>
        <w:gridCol w:w="36"/>
        <w:gridCol w:w="36"/>
        <w:gridCol w:w="36"/>
        <w:gridCol w:w="120"/>
        <w:gridCol w:w="1053"/>
        <w:gridCol w:w="36"/>
        <w:gridCol w:w="36"/>
        <w:gridCol w:w="36"/>
        <w:gridCol w:w="36"/>
        <w:gridCol w:w="120"/>
        <w:gridCol w:w="1055"/>
        <w:gridCol w:w="36"/>
      </w:tblGrid>
      <w:tr w:rsidR="00000000">
        <w:trPr>
          <w:divId w:val="778135607"/>
        </w:trPr>
        <w:tc>
          <w:tcPr>
            <w:tcW w:w="50" w:type="pct"/>
            <w:vAlign w:val="center"/>
            <w:hideMark/>
          </w:tcPr>
          <w:p w:rsidR="00000000" w:rsidRDefault="00967E53">
            <w:pPr>
              <w:ind w:firstLine="360"/>
              <w:jc w:val="both"/>
              <w:rPr>
                <w:rFonts w:eastAsia="Times New Roman"/>
              </w:rPr>
            </w:pPr>
          </w:p>
        </w:tc>
        <w:tc>
          <w:tcPr>
            <w:tcW w:w="181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778135607"/>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Six Months Ended June 30,</w:t>
            </w:r>
          </w:p>
        </w:tc>
      </w:tr>
      <w:tr w:rsidR="00000000">
        <w:trPr>
          <w:divId w:val="778135607"/>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r>
      <w:tr w:rsidR="00000000">
        <w:trPr>
          <w:divId w:val="778135607"/>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Aviation</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156.1 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277.4 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357.9 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Land</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Marine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727.5 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441.0 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1,446.3 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1,365.7 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Asia Pacific</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887.6 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545.8 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1,733.3 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1,729.1 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Height w:val="240"/>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78135607"/>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Aviation</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363.2 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157.8 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630.0 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796.6 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Land</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555.8 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313.9 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1,165.6 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932.1 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Marine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560.1 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285.0 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1,047.2 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896.2 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EMEA</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1,479.0 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756.7 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2,842.9 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2,625.0 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Height w:val="240"/>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78135607"/>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Aviation</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453.4 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77.2 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802.5 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656.7 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Land</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139.8 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76.4 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262.5 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206.8 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Marine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131.0 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83.1 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256.6 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316.4 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LATAM</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724.2 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236.7 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1,321.6 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1,179.9 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Height w:val="240"/>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78135607"/>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Aviation</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1,943.7 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500.6 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3,375.0 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2,607.1 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Land</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1,750.8 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804.9 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3,211.3 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2,134.2 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Marine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289.9 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134.2 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545.4 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476.4 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3,984.4 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1,439.7 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7,131.8 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5,217.7 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Height w:val="240"/>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78135607"/>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divId w:val="1924562481"/>
              <w:rPr>
                <w:rFonts w:eastAsia="Times New Roman"/>
              </w:rPr>
            </w:pPr>
            <w:r>
              <w:rPr>
                <w:rFonts w:eastAsia="Times New Roman"/>
                <w:color w:val="000000"/>
                <w:sz w:val="20"/>
                <w:szCs w:val="20"/>
              </w:rPr>
              <w:t>Other revenues (excluded from ASC 606)</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179.6 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421.9 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778135607"/>
          <w:trHeight w:val="240"/>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778135607"/>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7,085.5 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3,158.3 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13,043.4 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11,173.5 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hanging="360"/>
        <w:jc w:val="both"/>
        <w:divId w:val="839586635"/>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20"/>
          <w:szCs w:val="20"/>
        </w:rPr>
        <w:t>    Includes revenue from derivatives, leases, and other tran</w:t>
      </w:r>
      <w:r>
        <w:rPr>
          <w:rFonts w:eastAsia="Times New Roman"/>
          <w:color w:val="000000"/>
          <w:sz w:val="20"/>
          <w:szCs w:val="20"/>
        </w:rPr>
        <w:t>sactions that we account for under separate guidance.</w:t>
      </w:r>
    </w:p>
    <w:p w:rsidR="00000000" w:rsidRDefault="00967E53">
      <w:pPr>
        <w:ind w:firstLine="360"/>
        <w:jc w:val="both"/>
        <w:divId w:val="799760840"/>
        <w:rPr>
          <w:rFonts w:eastAsia="Times New Roman"/>
        </w:rPr>
      </w:pPr>
      <w:r>
        <w:rPr>
          <w:rFonts w:eastAsia="Times New Roman"/>
          <w:color w:val="000000"/>
          <w:sz w:val="20"/>
          <w:szCs w:val="20"/>
        </w:rPr>
        <w:t>The nature of the receivables related to revenue from contracts with customers and other revenues (excluded from ASC 606) are substantially similar, as they are both generated from transactions with the</w:t>
      </w:r>
      <w:r>
        <w:rPr>
          <w:rFonts w:eastAsia="Times New Roman"/>
          <w:color w:val="000000"/>
          <w:sz w:val="20"/>
          <w:szCs w:val="20"/>
        </w:rPr>
        <w:t xml:space="preserve"> same type of counterparties (e.g., separate fuel sales and storage lease with the same counterparty) and are entered into utilizing the same credit approval and monitoring procedures for all customers. As such, we believe the risk associated with the cash</w:t>
      </w:r>
      <w:r>
        <w:rPr>
          <w:rFonts w:eastAsia="Times New Roman"/>
          <w:color w:val="000000"/>
          <w:sz w:val="20"/>
          <w:szCs w:val="20"/>
        </w:rPr>
        <w:t xml:space="preserve"> flows from the different types of receivables is not meaningful to separately disaggregate the accounts receivable balance presented on our Consolidated Balance Sheets. Furthermore, as of June 30, 2021 and </w:t>
      </w:r>
      <w:r>
        <w:rPr>
          <w:rFonts w:eastAsia="Times New Roman"/>
          <w:color w:val="000000"/>
          <w:sz w:val="20"/>
          <w:szCs w:val="20"/>
          <w:shd w:val="clear" w:color="auto" w:fill="FFFFFF"/>
        </w:rPr>
        <w:t>December 31, 2020</w:t>
      </w:r>
      <w:r>
        <w:rPr>
          <w:rFonts w:eastAsia="Times New Roman"/>
          <w:color w:val="000000"/>
          <w:sz w:val="20"/>
          <w:szCs w:val="20"/>
        </w:rPr>
        <w:t>, the contract assets and contra</w:t>
      </w:r>
      <w:r>
        <w:rPr>
          <w:rFonts w:eastAsia="Times New Roman"/>
          <w:color w:val="000000"/>
          <w:sz w:val="20"/>
          <w:szCs w:val="20"/>
        </w:rPr>
        <w:t>ct liabilities recognized by the Company were not material.</w:t>
      </w:r>
    </w:p>
    <w:p w:rsidR="00000000" w:rsidRDefault="00967E53">
      <w:pPr>
        <w:ind w:firstLine="360"/>
        <w:jc w:val="center"/>
        <w:divId w:val="1796606787"/>
        <w:rPr>
          <w:rFonts w:eastAsia="Times New Roman"/>
        </w:rPr>
      </w:pPr>
      <w:r>
        <w:rPr>
          <w:rFonts w:eastAsia="Times New Roman"/>
          <w:color w:val="000000"/>
          <w:sz w:val="20"/>
          <w:szCs w:val="20"/>
        </w:rPr>
        <w:t>14</w:t>
      </w:r>
    </w:p>
    <w:p w:rsidR="00000000" w:rsidRDefault="00967E53">
      <w:pPr>
        <w:rPr>
          <w:rFonts w:eastAsia="Times New Roman"/>
        </w:rPr>
      </w:pPr>
      <w:r>
        <w:rPr>
          <w:rFonts w:eastAsia="Times New Roman"/>
        </w:rPr>
        <w:pict>
          <v:rect id="_x0000_i1042" style="width:0;height:1.5pt" o:hralign="center" o:hrstd="t" o:hr="t" fillcolor="#a0a0a0" stroked="f"/>
        </w:pict>
      </w:r>
    </w:p>
    <w:p w:rsidR="00000000" w:rsidRDefault="00967E53">
      <w:pPr>
        <w:ind w:firstLine="360"/>
        <w:jc w:val="both"/>
        <w:divId w:val="1174613803"/>
        <w:rPr>
          <w:rFonts w:eastAsia="Times New Roman"/>
        </w:rPr>
      </w:pPr>
    </w:p>
    <w:p w:rsidR="00000000" w:rsidRDefault="00967E53">
      <w:pPr>
        <w:ind w:firstLine="360"/>
        <w:jc w:val="both"/>
        <w:divId w:val="376709279"/>
        <w:rPr>
          <w:rFonts w:eastAsia="Times New Roman"/>
        </w:rPr>
      </w:pPr>
    </w:p>
    <w:p w:rsidR="00000000" w:rsidRDefault="00967E53">
      <w:pPr>
        <w:divId w:val="968896975"/>
        <w:rPr>
          <w:rFonts w:eastAsia="Times New Roman"/>
        </w:rPr>
      </w:pPr>
      <w:r>
        <w:rPr>
          <w:rFonts w:eastAsia="Times New Roman"/>
          <w:b/>
          <w:bCs/>
          <w:color w:val="000000"/>
          <w:sz w:val="20"/>
          <w:szCs w:val="20"/>
        </w:rPr>
        <w:t>8. Income Taxes</w:t>
      </w:r>
    </w:p>
    <w:p w:rsidR="00000000" w:rsidRDefault="00967E53">
      <w:pPr>
        <w:ind w:firstLine="360"/>
        <w:jc w:val="both"/>
        <w:divId w:val="1904287699"/>
        <w:rPr>
          <w:rFonts w:eastAsia="Times New Roman"/>
        </w:rPr>
      </w:pPr>
      <w:r>
        <w:rPr>
          <w:rFonts w:eastAsia="Times New Roman"/>
          <w:color w:val="000000"/>
          <w:sz w:val="20"/>
          <w:szCs w:val="20"/>
        </w:rPr>
        <w:t>Our income tax provision and the respective effective income tax rates are as follows (in millions, except for income tax rates):</w:t>
      </w:r>
    </w:p>
    <w:tbl>
      <w:tblPr>
        <w:tblW w:w="5000" w:type="pct"/>
        <w:tblCellMar>
          <w:top w:w="15" w:type="dxa"/>
          <w:left w:w="15" w:type="dxa"/>
          <w:bottom w:w="15" w:type="dxa"/>
          <w:right w:w="15" w:type="dxa"/>
        </w:tblCellMar>
        <w:tblLook w:val="04A0" w:firstRow="1" w:lastRow="0" w:firstColumn="1" w:lastColumn="0" w:noHBand="0" w:noVBand="1"/>
      </w:tblPr>
      <w:tblGrid>
        <w:gridCol w:w="37"/>
        <w:gridCol w:w="2840"/>
        <w:gridCol w:w="36"/>
        <w:gridCol w:w="36"/>
        <w:gridCol w:w="36"/>
        <w:gridCol w:w="36"/>
        <w:gridCol w:w="120"/>
        <w:gridCol w:w="931"/>
        <w:gridCol w:w="187"/>
        <w:gridCol w:w="36"/>
        <w:gridCol w:w="36"/>
        <w:gridCol w:w="36"/>
        <w:gridCol w:w="121"/>
        <w:gridCol w:w="933"/>
        <w:gridCol w:w="187"/>
        <w:gridCol w:w="36"/>
        <w:gridCol w:w="36"/>
        <w:gridCol w:w="36"/>
        <w:gridCol w:w="120"/>
        <w:gridCol w:w="933"/>
        <w:gridCol w:w="187"/>
        <w:gridCol w:w="36"/>
        <w:gridCol w:w="36"/>
        <w:gridCol w:w="36"/>
        <w:gridCol w:w="120"/>
        <w:gridCol w:w="935"/>
        <w:gridCol w:w="187"/>
      </w:tblGrid>
      <w:tr w:rsidR="00000000">
        <w:trPr>
          <w:divId w:val="2013214898"/>
        </w:trPr>
        <w:tc>
          <w:tcPr>
            <w:tcW w:w="50" w:type="pct"/>
            <w:vAlign w:val="center"/>
            <w:hideMark/>
          </w:tcPr>
          <w:p w:rsidR="00000000" w:rsidRDefault="00967E53">
            <w:pPr>
              <w:ind w:firstLine="360"/>
              <w:jc w:val="both"/>
              <w:rPr>
                <w:rFonts w:eastAsia="Times New Roman"/>
              </w:rPr>
            </w:pPr>
          </w:p>
        </w:tc>
        <w:tc>
          <w:tcPr>
            <w:tcW w:w="181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2013214898"/>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Six Months Ended June 30,</w:t>
            </w:r>
          </w:p>
        </w:tc>
      </w:tr>
      <w:tr w:rsidR="00000000">
        <w:trPr>
          <w:divId w:val="2013214898"/>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r>
      <w:tr w:rsidR="00000000">
        <w:trPr>
          <w:divId w:val="2013214898"/>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Income tax provision</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13214898"/>
          <w:trHeight w:val="100"/>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2013214898"/>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Effective income tax rate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(258.1)</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w:t>
            </w:r>
          </w:p>
        </w:tc>
      </w:tr>
    </w:tbl>
    <w:p w:rsidR="00000000" w:rsidRDefault="00967E53">
      <w:pPr>
        <w:ind w:firstLine="360"/>
        <w:jc w:val="both"/>
        <w:divId w:val="801846450"/>
        <w:rPr>
          <w:rFonts w:eastAsia="Times New Roman"/>
        </w:rPr>
      </w:pPr>
      <w:r>
        <w:rPr>
          <w:rFonts w:eastAsia="Times New Roman"/>
          <w:color w:val="000000"/>
          <w:sz w:val="20"/>
          <w:szCs w:val="20"/>
        </w:rPr>
        <w:t>Our provision for income taxes for the three months ended June 30, 2021 was $2.0 million, resulting in an effective income tax rate of 10.2%. The provision includes a net discrete income ta</w:t>
      </w:r>
      <w:r>
        <w:rPr>
          <w:rFonts w:eastAsia="Times New Roman"/>
          <w:color w:val="000000"/>
          <w:sz w:val="20"/>
          <w:szCs w:val="20"/>
        </w:rPr>
        <w:t>x benefit of $2.6 million, of which $4.5 million relates to the impact of a change in the United Kingdom's tax rate, reduced by a net discrete tax expense of $1.9 million related to other worldwide tax adjustments. For the three months ended June 30, 2020,</w:t>
      </w:r>
      <w:r>
        <w:rPr>
          <w:rFonts w:eastAsia="Times New Roman"/>
          <w:color w:val="000000"/>
          <w:sz w:val="20"/>
          <w:szCs w:val="20"/>
        </w:rPr>
        <w:t xml:space="preserve"> our provision for income taxes was $7.7 million resulting in an effective tax rate of (258.1%), which included a net discrete income tax expense of $3.4 million.</w:t>
      </w:r>
    </w:p>
    <w:p w:rsidR="00000000" w:rsidRDefault="00967E53">
      <w:pPr>
        <w:ind w:firstLine="360"/>
        <w:jc w:val="both"/>
        <w:divId w:val="865944351"/>
        <w:rPr>
          <w:rFonts w:eastAsia="Times New Roman"/>
        </w:rPr>
      </w:pPr>
      <w:r>
        <w:rPr>
          <w:rFonts w:eastAsia="Times New Roman"/>
          <w:color w:val="000000"/>
          <w:sz w:val="20"/>
          <w:szCs w:val="20"/>
        </w:rPr>
        <w:t>Our provision for income taxes for the six months ended June 30, 2021 was $10.8 million, resu</w:t>
      </w:r>
      <w:r>
        <w:rPr>
          <w:rFonts w:eastAsia="Times New Roman"/>
          <w:color w:val="000000"/>
          <w:sz w:val="20"/>
          <w:szCs w:val="20"/>
        </w:rPr>
        <w:t>lting in an effective income tax rate of 22.9%. The provision includes a net discrete income tax benefit of $3.8 million, which includes a $4.5 million tax benefit related to the impact of a change in the United Kingdom's tax rate and a $1.6 million tax be</w:t>
      </w:r>
      <w:r>
        <w:rPr>
          <w:rFonts w:eastAsia="Times New Roman"/>
          <w:color w:val="000000"/>
          <w:sz w:val="20"/>
          <w:szCs w:val="20"/>
        </w:rPr>
        <w:t xml:space="preserve">nefit related to an adjustment for the final purchase price allocation on the sale of the MultiService payment solutions business ("MSTS"), offset by a net discrete tax expense of $2.3 million related to other worldwide tax adjustments. For the six months </w:t>
      </w:r>
      <w:r>
        <w:rPr>
          <w:rFonts w:eastAsia="Times New Roman"/>
          <w:color w:val="000000"/>
          <w:sz w:val="20"/>
          <w:szCs w:val="20"/>
        </w:rPr>
        <w:t>ended June 30, 2020, our provision for income taxes was $23.7 million resulting in an effective tax rate of 43.3%, which included a net discrete income tax expense of $4.4 million.</w:t>
      </w:r>
    </w:p>
    <w:p w:rsidR="00000000" w:rsidRDefault="00967E53">
      <w:pPr>
        <w:ind w:firstLine="360"/>
        <w:jc w:val="both"/>
        <w:divId w:val="538473410"/>
        <w:rPr>
          <w:rFonts w:eastAsia="Times New Roman"/>
        </w:rPr>
      </w:pPr>
      <w:r>
        <w:rPr>
          <w:rFonts w:eastAsia="Times New Roman"/>
          <w:color w:val="000000"/>
          <w:sz w:val="20"/>
          <w:szCs w:val="20"/>
        </w:rPr>
        <w:t>Our income tax concession in Singapore, which reduces the income tax rate o</w:t>
      </w:r>
      <w:r>
        <w:rPr>
          <w:rFonts w:eastAsia="Times New Roman"/>
          <w:color w:val="000000"/>
          <w:sz w:val="20"/>
          <w:szCs w:val="20"/>
        </w:rPr>
        <w:t>n qualified sales and derivative gains and losses, decreased foreign income taxes by $0.2 million and $0.8 million for the three months ended June 30, 2021 and 2020, respectively, and $0.6 million and $2.7 million for the six months ended June 30, 2021 and</w:t>
      </w:r>
      <w:r>
        <w:rPr>
          <w:rFonts w:eastAsia="Times New Roman"/>
          <w:color w:val="000000"/>
          <w:sz w:val="20"/>
          <w:szCs w:val="20"/>
        </w:rPr>
        <w:t xml:space="preserve"> 2020, respectively. There was no impact of the income tax concession on basic and diluted earnings per common share for the three months ended June 30, 2021. The impact of the income tax concession on basic and diluted earnings per common share was $0.01 </w:t>
      </w:r>
      <w:r>
        <w:rPr>
          <w:rFonts w:eastAsia="Times New Roman"/>
          <w:color w:val="000000"/>
          <w:sz w:val="20"/>
          <w:szCs w:val="20"/>
        </w:rPr>
        <w:t>and $0.01, respectively, for the three months ended June 30, 2020, and $0.01 and $0.04 on basic earnings per common share and $0.01 and $0.04 on diluted earnings per common share for the six months ended June 30, 2021 and 2020, respectively.</w:t>
      </w:r>
    </w:p>
    <w:p w:rsidR="00000000" w:rsidRDefault="00967E53">
      <w:pPr>
        <w:ind w:firstLine="360"/>
        <w:jc w:val="both"/>
        <w:divId w:val="216937299"/>
        <w:rPr>
          <w:rFonts w:eastAsia="Times New Roman"/>
        </w:rPr>
      </w:pPr>
      <w:r>
        <w:rPr>
          <w:rFonts w:eastAsia="Times New Roman"/>
          <w:color w:val="000000"/>
          <w:sz w:val="20"/>
          <w:szCs w:val="20"/>
        </w:rPr>
        <w:t>Our income tax</w:t>
      </w:r>
      <w:r>
        <w:rPr>
          <w:rFonts w:eastAsia="Times New Roman"/>
          <w:color w:val="000000"/>
          <w:sz w:val="20"/>
          <w:szCs w:val="20"/>
        </w:rPr>
        <w:t xml:space="preserve"> provisions for the three and six months ended June 30, 2021 and 2020 were calculated based on the estimated annual effective income tax rates for the 2021 and 2020 fiscal years respectively. The actual effective income tax rate for the 2021 fiscal year ma</w:t>
      </w:r>
      <w:r>
        <w:rPr>
          <w:rFonts w:eastAsia="Times New Roman"/>
          <w:color w:val="000000"/>
          <w:sz w:val="20"/>
          <w:szCs w:val="20"/>
        </w:rPr>
        <w:t>y be materially different because of differences between estimated versus actual results and the geographic tax jurisdictions in which the results are earned.</w:t>
      </w:r>
    </w:p>
    <w:p w:rsidR="00000000" w:rsidRDefault="00967E53">
      <w:pPr>
        <w:ind w:firstLine="360"/>
        <w:jc w:val="both"/>
        <w:divId w:val="156768401"/>
        <w:rPr>
          <w:rFonts w:eastAsia="Times New Roman"/>
        </w:rPr>
      </w:pPr>
      <w:r>
        <w:rPr>
          <w:rFonts w:eastAsia="Times New Roman"/>
          <w:color w:val="000000"/>
          <w:sz w:val="20"/>
          <w:szCs w:val="20"/>
        </w:rPr>
        <w:t>We have various tax returns under examination both in the U.S. and foreign jurisdictions. The mos</w:t>
      </w:r>
      <w:r>
        <w:rPr>
          <w:rFonts w:eastAsia="Times New Roman"/>
          <w:color w:val="000000"/>
          <w:sz w:val="20"/>
          <w:szCs w:val="20"/>
        </w:rPr>
        <w:t>t significant of these are in Denmark for the 2013 - 2019 tax years, South Korea for the 2011 - 2014 tax years, and the U.S. for 2017 - 2018 tax years. One of our subsidiaries in Denmark has been under audit for its 2013 - 2015 tax years since 2018. In Jan</w:t>
      </w:r>
      <w:r>
        <w:rPr>
          <w:rFonts w:eastAsia="Times New Roman"/>
          <w:color w:val="000000"/>
          <w:sz w:val="20"/>
          <w:szCs w:val="20"/>
        </w:rPr>
        <w:t>uary 2021, we received final tax assessments for the 2013 and 2014 tax years of approximately $0.6 million (DKK 3.7 million) and $0.8 million (DKK 4.9 million), respectively. We believe these assessments are without merit and are currently appealing the ac</w:t>
      </w:r>
      <w:r>
        <w:rPr>
          <w:rFonts w:eastAsia="Times New Roman"/>
          <w:color w:val="000000"/>
          <w:sz w:val="20"/>
          <w:szCs w:val="20"/>
        </w:rPr>
        <w:t>tions. In addition, in March 2021, we received notice that the Danish subsidiary’s 2016 – 2019 tax years were also under examination. Finally, on April 28, 2021, we received a proposed tax assessment for the 2015 tax year of approximately $15.3 million (DK</w:t>
      </w:r>
      <w:r>
        <w:rPr>
          <w:rFonts w:eastAsia="Times New Roman"/>
          <w:color w:val="000000"/>
          <w:sz w:val="20"/>
          <w:szCs w:val="20"/>
        </w:rPr>
        <w:t>K 96.1 million), which we believe is without merit. We are in the process of responding to the proposed assessment and the 2016 - 2019 information requests. We have not yet received any proposed assessments related to the 2016 - 2019 tax years, which could</w:t>
      </w:r>
      <w:r>
        <w:rPr>
          <w:rFonts w:eastAsia="Times New Roman"/>
          <w:color w:val="000000"/>
          <w:sz w:val="20"/>
          <w:szCs w:val="20"/>
        </w:rPr>
        <w:t xml:space="preserve"> be materially larger than the previous assessments if a similar methodology is applied. In 2017, the Korean Branch of one of our subsidiaries received income tax assessment notices aggregating $10.0 million (KRW 11.3 billion) from the South Korea tax auth</w:t>
      </w:r>
      <w:r>
        <w:rPr>
          <w:rFonts w:eastAsia="Times New Roman"/>
          <w:color w:val="000000"/>
          <w:sz w:val="20"/>
          <w:szCs w:val="20"/>
        </w:rPr>
        <w:t xml:space="preserve">orities. We believe that these assessments are without merit and are currently appealing the actions. In addition, in January of 2020, we received a notice of examination from the U.S. IRS for the 2017 - 2018 tax years and are in the process of responding </w:t>
      </w:r>
      <w:r>
        <w:rPr>
          <w:rFonts w:eastAsia="Times New Roman"/>
          <w:color w:val="000000"/>
          <w:sz w:val="20"/>
          <w:szCs w:val="20"/>
        </w:rPr>
        <w:t>to information requests. In June 2021, we received a notice of proposed adjustment for the 2017 and 2018 tax years which is not material that we are in the process of reviewing. An unfavorable resolution of one or more of the above matters could have a mat</w:t>
      </w:r>
      <w:r>
        <w:rPr>
          <w:rFonts w:eastAsia="Times New Roman"/>
          <w:color w:val="000000"/>
          <w:sz w:val="20"/>
          <w:szCs w:val="20"/>
        </w:rPr>
        <w:t>erial adverse effect on our operating results or cash flows in the quarter or year in which the adjustments are recorded, or the tax is due or paid. As examinations are still in process or have not yet reached the final stages of the appeals process, the t</w:t>
      </w:r>
      <w:r>
        <w:rPr>
          <w:rFonts w:eastAsia="Times New Roman"/>
          <w:color w:val="000000"/>
          <w:sz w:val="20"/>
          <w:szCs w:val="20"/>
        </w:rPr>
        <w:t>iming of the ultimate resolution or payments that may be required cannot be determined at this time.</w:t>
      </w:r>
    </w:p>
    <w:p w:rsidR="00000000" w:rsidRDefault="00967E53">
      <w:pPr>
        <w:ind w:firstLine="360"/>
        <w:jc w:val="center"/>
        <w:divId w:val="333724315"/>
        <w:rPr>
          <w:rFonts w:eastAsia="Times New Roman"/>
        </w:rPr>
      </w:pPr>
      <w:r>
        <w:rPr>
          <w:rFonts w:eastAsia="Times New Roman"/>
          <w:color w:val="000000"/>
          <w:sz w:val="20"/>
          <w:szCs w:val="20"/>
        </w:rPr>
        <w:t>15</w:t>
      </w:r>
    </w:p>
    <w:p w:rsidR="00000000" w:rsidRDefault="00967E53">
      <w:pPr>
        <w:rPr>
          <w:rFonts w:eastAsia="Times New Roman"/>
        </w:rPr>
      </w:pPr>
      <w:r>
        <w:rPr>
          <w:rFonts w:eastAsia="Times New Roman"/>
        </w:rPr>
        <w:pict>
          <v:rect id="_x0000_i1043" style="width:0;height:1.5pt" o:hralign="center" o:hrstd="t" o:hr="t" fillcolor="#a0a0a0" stroked="f"/>
        </w:pict>
      </w:r>
    </w:p>
    <w:p w:rsidR="00000000" w:rsidRDefault="00967E53">
      <w:pPr>
        <w:ind w:firstLine="360"/>
        <w:jc w:val="both"/>
        <w:divId w:val="546919867"/>
        <w:rPr>
          <w:rFonts w:eastAsia="Times New Roman"/>
        </w:rPr>
      </w:pPr>
    </w:p>
    <w:p w:rsidR="00000000" w:rsidRDefault="00967E53">
      <w:pPr>
        <w:ind w:firstLine="360"/>
        <w:jc w:val="both"/>
        <w:divId w:val="371538719"/>
        <w:rPr>
          <w:rFonts w:eastAsia="Times New Roman"/>
        </w:rPr>
      </w:pPr>
    </w:p>
    <w:p w:rsidR="00000000" w:rsidRDefault="00967E53">
      <w:pPr>
        <w:divId w:val="1219319548"/>
        <w:rPr>
          <w:rFonts w:eastAsia="Times New Roman"/>
        </w:rPr>
      </w:pPr>
      <w:r>
        <w:rPr>
          <w:rFonts w:eastAsia="Times New Roman"/>
          <w:b/>
          <w:bCs/>
          <w:color w:val="000000"/>
          <w:sz w:val="20"/>
          <w:szCs w:val="20"/>
        </w:rPr>
        <w:t>9. Business Segments</w:t>
      </w:r>
    </w:p>
    <w:p w:rsidR="00000000" w:rsidRDefault="00967E53">
      <w:pPr>
        <w:ind w:firstLine="360"/>
        <w:jc w:val="both"/>
        <w:divId w:val="631519345"/>
        <w:rPr>
          <w:rFonts w:eastAsia="Times New Roman"/>
        </w:rPr>
      </w:pPr>
      <w:r>
        <w:rPr>
          <w:rFonts w:eastAsia="Times New Roman"/>
          <w:color w:val="000000"/>
          <w:sz w:val="20"/>
          <w:szCs w:val="20"/>
        </w:rPr>
        <w:t xml:space="preserve">We operate in three reportable segments consisting of aviation, land and marine. Corporate </w:t>
      </w:r>
      <w:r>
        <w:rPr>
          <w:rFonts w:eastAsia="Times New Roman"/>
          <w:color w:val="000000"/>
          <w:sz w:val="20"/>
          <w:szCs w:val="20"/>
        </w:rPr>
        <w:t>expenses are allocated to the segments based on usage, where possible, or on other factors according to the nature of the activity. Our operating segments are determined based on the different markets in which we provide products and services, which are de</w:t>
      </w:r>
      <w:r>
        <w:rPr>
          <w:rFonts w:eastAsia="Times New Roman"/>
          <w:color w:val="000000"/>
          <w:sz w:val="20"/>
          <w:szCs w:val="20"/>
        </w:rPr>
        <w:t>fined primarily by the customers and the products and services provided to those customers. Accordingly, our aviation, land and marine segments are organized based on the specific markets their functional business components serve, which are primarily busi</w:t>
      </w:r>
      <w:r>
        <w:rPr>
          <w:rFonts w:eastAsia="Times New Roman"/>
          <w:color w:val="000000"/>
          <w:sz w:val="20"/>
          <w:szCs w:val="20"/>
        </w:rPr>
        <w:t>nesses and governmental customers operating in those respective markets.</w:t>
      </w:r>
    </w:p>
    <w:p w:rsidR="00000000" w:rsidRDefault="00967E53">
      <w:pPr>
        <w:ind w:firstLine="360"/>
        <w:jc w:val="both"/>
        <w:divId w:val="1769617576"/>
        <w:rPr>
          <w:rFonts w:eastAsia="Times New Roman"/>
        </w:rPr>
      </w:pPr>
      <w:r>
        <w:rPr>
          <w:rFonts w:eastAsia="Times New Roman"/>
          <w:color w:val="000000"/>
          <w:sz w:val="20"/>
          <w:szCs w:val="20"/>
        </w:rPr>
        <w:t>Information concerning our Revenue, Gross profit and Income from operations by reportable segment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2958"/>
        <w:gridCol w:w="38"/>
        <w:gridCol w:w="36"/>
        <w:gridCol w:w="36"/>
        <w:gridCol w:w="36"/>
        <w:gridCol w:w="120"/>
        <w:gridCol w:w="1053"/>
        <w:gridCol w:w="36"/>
        <w:gridCol w:w="36"/>
        <w:gridCol w:w="36"/>
        <w:gridCol w:w="36"/>
        <w:gridCol w:w="120"/>
        <w:gridCol w:w="1053"/>
        <w:gridCol w:w="36"/>
        <w:gridCol w:w="36"/>
        <w:gridCol w:w="36"/>
        <w:gridCol w:w="36"/>
        <w:gridCol w:w="120"/>
        <w:gridCol w:w="1053"/>
        <w:gridCol w:w="36"/>
        <w:gridCol w:w="36"/>
        <w:gridCol w:w="36"/>
        <w:gridCol w:w="36"/>
        <w:gridCol w:w="120"/>
        <w:gridCol w:w="1055"/>
        <w:gridCol w:w="36"/>
      </w:tblGrid>
      <w:tr w:rsidR="00000000">
        <w:trPr>
          <w:divId w:val="640814988"/>
        </w:trPr>
        <w:tc>
          <w:tcPr>
            <w:tcW w:w="50" w:type="pct"/>
            <w:vAlign w:val="center"/>
            <w:hideMark/>
          </w:tcPr>
          <w:p w:rsidR="00000000" w:rsidRDefault="00967E53">
            <w:pPr>
              <w:ind w:firstLine="360"/>
              <w:jc w:val="both"/>
              <w:rPr>
                <w:rFonts w:eastAsia="Times New Roman"/>
              </w:rPr>
            </w:pPr>
          </w:p>
        </w:tc>
        <w:tc>
          <w:tcPr>
            <w:tcW w:w="181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Six Months Ended June 30,</w:t>
            </w:r>
          </w:p>
        </w:tc>
      </w:tr>
      <w:tr w:rsidR="00000000">
        <w:trPr>
          <w:divId w:val="640814988"/>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Revenue:</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r>
      <w:tr w:rsidR="00000000">
        <w:trPr>
          <w:divId w:val="640814988"/>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2,805.8 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1,020.6 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4,900.8 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4,784.8 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640814988"/>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2,457.2 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1,197.6 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4,645.4 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3,303.6 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640814988"/>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1,822.4 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940.2 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3,497.1 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3,085.2 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640814988"/>
        </w:trPr>
        <w:tc>
          <w:tcPr>
            <w:tcW w:w="0" w:type="auto"/>
            <w:gridSpan w:val="3"/>
            <w:shd w:val="clear" w:color="auto" w:fill="FFFFFF"/>
            <w:tcMar>
              <w:top w:w="30" w:type="dxa"/>
              <w:left w:w="26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7,085.5 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3,158.3 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13,043.4 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11,173.5 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640814988"/>
          <w:trHeight w:val="100"/>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Gross profit: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87.4 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91.9 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164.1 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185.0 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640814988"/>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73.8 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84.8 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163.3 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191.0 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640814988"/>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22.7 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48.2 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96.6 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640814988"/>
        </w:trPr>
        <w:tc>
          <w:tcPr>
            <w:tcW w:w="0" w:type="auto"/>
            <w:gridSpan w:val="3"/>
            <w:shd w:val="clear" w:color="auto" w:fill="FFFFFF"/>
            <w:tcMar>
              <w:top w:w="30" w:type="dxa"/>
              <w:left w:w="26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gross profit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213.9 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472.6 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640814988"/>
          <w:trHeight w:val="100"/>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Income from operations: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34.0 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57.0 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38.1 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640814988"/>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40.9 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35.3 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640814988"/>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47.2 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640814988"/>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Corporate overhead - unallocated</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(15.9)</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(20.1)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(40.5)</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(37.9)</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640814988"/>
        </w:trPr>
        <w:tc>
          <w:tcPr>
            <w:tcW w:w="0" w:type="auto"/>
            <w:gridSpan w:val="3"/>
            <w:shd w:val="clear" w:color="auto" w:fill="CCEEFF"/>
            <w:tcMar>
              <w:top w:w="30" w:type="dxa"/>
              <w:left w:w="26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640814988"/>
        </w:trPr>
        <w:tc>
          <w:tcPr>
            <w:tcW w:w="0" w:type="auto"/>
            <w:gridSpan w:val="3"/>
            <w:vAlign w:val="center"/>
            <w:hideMark/>
          </w:tcPr>
          <w:p w:rsidR="00000000" w:rsidRDefault="00967E53">
            <w:pPr>
              <w:spacing w:after="100"/>
              <w:jc w:val="right"/>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40814988"/>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bl>
    <w:p w:rsidR="00000000" w:rsidRDefault="00967E53">
      <w:pPr>
        <w:ind w:firstLine="360"/>
        <w:jc w:val="both"/>
        <w:divId w:val="1833519403"/>
        <w:rPr>
          <w:rFonts w:eastAsia="Times New Roman"/>
        </w:rPr>
      </w:pPr>
      <w:r>
        <w:rPr>
          <w:rFonts w:eastAsia="Times New Roman"/>
          <w:color w:val="000000"/>
          <w:sz w:val="20"/>
          <w:szCs w:val="20"/>
        </w:rPr>
        <w:t>Information concerning our Accounts receivable, net of allowance for credit losses and Total assets by reportable segment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086"/>
        <w:gridCol w:w="37"/>
        <w:gridCol w:w="36"/>
        <w:gridCol w:w="36"/>
        <w:gridCol w:w="36"/>
        <w:gridCol w:w="120"/>
        <w:gridCol w:w="1308"/>
        <w:gridCol w:w="36"/>
        <w:gridCol w:w="36"/>
        <w:gridCol w:w="36"/>
        <w:gridCol w:w="36"/>
        <w:gridCol w:w="121"/>
        <w:gridCol w:w="1308"/>
        <w:gridCol w:w="36"/>
      </w:tblGrid>
      <w:tr w:rsidR="00000000">
        <w:trPr>
          <w:divId w:val="1485464669"/>
        </w:trPr>
        <w:tc>
          <w:tcPr>
            <w:tcW w:w="50" w:type="pct"/>
            <w:vAlign w:val="center"/>
            <w:hideMark/>
          </w:tcPr>
          <w:p w:rsidR="00000000" w:rsidRDefault="00967E53">
            <w:pPr>
              <w:ind w:firstLine="360"/>
              <w:jc w:val="both"/>
              <w:rPr>
                <w:rFonts w:eastAsia="Times New Roman"/>
              </w:rPr>
            </w:pPr>
          </w:p>
        </w:tc>
        <w:tc>
          <w:tcPr>
            <w:tcW w:w="308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822"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822"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485464669"/>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June 30, 2021</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December 31, 2020</w:t>
            </w:r>
          </w:p>
        </w:tc>
      </w:tr>
      <w:tr w:rsidR="00000000">
        <w:trPr>
          <w:divId w:val="1485464669"/>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485464669"/>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divId w:val="187185025"/>
              <w:rPr>
                <w:rFonts w:eastAsia="Times New Roman"/>
              </w:rPr>
            </w:pPr>
            <w:r>
              <w:rPr>
                <w:rFonts w:eastAsia="Times New Roman"/>
                <w:color w:val="000000"/>
                <w:sz w:val="20"/>
                <w:szCs w:val="20"/>
              </w:rPr>
              <w:t>Aviation segment, net of allowance for credit losses of $26.4 and $41.2 as of June 30, 2021 and December 31, 2020, respectively</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700.6 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464.7 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485464669"/>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divId w:val="2071539627"/>
              <w:rPr>
                <w:rFonts w:eastAsia="Times New Roman"/>
              </w:rPr>
            </w:pPr>
            <w:r>
              <w:rPr>
                <w:rFonts w:eastAsia="Times New Roman"/>
                <w:color w:val="000000"/>
                <w:sz w:val="20"/>
                <w:szCs w:val="20"/>
              </w:rPr>
              <w:t>Land segment, net of allowance for credit losses of $3.6 and $5.0 as of June 30, 2021 and December 31, 2020, respectively</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533.4 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394.5 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485464669"/>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divId w:val="1359505119"/>
              <w:rPr>
                <w:rFonts w:eastAsia="Times New Roman"/>
              </w:rPr>
            </w:pPr>
            <w:r>
              <w:rPr>
                <w:rFonts w:eastAsia="Times New Roman"/>
                <w:color w:val="000000"/>
                <w:sz w:val="20"/>
                <w:szCs w:val="20"/>
              </w:rPr>
              <w:t>Marine segment, net of allowance for credit losses of $6.2 and $7.6 as of June 30, 2021 and December 31, 20</w:t>
            </w:r>
            <w:r>
              <w:rPr>
                <w:rFonts w:eastAsia="Times New Roman"/>
                <w:color w:val="000000"/>
                <w:sz w:val="20"/>
                <w:szCs w:val="20"/>
              </w:rPr>
              <w:t>20, respectively</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601.0 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379.2 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485464669"/>
        </w:trPr>
        <w:tc>
          <w:tcPr>
            <w:tcW w:w="0" w:type="auto"/>
            <w:gridSpan w:val="3"/>
            <w:shd w:val="clear" w:color="auto" w:fill="CCEEFF"/>
            <w:tcMar>
              <w:top w:w="30" w:type="dxa"/>
              <w:left w:w="26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1,835.0 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1,238.4 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485464669"/>
          <w:trHeight w:val="100"/>
        </w:trPr>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485464669"/>
        </w:trPr>
        <w:tc>
          <w:tcPr>
            <w:tcW w:w="0" w:type="auto"/>
            <w:gridSpan w:val="3"/>
            <w:shd w:val="clear" w:color="auto" w:fill="CCEEFF"/>
            <w:tcMar>
              <w:top w:w="30" w:type="dxa"/>
              <w:left w:w="20" w:type="dxa"/>
              <w:bottom w:w="30" w:type="dxa"/>
              <w:right w:w="20" w:type="dxa"/>
            </w:tcMar>
            <w:vAlign w:val="center"/>
            <w:hideMark/>
          </w:tcPr>
          <w:p w:rsidR="00000000" w:rsidRDefault="00967E53">
            <w:pPr>
              <w:spacing w:after="100"/>
              <w:rPr>
                <w:rFonts w:eastAsia="Times New Roman"/>
              </w:rPr>
            </w:pPr>
            <w:r>
              <w:rPr>
                <w:rFonts w:eastAsia="Times New Roman"/>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r>
      <w:tr w:rsidR="00000000">
        <w:trPr>
          <w:divId w:val="1485464669"/>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Aviation segment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2,054.4 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1,789.5 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485464669"/>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Land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1,652.4 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1,459.5 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485464669"/>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Marine segment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977.8 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667.6 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485464669"/>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Corporate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565.1 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583.7 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485464669"/>
        </w:trPr>
        <w:tc>
          <w:tcPr>
            <w:tcW w:w="0" w:type="auto"/>
            <w:gridSpan w:val="3"/>
            <w:shd w:val="clear" w:color="auto" w:fill="FFFFFF"/>
            <w:tcMar>
              <w:top w:w="30" w:type="dxa"/>
              <w:left w:w="26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5,249.8 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4,500.3 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360"/>
        <w:jc w:val="center"/>
        <w:divId w:val="1691954820"/>
        <w:rPr>
          <w:rFonts w:eastAsia="Times New Roman"/>
        </w:rPr>
      </w:pPr>
      <w:r>
        <w:rPr>
          <w:rFonts w:eastAsia="Times New Roman"/>
          <w:color w:val="000000"/>
          <w:sz w:val="20"/>
          <w:szCs w:val="20"/>
        </w:rPr>
        <w:t>16</w:t>
      </w:r>
    </w:p>
    <w:p w:rsidR="00000000" w:rsidRDefault="00967E53">
      <w:pPr>
        <w:rPr>
          <w:rFonts w:eastAsia="Times New Roman"/>
        </w:rPr>
      </w:pPr>
      <w:r>
        <w:rPr>
          <w:rFonts w:eastAsia="Times New Roman"/>
        </w:rPr>
        <w:pict>
          <v:rect id="_x0000_i1044" style="width:0;height:1.5pt" o:hralign="center" o:hrstd="t" o:hr="t" fillcolor="#a0a0a0" stroked="f"/>
        </w:pict>
      </w:r>
    </w:p>
    <w:p w:rsidR="00000000" w:rsidRDefault="00967E53">
      <w:pPr>
        <w:ind w:firstLine="360"/>
        <w:jc w:val="both"/>
        <w:divId w:val="1072001899"/>
        <w:rPr>
          <w:rFonts w:eastAsia="Times New Roman"/>
        </w:rPr>
      </w:pPr>
    </w:p>
    <w:p w:rsidR="00000000" w:rsidRDefault="00967E53">
      <w:pPr>
        <w:ind w:firstLine="360"/>
        <w:jc w:val="both"/>
        <w:divId w:val="161966561"/>
        <w:rPr>
          <w:rFonts w:eastAsia="Times New Roman"/>
        </w:rPr>
      </w:pPr>
    </w:p>
    <w:p w:rsidR="00000000" w:rsidRDefault="00967E53">
      <w:pPr>
        <w:divId w:val="481699937"/>
        <w:rPr>
          <w:rFonts w:eastAsia="Times New Roman"/>
        </w:rPr>
      </w:pPr>
      <w:r>
        <w:rPr>
          <w:rFonts w:eastAsia="Times New Roman"/>
          <w:b/>
          <w:bCs/>
          <w:color w:val="000000"/>
          <w:sz w:val="20"/>
          <w:szCs w:val="20"/>
        </w:rPr>
        <w:t>10. Earnings per Common Share</w:t>
      </w:r>
    </w:p>
    <w:p w:rsidR="00000000" w:rsidRDefault="00967E53">
      <w:pPr>
        <w:ind w:firstLine="360"/>
        <w:jc w:val="both"/>
        <w:divId w:val="676427453"/>
        <w:rPr>
          <w:rFonts w:eastAsia="Times New Roman"/>
        </w:rPr>
      </w:pPr>
      <w:r>
        <w:rPr>
          <w:rFonts w:eastAsia="Times New Roman"/>
          <w:color w:val="000000"/>
          <w:sz w:val="20"/>
          <w:szCs w:val="20"/>
        </w:rPr>
        <w:t>The following table sets forth the computation of basic and diluted earnings per common share for the periods presented (in millions,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2960"/>
        <w:gridCol w:w="37"/>
        <w:gridCol w:w="36"/>
        <w:gridCol w:w="36"/>
        <w:gridCol w:w="36"/>
        <w:gridCol w:w="120"/>
        <w:gridCol w:w="1053"/>
        <w:gridCol w:w="36"/>
        <w:gridCol w:w="36"/>
        <w:gridCol w:w="36"/>
        <w:gridCol w:w="36"/>
        <w:gridCol w:w="120"/>
        <w:gridCol w:w="1053"/>
        <w:gridCol w:w="36"/>
        <w:gridCol w:w="36"/>
        <w:gridCol w:w="36"/>
        <w:gridCol w:w="36"/>
        <w:gridCol w:w="120"/>
        <w:gridCol w:w="1053"/>
        <w:gridCol w:w="36"/>
        <w:gridCol w:w="36"/>
        <w:gridCol w:w="36"/>
        <w:gridCol w:w="36"/>
        <w:gridCol w:w="120"/>
        <w:gridCol w:w="1055"/>
        <w:gridCol w:w="36"/>
      </w:tblGrid>
      <w:tr w:rsidR="00000000">
        <w:trPr>
          <w:divId w:val="1714845023"/>
        </w:trPr>
        <w:tc>
          <w:tcPr>
            <w:tcW w:w="50" w:type="pct"/>
            <w:vAlign w:val="center"/>
            <w:hideMark/>
          </w:tcPr>
          <w:p w:rsidR="00000000" w:rsidRDefault="00967E53">
            <w:pPr>
              <w:ind w:firstLine="360"/>
              <w:jc w:val="both"/>
              <w:rPr>
                <w:rFonts w:eastAsia="Times New Roman"/>
              </w:rPr>
            </w:pPr>
          </w:p>
        </w:tc>
        <w:tc>
          <w:tcPr>
            <w:tcW w:w="181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714845023"/>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Six Months Ended June 30,</w:t>
            </w:r>
          </w:p>
        </w:tc>
      </w:tr>
      <w:tr w:rsidR="00000000">
        <w:trPr>
          <w:divId w:val="1714845023"/>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r>
      <w:tr w:rsidR="00000000">
        <w:trPr>
          <w:divId w:val="171484502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Numerator:</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714845023"/>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Net income attributable to World Fuel</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(10.2)</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36.5 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71484502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Denominator:</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714845023"/>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Weighted average common shares for basic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63.4 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63.3 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63.2 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64.1 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714845023"/>
        </w:trPr>
        <w:tc>
          <w:tcPr>
            <w:tcW w:w="0" w:type="auto"/>
            <w:gridSpan w:val="3"/>
            <w:shd w:val="clear" w:color="auto" w:fill="CCEE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714845023"/>
        </w:trPr>
        <w:tc>
          <w:tcPr>
            <w:tcW w:w="0" w:type="auto"/>
            <w:gridSpan w:val="3"/>
            <w:shd w:val="clear" w:color="auto" w:fill="FFFFFF"/>
            <w:tcMar>
              <w:top w:w="30" w:type="dxa"/>
              <w:left w:w="155"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Weighted average common shares for diluted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714845023"/>
          <w:trHeight w:val="240"/>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714845023"/>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Basic earnings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0.28 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(0.16)</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0.58 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0.49 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714845023"/>
          <w:trHeight w:val="240"/>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714845023"/>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Diluted earnings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0.28 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(0.16)</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0.57 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0.48 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714845023"/>
          <w:trHeight w:val="300"/>
        </w:trPr>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714845023"/>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Weighted average securities which are not included in the calculation of diluted earnings per common share because their impact is anti-dilutive or their performance conditions have not been met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3.4 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divId w:val="1878152631"/>
        <w:rPr>
          <w:rFonts w:eastAsia="Times New Roman"/>
        </w:rPr>
      </w:pPr>
      <w:r>
        <w:rPr>
          <w:rFonts w:eastAsia="Times New Roman"/>
          <w:b/>
          <w:bCs/>
          <w:color w:val="000000"/>
          <w:sz w:val="20"/>
          <w:szCs w:val="20"/>
        </w:rPr>
        <w:t>11. Commitments and Contingencies</w:t>
      </w:r>
    </w:p>
    <w:p w:rsidR="00000000" w:rsidRDefault="00967E53">
      <w:pPr>
        <w:ind w:firstLine="360"/>
        <w:divId w:val="1960917467"/>
        <w:rPr>
          <w:rFonts w:eastAsia="Times New Roman"/>
        </w:rPr>
      </w:pPr>
      <w:r>
        <w:rPr>
          <w:rFonts w:eastAsia="Times New Roman"/>
          <w:b/>
          <w:bCs/>
          <w:color w:val="000000"/>
          <w:sz w:val="20"/>
          <w:szCs w:val="20"/>
        </w:rPr>
        <w:t>Tax Matters</w:t>
      </w:r>
    </w:p>
    <w:p w:rsidR="00000000" w:rsidRDefault="00967E53">
      <w:pPr>
        <w:ind w:firstLine="360"/>
        <w:jc w:val="both"/>
        <w:divId w:val="708186361"/>
        <w:rPr>
          <w:rFonts w:eastAsia="Times New Roman"/>
        </w:rPr>
      </w:pPr>
      <w:r>
        <w:rPr>
          <w:rFonts w:eastAsia="Times New Roman"/>
          <w:color w:val="000000"/>
          <w:sz w:val="20"/>
          <w:szCs w:val="20"/>
        </w:rPr>
        <w:t xml:space="preserve">From time to time, we are under review by various domestic and foreign tax authorities with regard to indirect tax </w:t>
      </w:r>
      <w:r>
        <w:rPr>
          <w:rFonts w:eastAsia="Times New Roman"/>
          <w:color w:val="000000"/>
          <w:sz w:val="20"/>
          <w:szCs w:val="20"/>
        </w:rPr>
        <w:t>matters and are involved in various challenges and litigation in a number of countries, including, in particular, Brazil and South Korea, where the amounts under controversy may be material. We believe that these assessments are without merit and are curre</w:t>
      </w:r>
      <w:r>
        <w:rPr>
          <w:rFonts w:eastAsia="Times New Roman"/>
          <w:color w:val="000000"/>
          <w:sz w:val="20"/>
          <w:szCs w:val="20"/>
        </w:rPr>
        <w:t>ntly appealing the actions.</w:t>
      </w:r>
    </w:p>
    <w:p w:rsidR="00000000" w:rsidRDefault="00967E53">
      <w:pPr>
        <w:ind w:firstLine="360"/>
        <w:jc w:val="both"/>
        <w:divId w:val="803817122"/>
        <w:rPr>
          <w:rFonts w:eastAsia="Times New Roman"/>
        </w:rPr>
      </w:pPr>
      <w:r>
        <w:rPr>
          <w:rFonts w:eastAsia="Times New Roman"/>
          <w:color w:val="000000"/>
          <w:sz w:val="20"/>
          <w:szCs w:val="20"/>
        </w:rPr>
        <w:t>During the quarter ended December 31, 2016, the Korean branch of one of our subsidiaries received assessments of approximately $10.4 million (KRW 11.7 billion) and during the quarter ended June 30, 2017, an assessment for an add</w:t>
      </w:r>
      <w:r>
        <w:rPr>
          <w:rFonts w:eastAsia="Times New Roman"/>
          <w:color w:val="000000"/>
          <w:sz w:val="20"/>
          <w:szCs w:val="20"/>
        </w:rPr>
        <w:t>itional $17.8 million (KRW 20.1 billion) from the regional tax authorities of Seoul, South Korea. The assessments primarily consist of fines and penalties for allegedly failing to issue Value Added Tax ("VAT") invoices and report certain transactions durin</w:t>
      </w:r>
      <w:r>
        <w:rPr>
          <w:rFonts w:eastAsia="Times New Roman"/>
          <w:color w:val="000000"/>
          <w:sz w:val="20"/>
          <w:szCs w:val="20"/>
        </w:rPr>
        <w:t>g the period 2011-2014. These assessments do not involve failure to pay or collect VAT. We believe that these assessments are without merit and are currently appealing the actions.</w:t>
      </w:r>
    </w:p>
    <w:p w:rsidR="00000000" w:rsidRDefault="00967E53">
      <w:pPr>
        <w:ind w:firstLine="360"/>
        <w:jc w:val="both"/>
        <w:divId w:val="1196499750"/>
        <w:rPr>
          <w:rFonts w:eastAsia="Times New Roman"/>
        </w:rPr>
      </w:pPr>
      <w:r>
        <w:rPr>
          <w:rFonts w:eastAsia="Times New Roman"/>
          <w:color w:val="000000"/>
          <w:sz w:val="20"/>
          <w:szCs w:val="20"/>
        </w:rPr>
        <w:t>We are also involved in a number of tax disputes with federal, state and mu</w:t>
      </w:r>
      <w:r>
        <w:rPr>
          <w:rFonts w:eastAsia="Times New Roman"/>
          <w:color w:val="000000"/>
          <w:sz w:val="20"/>
          <w:szCs w:val="20"/>
        </w:rPr>
        <w:t>nicipal tax authorities in Brazil, relating primarily to a VAT tax known as ICMS. These disputes are at various stages of the legal process, including the administrative review phase and the collection action phase, and include assessments of fixed amounts</w:t>
      </w:r>
      <w:r>
        <w:rPr>
          <w:rFonts w:eastAsia="Times New Roman"/>
          <w:color w:val="000000"/>
          <w:sz w:val="20"/>
          <w:szCs w:val="20"/>
        </w:rPr>
        <w:t xml:space="preserve"> of principal and penalties, plus interest. One of our Brazilian subsidiaries is currently appealing an assessment of approximately $11.6 million (BRL 57.3 million) from the Brazilian tax authorities relating to the ICMS rate used for certain transactions.</w:t>
      </w:r>
      <w:r>
        <w:rPr>
          <w:rFonts w:eastAsia="Times New Roman"/>
          <w:color w:val="000000"/>
          <w:sz w:val="20"/>
          <w:szCs w:val="20"/>
        </w:rPr>
        <w:t xml:space="preserve"> The assessment primarily consists of interest and penalties. We believe that the assessment is without merit and are pursuing our remedies in the judicial court system.</w:t>
      </w:r>
    </w:p>
    <w:p w:rsidR="00000000" w:rsidRDefault="00967E53">
      <w:pPr>
        <w:ind w:firstLine="360"/>
        <w:jc w:val="both"/>
        <w:divId w:val="2016221339"/>
        <w:rPr>
          <w:rFonts w:eastAsia="Times New Roman"/>
        </w:rPr>
      </w:pPr>
      <w:r>
        <w:rPr>
          <w:rFonts w:eastAsia="Times New Roman"/>
          <w:color w:val="000000"/>
          <w:sz w:val="20"/>
          <w:szCs w:val="20"/>
        </w:rPr>
        <w:t>When we deem it appropriate, and the amounts are reasonably estimable, we establish re</w:t>
      </w:r>
      <w:r>
        <w:rPr>
          <w:rFonts w:eastAsia="Times New Roman"/>
          <w:color w:val="000000"/>
          <w:sz w:val="20"/>
          <w:szCs w:val="20"/>
        </w:rPr>
        <w:t>serves for potential adjustments to our provision for the accrual of indirect taxes that may result from examinations or other actions by tax authorities. If events occur which indicate payment of these amounts is unnecessary, the reversal of the liabiliti</w:t>
      </w:r>
      <w:r>
        <w:rPr>
          <w:rFonts w:eastAsia="Times New Roman"/>
          <w:color w:val="000000"/>
          <w:sz w:val="20"/>
          <w:szCs w:val="20"/>
        </w:rPr>
        <w:t xml:space="preserve">es will result in the recognition of benefits in the period we determine the liabilities are no longer necessary. If our estimates of any of our federal, state, and foreign indirect tax liabilities are less than the ultimate assessment, it could result in </w:t>
      </w:r>
      <w:r>
        <w:rPr>
          <w:rFonts w:eastAsia="Times New Roman"/>
          <w:color w:val="000000"/>
          <w:sz w:val="20"/>
          <w:szCs w:val="20"/>
        </w:rPr>
        <w:t xml:space="preserve">a further charge to expense. Except with respect to the matters described above, we believe that the final outcome of any pending examinations, agreements, administrative or judicial proceedings will not have a material effect on our results of operations </w:t>
      </w:r>
      <w:r>
        <w:rPr>
          <w:rFonts w:eastAsia="Times New Roman"/>
          <w:color w:val="000000"/>
          <w:sz w:val="20"/>
          <w:szCs w:val="20"/>
        </w:rPr>
        <w:t>or cash flows.</w:t>
      </w:r>
    </w:p>
    <w:p w:rsidR="00000000" w:rsidRDefault="00967E53">
      <w:pPr>
        <w:ind w:firstLine="360"/>
        <w:jc w:val="center"/>
        <w:divId w:val="111411721"/>
        <w:rPr>
          <w:rFonts w:eastAsia="Times New Roman"/>
        </w:rPr>
      </w:pPr>
      <w:r>
        <w:rPr>
          <w:rFonts w:eastAsia="Times New Roman"/>
          <w:color w:val="000000"/>
          <w:sz w:val="20"/>
          <w:szCs w:val="20"/>
        </w:rPr>
        <w:t>17</w:t>
      </w:r>
    </w:p>
    <w:p w:rsidR="00000000" w:rsidRDefault="00967E53">
      <w:pPr>
        <w:rPr>
          <w:rFonts w:eastAsia="Times New Roman"/>
        </w:rPr>
      </w:pPr>
      <w:r>
        <w:rPr>
          <w:rFonts w:eastAsia="Times New Roman"/>
        </w:rPr>
        <w:pict>
          <v:rect id="_x0000_i1045" style="width:0;height:1.5pt" o:hralign="center" o:hrstd="t" o:hr="t" fillcolor="#a0a0a0" stroked="f"/>
        </w:pict>
      </w:r>
    </w:p>
    <w:p w:rsidR="00000000" w:rsidRDefault="00967E53">
      <w:pPr>
        <w:ind w:firstLine="360"/>
        <w:jc w:val="both"/>
        <w:divId w:val="1228952006"/>
        <w:rPr>
          <w:rFonts w:eastAsia="Times New Roman"/>
        </w:rPr>
      </w:pPr>
    </w:p>
    <w:p w:rsidR="00000000" w:rsidRDefault="00967E53">
      <w:pPr>
        <w:ind w:firstLine="360"/>
        <w:jc w:val="both"/>
        <w:divId w:val="840044468"/>
        <w:rPr>
          <w:rFonts w:eastAsia="Times New Roman"/>
        </w:rPr>
      </w:pPr>
    </w:p>
    <w:p w:rsidR="00000000" w:rsidRDefault="00967E53">
      <w:pPr>
        <w:ind w:firstLine="360"/>
        <w:jc w:val="both"/>
        <w:divId w:val="1246913204"/>
        <w:rPr>
          <w:rFonts w:eastAsia="Times New Roman"/>
        </w:rPr>
      </w:pPr>
      <w:r>
        <w:rPr>
          <w:rFonts w:eastAsia="Times New Roman"/>
          <w:b/>
          <w:bCs/>
          <w:color w:val="000000"/>
          <w:sz w:val="20"/>
          <w:szCs w:val="20"/>
        </w:rPr>
        <w:t>Other Matters</w:t>
      </w:r>
    </w:p>
    <w:p w:rsidR="00000000" w:rsidRDefault="00967E53">
      <w:pPr>
        <w:ind w:firstLine="360"/>
        <w:jc w:val="both"/>
        <w:divId w:val="972096384"/>
        <w:rPr>
          <w:rFonts w:eastAsia="Times New Roman"/>
        </w:rPr>
      </w:pPr>
      <w:r>
        <w:rPr>
          <w:rFonts w:eastAsia="Times New Roman"/>
          <w:color w:val="000000"/>
          <w:sz w:val="20"/>
          <w:szCs w:val="20"/>
        </w:rPr>
        <w:t>We are also a party to various claims, complaints and proceedings arising in the ordinary course of our business including, but not limited to, environmental claims, commercial and governmental contract</w:t>
      </w:r>
      <w:r>
        <w:rPr>
          <w:rFonts w:eastAsia="Times New Roman"/>
          <w:color w:val="000000"/>
          <w:sz w:val="20"/>
          <w:szCs w:val="20"/>
        </w:rPr>
        <w:t xml:space="preserve"> claims, such as property damage, demurrage, personal injury, billing and fuel quality claims, as well as bankruptcy preference claims and tax and administrative claims. We have established loss provisions for these ordinary course claims as well as other </w:t>
      </w:r>
      <w:r>
        <w:rPr>
          <w:rFonts w:eastAsia="Times New Roman"/>
          <w:color w:val="000000"/>
          <w:sz w:val="20"/>
          <w:szCs w:val="20"/>
        </w:rPr>
        <w:t xml:space="preserve">matters in which losses are probable and can be reasonably estimated. As of June 30, 2021, these reserves were not material. For those matters where a reserve has not been established and for which we believe a loss is reasonably possible, we believe that </w:t>
      </w:r>
      <w:r>
        <w:rPr>
          <w:rFonts w:eastAsia="Times New Roman"/>
          <w:color w:val="000000"/>
          <w:sz w:val="20"/>
          <w:szCs w:val="20"/>
        </w:rPr>
        <w:t>such losses will not have a material adverse effect on our Consolidated Financial Statements. However, any adverse resolution of one or more such claims, complaints or proceedings during a particular period could have a material adverse effect on our Conso</w:t>
      </w:r>
      <w:r>
        <w:rPr>
          <w:rFonts w:eastAsia="Times New Roman"/>
          <w:color w:val="000000"/>
          <w:sz w:val="20"/>
          <w:szCs w:val="20"/>
        </w:rPr>
        <w:t>lidated Financial Statements or disclosures for that period. </w:t>
      </w:r>
    </w:p>
    <w:p w:rsidR="00000000" w:rsidRDefault="00967E53">
      <w:pPr>
        <w:ind w:firstLine="360"/>
        <w:jc w:val="both"/>
        <w:divId w:val="1569849653"/>
        <w:rPr>
          <w:rFonts w:eastAsia="Times New Roman"/>
        </w:rPr>
      </w:pPr>
      <w:r>
        <w:rPr>
          <w:rFonts w:eastAsia="Times New Roman"/>
          <w:color w:val="000000"/>
          <w:sz w:val="20"/>
          <w:szCs w:val="20"/>
        </w:rPr>
        <w:t>Our estimates regarding potential losses and materiality are based on our judgment and assessment of the claims utilizing currently available information. Although we will continue to reassess o</w:t>
      </w:r>
      <w:r>
        <w:rPr>
          <w:rFonts w:eastAsia="Times New Roman"/>
          <w:color w:val="000000"/>
          <w:sz w:val="20"/>
          <w:szCs w:val="20"/>
        </w:rPr>
        <w:t>ur reserves and estimates based on future developments, our objective assessment of the legal merits of such claims may not always be predictive of the outcome and actual results may vary from our current estimates.</w:t>
      </w:r>
    </w:p>
    <w:p w:rsidR="00000000" w:rsidRDefault="00967E53">
      <w:pPr>
        <w:divId w:val="1263150709"/>
        <w:rPr>
          <w:rFonts w:eastAsia="Times New Roman"/>
        </w:rPr>
      </w:pPr>
      <w:r>
        <w:rPr>
          <w:rFonts w:eastAsia="Times New Roman"/>
          <w:b/>
          <w:bCs/>
          <w:color w:val="000000"/>
          <w:sz w:val="20"/>
          <w:szCs w:val="20"/>
        </w:rPr>
        <w:t>12. Restructuring</w:t>
      </w:r>
    </w:p>
    <w:p w:rsidR="00000000" w:rsidRDefault="00967E53">
      <w:pPr>
        <w:ind w:firstLine="360"/>
        <w:jc w:val="both"/>
        <w:divId w:val="1826435087"/>
        <w:rPr>
          <w:rFonts w:eastAsia="Times New Roman"/>
        </w:rPr>
      </w:pPr>
      <w:r>
        <w:rPr>
          <w:rFonts w:eastAsia="Times New Roman"/>
          <w:color w:val="000000"/>
          <w:sz w:val="20"/>
          <w:szCs w:val="20"/>
        </w:rPr>
        <w:t>As a result of the rev</w:t>
      </w:r>
      <w:r>
        <w:rPr>
          <w:rFonts w:eastAsia="Times New Roman"/>
          <w:color w:val="000000"/>
          <w:sz w:val="20"/>
          <w:szCs w:val="20"/>
        </w:rPr>
        <w:t>iew of our land business and changes in the overall economic landscape for all our reportable segments due to the COVID-19 pandemic, in the first quarter of 2020, we implemented a restructuring initiative focused on streamlining our operations and rational</w:t>
      </w:r>
      <w:r>
        <w:rPr>
          <w:rFonts w:eastAsia="Times New Roman"/>
          <w:color w:val="000000"/>
          <w:sz w:val="20"/>
          <w:szCs w:val="20"/>
        </w:rPr>
        <w:t>izing our deployment and allocation of resources. While we took several actions during the year ended December 31, 2020, our focus was primarily on cost-reduction initiatives in response to the pandemic. In 2021, we heightened our focus on restructuring ou</w:t>
      </w:r>
      <w:r>
        <w:rPr>
          <w:rFonts w:eastAsia="Times New Roman"/>
          <w:color w:val="000000"/>
          <w:sz w:val="20"/>
          <w:szCs w:val="20"/>
        </w:rPr>
        <w:t>r land business in North America, which has included reorganizing and relocating certain business activities, as well as implementing changes to the operational and management structure of the business. While we initially expected to finalize the overall r</w:t>
      </w:r>
      <w:r>
        <w:rPr>
          <w:rFonts w:eastAsia="Times New Roman"/>
          <w:color w:val="000000"/>
          <w:sz w:val="20"/>
          <w:szCs w:val="20"/>
        </w:rPr>
        <w:t>estructuring plan by the end of the second quarter of 2021, we elected to expand the plan in order to finalize the alignment of processes and platforms within the land segment. We currently expect to complete the necessary activities by the end of the firs</w:t>
      </w:r>
      <w:r>
        <w:rPr>
          <w:rFonts w:eastAsia="Times New Roman"/>
          <w:color w:val="000000"/>
          <w:sz w:val="20"/>
          <w:szCs w:val="20"/>
        </w:rPr>
        <w:t>t quarter of 2022 and incur additional restructuring charges of approximately $6.0 million to $8.0 million.</w:t>
      </w:r>
    </w:p>
    <w:p w:rsidR="00000000" w:rsidRDefault="00967E53">
      <w:pPr>
        <w:ind w:firstLine="360"/>
        <w:jc w:val="both"/>
        <w:divId w:val="1019041102"/>
        <w:rPr>
          <w:rFonts w:eastAsia="Times New Roman"/>
        </w:rPr>
      </w:pPr>
      <w:r>
        <w:rPr>
          <w:rFonts w:eastAsia="Times New Roman"/>
          <w:color w:val="000000"/>
          <w:sz w:val="20"/>
          <w:szCs w:val="20"/>
        </w:rPr>
        <w:t>During the six months ended June 30, 2021, we incurred incremental charges of $5.1 million, comprised principally of external consulting fees supporting the land restructuring and related severance costs. These costs are included in Restructuring charges i</w:t>
      </w:r>
      <w:r>
        <w:rPr>
          <w:rFonts w:eastAsia="Times New Roman"/>
          <w:color w:val="000000"/>
          <w:sz w:val="20"/>
          <w:szCs w:val="20"/>
        </w:rPr>
        <w:t>n our Condensed Consolidated Statements of Income and Comprehensive Income. Our accrued restructuring charges as of June 30, 2021 are included in Accrued expenses and other current liabilities on our Condensed Consolidated Balance Sheets.</w:t>
      </w:r>
    </w:p>
    <w:p w:rsidR="00000000" w:rsidRDefault="00967E53">
      <w:pPr>
        <w:ind w:firstLine="360"/>
        <w:jc w:val="both"/>
        <w:divId w:val="1100418254"/>
        <w:rPr>
          <w:rFonts w:eastAsia="Times New Roman"/>
        </w:rPr>
      </w:pPr>
      <w:r>
        <w:rPr>
          <w:rFonts w:eastAsia="Times New Roman"/>
          <w:color w:val="000000"/>
          <w:sz w:val="20"/>
          <w:szCs w:val="20"/>
        </w:rPr>
        <w:t>The following tab</w:t>
      </w:r>
      <w:r>
        <w:rPr>
          <w:rFonts w:eastAsia="Times New Roman"/>
          <w:color w:val="000000"/>
          <w:sz w:val="20"/>
          <w:szCs w:val="20"/>
        </w:rPr>
        <w:t>le provides a summary of our restructuring activities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774"/>
        <w:gridCol w:w="37"/>
        <w:gridCol w:w="36"/>
        <w:gridCol w:w="36"/>
        <w:gridCol w:w="36"/>
        <w:gridCol w:w="121"/>
        <w:gridCol w:w="744"/>
        <w:gridCol w:w="36"/>
        <w:gridCol w:w="36"/>
        <w:gridCol w:w="36"/>
        <w:gridCol w:w="36"/>
        <w:gridCol w:w="121"/>
        <w:gridCol w:w="744"/>
        <w:gridCol w:w="36"/>
        <w:gridCol w:w="36"/>
        <w:gridCol w:w="36"/>
        <w:gridCol w:w="36"/>
        <w:gridCol w:w="121"/>
        <w:gridCol w:w="744"/>
        <w:gridCol w:w="36"/>
        <w:gridCol w:w="36"/>
        <w:gridCol w:w="36"/>
        <w:gridCol w:w="36"/>
        <w:gridCol w:w="121"/>
        <w:gridCol w:w="842"/>
        <w:gridCol w:w="36"/>
        <w:gridCol w:w="36"/>
        <w:gridCol w:w="36"/>
        <w:gridCol w:w="36"/>
        <w:gridCol w:w="121"/>
        <w:gridCol w:w="1058"/>
        <w:gridCol w:w="36"/>
      </w:tblGrid>
      <w:tr w:rsidR="00000000">
        <w:trPr>
          <w:divId w:val="349374634"/>
          <w:jc w:val="center"/>
        </w:trPr>
        <w:tc>
          <w:tcPr>
            <w:tcW w:w="50" w:type="pct"/>
            <w:vAlign w:val="center"/>
            <w:hideMark/>
          </w:tcPr>
          <w:p w:rsidR="00000000" w:rsidRDefault="00967E53">
            <w:pPr>
              <w:ind w:firstLine="360"/>
              <w:jc w:val="both"/>
              <w:rPr>
                <w:rFonts w:eastAsia="Times New Roman"/>
              </w:rPr>
            </w:pPr>
          </w:p>
        </w:tc>
        <w:tc>
          <w:tcPr>
            <w:tcW w:w="174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2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552"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349374634"/>
          <w:jc w:val="center"/>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Aviation</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Land</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Marine</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Corporate</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Consolidated</w:t>
            </w:r>
          </w:p>
        </w:tc>
      </w:tr>
      <w:tr w:rsidR="00000000">
        <w:trPr>
          <w:divId w:val="349374634"/>
          <w:jc w:val="center"/>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Accrued charges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9374634"/>
          <w:jc w:val="center"/>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Restructuring charges</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0.9 </w:t>
            </w:r>
          </w:p>
        </w:tc>
        <w:tc>
          <w:tcPr>
            <w:tcW w:w="0" w:type="auto"/>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4.2 </w:t>
            </w:r>
          </w:p>
        </w:tc>
        <w:tc>
          <w:tcPr>
            <w:tcW w:w="0" w:type="auto"/>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5.1 </w:t>
            </w:r>
          </w:p>
        </w:tc>
        <w:tc>
          <w:tcPr>
            <w:tcW w:w="0" w:type="auto"/>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9374634"/>
          <w:jc w:val="center"/>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Paid during the period</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(0.6)</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349374634"/>
          <w:jc w:val="center"/>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Accrued charges as of June 30, 2021</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divId w:val="1599370412"/>
        <w:rPr>
          <w:rFonts w:eastAsia="Times New Roman"/>
        </w:rPr>
      </w:pPr>
    </w:p>
    <w:p w:rsidR="00000000" w:rsidRDefault="00967E53">
      <w:pPr>
        <w:ind w:firstLine="360"/>
        <w:jc w:val="center"/>
        <w:divId w:val="617564227"/>
        <w:rPr>
          <w:rFonts w:eastAsia="Times New Roman"/>
        </w:rPr>
      </w:pPr>
      <w:r>
        <w:rPr>
          <w:rFonts w:eastAsia="Times New Roman"/>
          <w:color w:val="000000"/>
          <w:sz w:val="20"/>
          <w:szCs w:val="20"/>
        </w:rPr>
        <w:t>18</w:t>
      </w:r>
    </w:p>
    <w:p w:rsidR="00000000" w:rsidRDefault="00967E53">
      <w:pPr>
        <w:rPr>
          <w:rFonts w:eastAsia="Times New Roman"/>
        </w:rPr>
      </w:pPr>
      <w:r>
        <w:rPr>
          <w:rFonts w:eastAsia="Times New Roman"/>
        </w:rPr>
        <w:pict>
          <v:rect id="_x0000_i1046" style="width:0;height:1.5pt" o:hralign="center" o:hrstd="t" o:hr="t" fillcolor="#a0a0a0" stroked="f"/>
        </w:pict>
      </w:r>
    </w:p>
    <w:p w:rsidR="00000000" w:rsidRDefault="00967E53">
      <w:pPr>
        <w:ind w:firstLine="360"/>
        <w:jc w:val="both"/>
        <w:divId w:val="1373966528"/>
        <w:rPr>
          <w:rFonts w:eastAsia="Times New Roman"/>
        </w:rPr>
      </w:pPr>
    </w:p>
    <w:p w:rsidR="00000000" w:rsidRDefault="00967E53">
      <w:pPr>
        <w:ind w:firstLine="360"/>
        <w:jc w:val="both"/>
        <w:divId w:val="479226352"/>
        <w:rPr>
          <w:rFonts w:eastAsia="Times New Roman"/>
        </w:rPr>
      </w:pPr>
    </w:p>
    <w:p w:rsidR="00000000" w:rsidRDefault="00967E53">
      <w:pPr>
        <w:divId w:val="948780139"/>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967E53">
      <w:pPr>
        <w:ind w:firstLine="360"/>
        <w:jc w:val="both"/>
        <w:divId w:val="2002157292"/>
        <w:rPr>
          <w:rFonts w:eastAsia="Times New Roman"/>
        </w:rPr>
      </w:pPr>
      <w:r>
        <w:rPr>
          <w:rFonts w:eastAsia="Times New Roman"/>
          <w:color w:val="000000"/>
          <w:sz w:val="20"/>
          <w:szCs w:val="20"/>
        </w:rPr>
        <w:t>The following discussion should be read in conjunction with our 2020 10-K Report and the unaudited Condensed Consolida</w:t>
      </w:r>
      <w:r>
        <w:rPr>
          <w:rFonts w:eastAsia="Times New Roman"/>
          <w:color w:val="000000"/>
          <w:sz w:val="20"/>
          <w:szCs w:val="20"/>
        </w:rPr>
        <w:t xml:space="preserve">ted Financial Statements and related Notes in Item 1 - Financial Statements of this 10-Q Report. A reference to a "Note" herein refers to the accompanying Notes to the Condensed Consolidated Financial Statements contained in Item 1 - Financial Statements. </w:t>
      </w:r>
      <w:r>
        <w:rPr>
          <w:rFonts w:eastAsia="Times New Roman"/>
          <w:color w:val="000000"/>
          <w:sz w:val="20"/>
          <w:szCs w:val="20"/>
        </w:rPr>
        <w:t xml:space="preserve">The following discussion may contain forward-looking statements, and our actual results may differ materially from the results suggested by these forward-looking statements. Some factors that may cause our results to differ are disclosed in Item 1A - Risk </w:t>
      </w:r>
      <w:r>
        <w:rPr>
          <w:rFonts w:eastAsia="Times New Roman"/>
          <w:color w:val="000000"/>
          <w:sz w:val="20"/>
          <w:szCs w:val="20"/>
        </w:rPr>
        <w:t>Factors of our 2020 10-K Report.</w:t>
      </w:r>
    </w:p>
    <w:p w:rsidR="00000000" w:rsidRDefault="00967E53">
      <w:pPr>
        <w:ind w:firstLine="180"/>
        <w:divId w:val="1240670739"/>
        <w:rPr>
          <w:rFonts w:eastAsia="Times New Roman"/>
        </w:rPr>
      </w:pPr>
      <w:r>
        <w:rPr>
          <w:rFonts w:eastAsia="Times New Roman"/>
          <w:b/>
          <w:bCs/>
          <w:color w:val="000000"/>
          <w:sz w:val="20"/>
          <w:szCs w:val="20"/>
        </w:rPr>
        <w:t>Forward-Looking Statements</w:t>
      </w:r>
    </w:p>
    <w:p w:rsidR="00000000" w:rsidRDefault="00967E53">
      <w:pPr>
        <w:ind w:firstLine="360"/>
        <w:jc w:val="both"/>
        <w:divId w:val="1404448668"/>
        <w:rPr>
          <w:rFonts w:eastAsia="Times New Roman"/>
        </w:rPr>
      </w:pPr>
      <w:r>
        <w:rPr>
          <w:rFonts w:eastAsia="Times New Roman"/>
          <w:color w:val="000000"/>
          <w:sz w:val="20"/>
          <w:szCs w:val="20"/>
        </w:rPr>
        <w:t>This 10-Q Report and the information incorporated by reference in it, or made by us in other reports, filings with the SEC, press releases, teleconferences, industry conferences or otherwise, cont</w:t>
      </w:r>
      <w:r>
        <w:rPr>
          <w:rFonts w:eastAsia="Times New Roman"/>
          <w:color w:val="000000"/>
          <w:sz w:val="20"/>
          <w:szCs w:val="20"/>
        </w:rPr>
        <w:t>ain “forward-looking statements” within the meaning of the Private Securities Litigation Reform Act of 1995. The forward-looking statements include, without limitation, any statement that may predict, forecast, indicate or imply future results, performance</w:t>
      </w:r>
      <w:r>
        <w:rPr>
          <w:rFonts w:eastAsia="Times New Roman"/>
          <w:color w:val="000000"/>
          <w:sz w:val="20"/>
          <w:szCs w:val="20"/>
        </w:rPr>
        <w:t xml:space="preserve"> or achievements, and may contain the words “believe,” “anticipate,” “expect,” “estimate,” “project,” “could,” “would,” “will,” “will be,” “will continue,” “plan,” or words or phrases of similar meaning. Specifically, this 10-Q Report includes forward-look</w:t>
      </w:r>
      <w:r>
        <w:rPr>
          <w:rFonts w:eastAsia="Times New Roman"/>
          <w:color w:val="000000"/>
          <w:sz w:val="20"/>
          <w:szCs w:val="20"/>
        </w:rPr>
        <w:t>ing statements regarding (i) the ultimate impact of the coronavirus pandemic, or COVID-19, and related travel restrictions on us and our customers, including our expectations about demand, volume, profitability and the impact of fuel prices, (ii) the condi</w:t>
      </w:r>
      <w:r>
        <w:rPr>
          <w:rFonts w:eastAsia="Times New Roman"/>
          <w:color w:val="000000"/>
          <w:sz w:val="20"/>
          <w:szCs w:val="20"/>
        </w:rPr>
        <w:t xml:space="preserve">tions in the aviation, land, and marine markets and their impact on our business, (iii) our expectations regarding reductions of government-related activity in Afghanistan with the North Atlantic Treaty Organization (NATO) and the timing and impact of the </w:t>
      </w:r>
      <w:r>
        <w:rPr>
          <w:rFonts w:eastAsia="Times New Roman"/>
          <w:color w:val="000000"/>
          <w:sz w:val="20"/>
          <w:szCs w:val="20"/>
        </w:rPr>
        <w:t>final troop withdrawals on our future sales, (iv) the effectiveness of our initiatives to reduce cost, improve liquidity and increase efficiencies, as well as the impact of such initiatives on our business, (v) our expectations regarding the reopening of o</w:t>
      </w:r>
      <w:r>
        <w:rPr>
          <w:rFonts w:eastAsia="Times New Roman"/>
          <w:color w:val="000000"/>
          <w:sz w:val="20"/>
          <w:szCs w:val="20"/>
        </w:rPr>
        <w:t xml:space="preserve">ur offices and the role of remote work in our operations, including any adjustments to our plans, (vi) growth strategies and our working capital, liquidity, capital expenditure requirements, (vii) the expected benefit of our land segment restructuring and </w:t>
      </w:r>
      <w:r>
        <w:rPr>
          <w:rFonts w:eastAsia="Times New Roman"/>
          <w:color w:val="000000"/>
          <w:sz w:val="20"/>
          <w:szCs w:val="20"/>
        </w:rPr>
        <w:t>its ability to create efficiencies and allow for greater scalability and quicker integration of new businesses to capture synergies, (viii) our expectations and estimates regarding certain tax, legal and accounting matters, including the impact on our fina</w:t>
      </w:r>
      <w:r>
        <w:rPr>
          <w:rFonts w:eastAsia="Times New Roman"/>
          <w:color w:val="000000"/>
          <w:sz w:val="20"/>
          <w:szCs w:val="20"/>
        </w:rPr>
        <w:t>ncial statements, (ix) our expectations regarding the financial impact and other benefits of previous acquisitions, including estimates of future expenses and our ability to realize estimated synergies, and (x) estimates regarding the financial impact of o</w:t>
      </w:r>
      <w:r>
        <w:rPr>
          <w:rFonts w:eastAsia="Times New Roman"/>
          <w:color w:val="000000"/>
          <w:sz w:val="20"/>
          <w:szCs w:val="20"/>
        </w:rPr>
        <w:t>ur derivative contracts. These forward-looking statements are qualified in their entirety by cautionary statements and risk factor disclosures contained in our SEC filings.</w:t>
      </w:r>
    </w:p>
    <w:p w:rsidR="00000000" w:rsidRDefault="00967E53">
      <w:pPr>
        <w:ind w:firstLine="360"/>
        <w:jc w:val="both"/>
        <w:divId w:val="469859429"/>
        <w:rPr>
          <w:rFonts w:eastAsia="Times New Roman"/>
        </w:rPr>
      </w:pPr>
      <w:r>
        <w:rPr>
          <w:rFonts w:eastAsia="Times New Roman"/>
          <w:color w:val="000000"/>
          <w:sz w:val="20"/>
          <w:szCs w:val="20"/>
        </w:rPr>
        <w:t xml:space="preserve">These forward-looking statements are estimates and projections reflecting our best </w:t>
      </w:r>
      <w:r>
        <w:rPr>
          <w:rFonts w:eastAsia="Times New Roman"/>
          <w:color w:val="000000"/>
          <w:sz w:val="20"/>
          <w:szCs w:val="20"/>
        </w:rPr>
        <w:t>judgment and involve risks, uncertainties or other factors relating to our operations and business environment, all of which are difficult to predict and many of which are beyond our control. Although we believe the estimates and projections reflected in t</w:t>
      </w:r>
      <w:r>
        <w:rPr>
          <w:rFonts w:eastAsia="Times New Roman"/>
          <w:color w:val="000000"/>
          <w:sz w:val="20"/>
          <w:szCs w:val="20"/>
        </w:rPr>
        <w:t>he forward-looking statements are reasonable, our expectations may prove to be incorrect. Our actual results may differ materially from the future results, performance or achievements expressed or implied by the forward-looking statements.</w:t>
      </w:r>
    </w:p>
    <w:p w:rsidR="00000000" w:rsidRDefault="00967E53">
      <w:pPr>
        <w:ind w:firstLine="360"/>
        <w:jc w:val="both"/>
        <w:divId w:val="1835488759"/>
        <w:rPr>
          <w:rFonts w:eastAsia="Times New Roman"/>
        </w:rPr>
      </w:pPr>
      <w:r>
        <w:rPr>
          <w:rFonts w:eastAsia="Times New Roman"/>
          <w:color w:val="000000"/>
          <w:sz w:val="20"/>
          <w:szCs w:val="20"/>
        </w:rPr>
        <w:t>Important factor</w:t>
      </w:r>
      <w:r>
        <w:rPr>
          <w:rFonts w:eastAsia="Times New Roman"/>
          <w:color w:val="000000"/>
          <w:sz w:val="20"/>
          <w:szCs w:val="20"/>
        </w:rPr>
        <w:t>s that could cause actual results to differ materially from the results and events anticipated or implied by such forward-looking statements include, but are not limited to:</w:t>
      </w:r>
    </w:p>
    <w:p w:rsidR="00000000" w:rsidRDefault="00967E53">
      <w:pPr>
        <w:ind w:hanging="360"/>
        <w:jc w:val="both"/>
        <w:divId w:val="2050648020"/>
        <w:rPr>
          <w:rFonts w:eastAsia="Times New Roman"/>
        </w:rPr>
      </w:pPr>
      <w:r>
        <w:rPr>
          <w:rFonts w:eastAsia="Times New Roman"/>
          <w:color w:val="000000"/>
          <w:sz w:val="20"/>
          <w:szCs w:val="20"/>
        </w:rPr>
        <w:t>•customer and counterparty creditworthiness and our ability to collect accounts re</w:t>
      </w:r>
      <w:r>
        <w:rPr>
          <w:rFonts w:eastAsia="Times New Roman"/>
          <w:color w:val="000000"/>
          <w:sz w:val="20"/>
          <w:szCs w:val="20"/>
        </w:rPr>
        <w:t>ceivable and settle derivative contracts, particularly for those customers most significantly impacted by the COVID-19 pandemic;</w:t>
      </w:r>
    </w:p>
    <w:p w:rsidR="00000000" w:rsidRDefault="00967E53">
      <w:pPr>
        <w:ind w:hanging="360"/>
        <w:jc w:val="both"/>
        <w:divId w:val="1363700547"/>
        <w:rPr>
          <w:rFonts w:eastAsia="Times New Roman"/>
        </w:rPr>
      </w:pPr>
      <w:r>
        <w:rPr>
          <w:rFonts w:eastAsia="Times New Roman"/>
          <w:color w:val="000000"/>
          <w:sz w:val="20"/>
          <w:szCs w:val="20"/>
        </w:rPr>
        <w:t xml:space="preserve">•the extent of the impact of the pandemic, including the duration, spread, severity and scope of related government orders and </w:t>
      </w:r>
      <w:r>
        <w:rPr>
          <w:rFonts w:eastAsia="Times New Roman"/>
          <w:color w:val="000000"/>
          <w:sz w:val="20"/>
          <w:szCs w:val="20"/>
        </w:rPr>
        <w:t xml:space="preserve">restrictions, on ours and our customers' sales, profitability, operations and supply chains; </w:t>
      </w:r>
    </w:p>
    <w:p w:rsidR="00000000" w:rsidRDefault="00967E53">
      <w:pPr>
        <w:ind w:hanging="360"/>
        <w:jc w:val="both"/>
        <w:divId w:val="348457398"/>
        <w:rPr>
          <w:rFonts w:eastAsia="Times New Roman"/>
        </w:rPr>
      </w:pPr>
      <w:r>
        <w:rPr>
          <w:rFonts w:eastAsia="Times New Roman"/>
          <w:color w:val="000000"/>
          <w:sz w:val="20"/>
          <w:szCs w:val="20"/>
        </w:rPr>
        <w:t>•loss of, or reduced sales to a significant government customer, such as NATO;</w:t>
      </w:r>
    </w:p>
    <w:p w:rsidR="00000000" w:rsidRDefault="00967E53">
      <w:pPr>
        <w:ind w:hanging="360"/>
        <w:jc w:val="both"/>
        <w:divId w:val="380325039"/>
        <w:rPr>
          <w:rFonts w:eastAsia="Times New Roman"/>
        </w:rPr>
      </w:pPr>
      <w:r>
        <w:rPr>
          <w:rFonts w:eastAsia="Times New Roman"/>
          <w:color w:val="000000"/>
          <w:sz w:val="20"/>
          <w:szCs w:val="20"/>
        </w:rPr>
        <w:t>•adverse conditions in the industries in which our customers operate, such as the c</w:t>
      </w:r>
      <w:r>
        <w:rPr>
          <w:rFonts w:eastAsia="Times New Roman"/>
          <w:color w:val="000000"/>
          <w:sz w:val="20"/>
          <w:szCs w:val="20"/>
        </w:rPr>
        <w:t>urrent global economic environment as a result of the pandemic;</w:t>
      </w:r>
    </w:p>
    <w:p w:rsidR="00000000" w:rsidRDefault="00967E53">
      <w:pPr>
        <w:ind w:hanging="360"/>
        <w:jc w:val="both"/>
        <w:divId w:val="2120758778"/>
        <w:rPr>
          <w:rFonts w:eastAsia="Times New Roman"/>
        </w:rPr>
      </w:pPr>
      <w:r>
        <w:rPr>
          <w:rFonts w:eastAsia="Times New Roman"/>
          <w:color w:val="000000"/>
          <w:sz w:val="20"/>
          <w:szCs w:val="20"/>
        </w:rPr>
        <w:t>•sudden changes in the market price of fuel or extremely high or low fuel prices that continue for an extended period of time;</w:t>
      </w:r>
    </w:p>
    <w:p w:rsidR="00000000" w:rsidRDefault="00967E53">
      <w:pPr>
        <w:ind w:hanging="360"/>
        <w:jc w:val="both"/>
        <w:divId w:val="1445273111"/>
        <w:rPr>
          <w:rFonts w:eastAsia="Times New Roman"/>
        </w:rPr>
      </w:pPr>
      <w:r>
        <w:rPr>
          <w:rFonts w:eastAsia="Times New Roman"/>
          <w:color w:val="000000"/>
          <w:sz w:val="20"/>
          <w:szCs w:val="20"/>
        </w:rPr>
        <w:t>•our failure to comply with restrictions and covenants in our sen</w:t>
      </w:r>
      <w:r>
        <w:rPr>
          <w:rFonts w:eastAsia="Times New Roman"/>
          <w:color w:val="000000"/>
          <w:sz w:val="20"/>
          <w:szCs w:val="20"/>
        </w:rPr>
        <w:t>ior revolving credit facility (“Credit Facility”) and our senior term loans (“Term Loans”), including our financial covenants;</w:t>
      </w:r>
    </w:p>
    <w:p w:rsidR="00000000" w:rsidRDefault="00967E53">
      <w:pPr>
        <w:ind w:hanging="360"/>
        <w:jc w:val="both"/>
        <w:divId w:val="1863736281"/>
        <w:rPr>
          <w:rFonts w:eastAsia="Times New Roman"/>
        </w:rPr>
      </w:pPr>
      <w:r>
        <w:rPr>
          <w:rFonts w:eastAsia="Times New Roman"/>
          <w:color w:val="000000"/>
          <w:sz w:val="20"/>
          <w:szCs w:val="20"/>
        </w:rPr>
        <w:t>•changes in the political, economic or regulatory environment generally and in the markets in which we operate, such as legislati</w:t>
      </w:r>
      <w:r>
        <w:rPr>
          <w:rFonts w:eastAsia="Times New Roman"/>
          <w:color w:val="000000"/>
          <w:sz w:val="20"/>
          <w:szCs w:val="20"/>
        </w:rPr>
        <w:t>on enacted in response to climate change;</w:t>
      </w:r>
    </w:p>
    <w:p w:rsidR="00000000" w:rsidRDefault="00967E53">
      <w:pPr>
        <w:ind w:hanging="360"/>
        <w:jc w:val="both"/>
        <w:divId w:val="814100255"/>
        <w:rPr>
          <w:rFonts w:eastAsia="Times New Roman"/>
        </w:rPr>
      </w:pPr>
      <w:r>
        <w:rPr>
          <w:rFonts w:eastAsia="Times New Roman"/>
          <w:color w:val="000000"/>
          <w:sz w:val="20"/>
          <w:szCs w:val="20"/>
        </w:rPr>
        <w:t>•our failure to effectively hedge certain financial risks and other risks associated with derivatives;</w:t>
      </w:r>
    </w:p>
    <w:p w:rsidR="00000000" w:rsidRDefault="00967E53">
      <w:pPr>
        <w:ind w:hanging="360"/>
        <w:jc w:val="both"/>
        <w:divId w:val="1077482198"/>
        <w:rPr>
          <w:rFonts w:eastAsia="Times New Roman"/>
        </w:rPr>
      </w:pPr>
      <w:r>
        <w:rPr>
          <w:rFonts w:eastAsia="Times New Roman"/>
          <w:color w:val="000000"/>
          <w:sz w:val="20"/>
          <w:szCs w:val="20"/>
        </w:rPr>
        <w:t>•changes in credit terms extended to us from our suppliers;</w:t>
      </w:r>
    </w:p>
    <w:p w:rsidR="00000000" w:rsidRDefault="00967E53">
      <w:pPr>
        <w:ind w:hanging="360"/>
        <w:jc w:val="both"/>
        <w:divId w:val="773747244"/>
        <w:rPr>
          <w:rFonts w:eastAsia="Times New Roman"/>
        </w:rPr>
      </w:pPr>
      <w:r>
        <w:rPr>
          <w:rFonts w:eastAsia="Times New Roman"/>
          <w:color w:val="000000"/>
          <w:sz w:val="20"/>
          <w:szCs w:val="20"/>
        </w:rPr>
        <w:t>•non-performance of suppliers on their sale commitm</w:t>
      </w:r>
      <w:r>
        <w:rPr>
          <w:rFonts w:eastAsia="Times New Roman"/>
          <w:color w:val="000000"/>
          <w:sz w:val="20"/>
          <w:szCs w:val="20"/>
        </w:rPr>
        <w:t>ents and customers on their purchase commitments;</w:t>
      </w:r>
    </w:p>
    <w:p w:rsidR="00000000" w:rsidRDefault="00967E53">
      <w:pPr>
        <w:ind w:firstLine="360"/>
        <w:jc w:val="center"/>
        <w:divId w:val="814491907"/>
        <w:rPr>
          <w:rFonts w:eastAsia="Times New Roman"/>
        </w:rPr>
      </w:pPr>
      <w:r>
        <w:rPr>
          <w:rFonts w:eastAsia="Times New Roman"/>
          <w:color w:val="000000"/>
          <w:sz w:val="20"/>
          <w:szCs w:val="20"/>
        </w:rPr>
        <w:t>19</w:t>
      </w:r>
    </w:p>
    <w:p w:rsidR="00000000" w:rsidRDefault="00967E53">
      <w:pPr>
        <w:rPr>
          <w:rFonts w:eastAsia="Times New Roman"/>
        </w:rPr>
      </w:pPr>
      <w:r>
        <w:rPr>
          <w:rFonts w:eastAsia="Times New Roman"/>
        </w:rPr>
        <w:pict>
          <v:rect id="_x0000_i1047" style="width:0;height:1.5pt" o:hralign="center" o:hrstd="t" o:hr="t" fillcolor="#a0a0a0" stroked="f"/>
        </w:pict>
      </w:r>
    </w:p>
    <w:p w:rsidR="00000000" w:rsidRDefault="00967E53">
      <w:pPr>
        <w:ind w:firstLine="360"/>
        <w:jc w:val="both"/>
        <w:divId w:val="2036271956"/>
        <w:rPr>
          <w:rFonts w:eastAsia="Times New Roman"/>
        </w:rPr>
      </w:pPr>
    </w:p>
    <w:p w:rsidR="00000000" w:rsidRDefault="00967E53">
      <w:pPr>
        <w:ind w:firstLine="360"/>
        <w:jc w:val="both"/>
        <w:divId w:val="410933115"/>
        <w:rPr>
          <w:rFonts w:eastAsia="Times New Roman"/>
        </w:rPr>
      </w:pPr>
    </w:p>
    <w:p w:rsidR="00000000" w:rsidRDefault="00967E53">
      <w:pPr>
        <w:ind w:hanging="360"/>
        <w:jc w:val="both"/>
        <w:divId w:val="1158494154"/>
        <w:rPr>
          <w:rFonts w:eastAsia="Times New Roman"/>
        </w:rPr>
      </w:pPr>
      <w:r>
        <w:rPr>
          <w:rFonts w:eastAsia="Times New Roman"/>
          <w:color w:val="000000"/>
          <w:sz w:val="20"/>
          <w:szCs w:val="20"/>
        </w:rPr>
        <w:t>•non-performance of third-party service providers;</w:t>
      </w:r>
    </w:p>
    <w:p w:rsidR="00000000" w:rsidRDefault="00967E53">
      <w:pPr>
        <w:ind w:hanging="360"/>
        <w:jc w:val="both"/>
        <w:divId w:val="1423406164"/>
        <w:rPr>
          <w:rFonts w:eastAsia="Times New Roman"/>
        </w:rPr>
      </w:pPr>
      <w:r>
        <w:rPr>
          <w:rFonts w:eastAsia="Times New Roman"/>
          <w:color w:val="000000"/>
          <w:sz w:val="20"/>
          <w:szCs w:val="20"/>
        </w:rPr>
        <w:t>•</w:t>
      </w:r>
      <w:r>
        <w:rPr>
          <w:rFonts w:eastAsia="Times New Roman"/>
          <w:color w:val="000000"/>
          <w:sz w:val="20"/>
          <w:szCs w:val="20"/>
        </w:rPr>
        <w:t>our ability to meet financial forecasts associated with our operating plan;</w:t>
      </w:r>
    </w:p>
    <w:p w:rsidR="00000000" w:rsidRDefault="00967E53">
      <w:pPr>
        <w:ind w:hanging="360"/>
        <w:jc w:val="both"/>
        <w:divId w:val="1455169610"/>
        <w:rPr>
          <w:rFonts w:eastAsia="Times New Roman"/>
        </w:rPr>
      </w:pPr>
      <w:r>
        <w:rPr>
          <w:rFonts w:eastAsia="Times New Roman"/>
          <w:color w:val="000000"/>
          <w:sz w:val="20"/>
          <w:szCs w:val="20"/>
        </w:rPr>
        <w:t>•lower than expected cash flows and revenues, which could impair our ability to realize the value of recorded intangible assets and goodwill;</w:t>
      </w:r>
    </w:p>
    <w:p w:rsidR="00000000" w:rsidRDefault="00967E53">
      <w:pPr>
        <w:ind w:hanging="360"/>
        <w:jc w:val="both"/>
        <w:divId w:val="942421132"/>
        <w:rPr>
          <w:rFonts w:eastAsia="Times New Roman"/>
        </w:rPr>
      </w:pPr>
      <w:r>
        <w:rPr>
          <w:rFonts w:eastAsia="Times New Roman"/>
          <w:color w:val="000000"/>
          <w:sz w:val="20"/>
          <w:szCs w:val="20"/>
        </w:rPr>
        <w:t>•the availability of cash and sufficie</w:t>
      </w:r>
      <w:r>
        <w:rPr>
          <w:rFonts w:eastAsia="Times New Roman"/>
          <w:color w:val="000000"/>
          <w:sz w:val="20"/>
          <w:szCs w:val="20"/>
        </w:rPr>
        <w:t>nt liquidity to fund our working capital and strategic investment needs;</w:t>
      </w:r>
    </w:p>
    <w:p w:rsidR="00000000" w:rsidRDefault="00967E53">
      <w:pPr>
        <w:ind w:hanging="360"/>
        <w:jc w:val="both"/>
        <w:divId w:val="1922593831"/>
        <w:rPr>
          <w:rFonts w:eastAsia="Times New Roman"/>
        </w:rPr>
      </w:pPr>
      <w:r>
        <w:rPr>
          <w:rFonts w:eastAsia="Times New Roman"/>
          <w:color w:val="000000"/>
          <w:sz w:val="20"/>
          <w:szCs w:val="20"/>
        </w:rPr>
        <w:t>•the impact of cyber and other information security-related incidents;</w:t>
      </w:r>
    </w:p>
    <w:p w:rsidR="00000000" w:rsidRDefault="00967E53">
      <w:pPr>
        <w:ind w:hanging="360"/>
        <w:jc w:val="both"/>
        <w:divId w:val="700201590"/>
        <w:rPr>
          <w:rFonts w:eastAsia="Times New Roman"/>
        </w:rPr>
      </w:pPr>
      <w:r>
        <w:rPr>
          <w:rFonts w:eastAsia="Times New Roman"/>
          <w:color w:val="000000"/>
          <w:sz w:val="20"/>
          <w:szCs w:val="20"/>
        </w:rPr>
        <w:t>•currency exchange fluctuations;</w:t>
      </w:r>
    </w:p>
    <w:p w:rsidR="00000000" w:rsidRDefault="00967E53">
      <w:pPr>
        <w:ind w:hanging="360"/>
        <w:jc w:val="both"/>
        <w:divId w:val="1709643212"/>
        <w:rPr>
          <w:rFonts w:eastAsia="Times New Roman"/>
        </w:rPr>
      </w:pPr>
      <w:r>
        <w:rPr>
          <w:rFonts w:eastAsia="Times New Roman"/>
          <w:color w:val="000000"/>
          <w:sz w:val="20"/>
          <w:szCs w:val="20"/>
        </w:rPr>
        <w:t>•ability to effectively leverage technology and operating systems and realize t</w:t>
      </w:r>
      <w:r>
        <w:rPr>
          <w:rFonts w:eastAsia="Times New Roman"/>
          <w:color w:val="000000"/>
          <w:sz w:val="20"/>
          <w:szCs w:val="20"/>
        </w:rPr>
        <w:t xml:space="preserve">he anticipated benefits; </w:t>
      </w:r>
    </w:p>
    <w:p w:rsidR="00000000" w:rsidRDefault="00967E53">
      <w:pPr>
        <w:ind w:hanging="360"/>
        <w:jc w:val="both"/>
        <w:divId w:val="1067998921"/>
        <w:rPr>
          <w:rFonts w:eastAsia="Times New Roman"/>
        </w:rPr>
      </w:pPr>
      <w:r>
        <w:rPr>
          <w:rFonts w:eastAsia="Times New Roman"/>
          <w:color w:val="000000"/>
          <w:sz w:val="20"/>
          <w:szCs w:val="20"/>
        </w:rPr>
        <w:t>•failure to meet fuel and other products specifications agreed with our customers;</w:t>
      </w:r>
    </w:p>
    <w:p w:rsidR="00000000" w:rsidRDefault="00967E53">
      <w:pPr>
        <w:ind w:hanging="360"/>
        <w:jc w:val="both"/>
        <w:divId w:val="1793401369"/>
        <w:rPr>
          <w:rFonts w:eastAsia="Times New Roman"/>
        </w:rPr>
      </w:pPr>
      <w:r>
        <w:rPr>
          <w:rFonts w:eastAsia="Times New Roman"/>
          <w:color w:val="000000"/>
          <w:sz w:val="20"/>
          <w:szCs w:val="20"/>
        </w:rPr>
        <w:t>•</w:t>
      </w:r>
      <w:r>
        <w:rPr>
          <w:rFonts w:eastAsia="Times New Roman"/>
          <w:color w:val="000000"/>
          <w:sz w:val="20"/>
          <w:szCs w:val="20"/>
        </w:rPr>
        <w:t>our ability to effectively integrate and derive benefits from acquired businesses;</w:t>
      </w:r>
    </w:p>
    <w:p w:rsidR="00000000" w:rsidRDefault="00967E53">
      <w:pPr>
        <w:ind w:hanging="360"/>
        <w:jc w:val="both"/>
        <w:divId w:val="663435990"/>
        <w:rPr>
          <w:rFonts w:eastAsia="Times New Roman"/>
        </w:rPr>
      </w:pPr>
      <w:r>
        <w:rPr>
          <w:rFonts w:eastAsia="Times New Roman"/>
          <w:color w:val="000000"/>
          <w:sz w:val="20"/>
          <w:szCs w:val="20"/>
        </w:rPr>
        <w:t>•our ability to achieve the expected level of benefit from our restructuring activities and cost reduction initiatives;</w:t>
      </w:r>
    </w:p>
    <w:p w:rsidR="00000000" w:rsidRDefault="00967E53">
      <w:pPr>
        <w:ind w:hanging="360"/>
        <w:jc w:val="both"/>
        <w:divId w:val="920261857"/>
        <w:rPr>
          <w:rFonts w:eastAsia="Times New Roman"/>
        </w:rPr>
      </w:pPr>
      <w:r>
        <w:rPr>
          <w:rFonts w:eastAsia="Times New Roman"/>
          <w:color w:val="000000"/>
          <w:sz w:val="20"/>
          <w:szCs w:val="20"/>
        </w:rPr>
        <w:t>•environmental and other risks associated with the st</w:t>
      </w:r>
      <w:r>
        <w:rPr>
          <w:rFonts w:eastAsia="Times New Roman"/>
          <w:color w:val="000000"/>
          <w:sz w:val="20"/>
          <w:szCs w:val="20"/>
        </w:rPr>
        <w:t>orage, transportation and delivery of petroleum products;</w:t>
      </w:r>
    </w:p>
    <w:p w:rsidR="00000000" w:rsidRDefault="00967E53">
      <w:pPr>
        <w:ind w:hanging="360"/>
        <w:jc w:val="both"/>
        <w:divId w:val="300842646"/>
        <w:rPr>
          <w:rFonts w:eastAsia="Times New Roman"/>
        </w:rPr>
      </w:pPr>
      <w:r>
        <w:rPr>
          <w:rFonts w:eastAsia="Times New Roman"/>
          <w:color w:val="000000"/>
          <w:sz w:val="20"/>
          <w:szCs w:val="20"/>
        </w:rPr>
        <w:t>•risks associated with operating in high-risk locations, including supply disruptions, border closures and other logistical difficulties that arise when working in these areas;</w:t>
      </w:r>
    </w:p>
    <w:p w:rsidR="00000000" w:rsidRDefault="00967E53">
      <w:pPr>
        <w:ind w:hanging="360"/>
        <w:jc w:val="both"/>
        <w:divId w:val="1830367818"/>
        <w:rPr>
          <w:rFonts w:eastAsia="Times New Roman"/>
        </w:rPr>
      </w:pPr>
      <w:r>
        <w:rPr>
          <w:rFonts w:eastAsia="Times New Roman"/>
          <w:color w:val="000000"/>
          <w:sz w:val="20"/>
          <w:szCs w:val="20"/>
        </w:rPr>
        <w:t>•uninsured or underin</w:t>
      </w:r>
      <w:r>
        <w:rPr>
          <w:rFonts w:eastAsia="Times New Roman"/>
          <w:color w:val="000000"/>
          <w:sz w:val="20"/>
          <w:szCs w:val="20"/>
        </w:rPr>
        <w:t>sured losses;</w:t>
      </w:r>
    </w:p>
    <w:p w:rsidR="00000000" w:rsidRDefault="00967E53">
      <w:pPr>
        <w:ind w:hanging="360"/>
        <w:jc w:val="both"/>
        <w:divId w:val="1638099521"/>
        <w:rPr>
          <w:rFonts w:eastAsia="Times New Roman"/>
        </w:rPr>
      </w:pPr>
      <w:r>
        <w:rPr>
          <w:rFonts w:eastAsia="Times New Roman"/>
          <w:color w:val="000000"/>
          <w:sz w:val="20"/>
          <w:szCs w:val="20"/>
        </w:rPr>
        <w:t>•seasonal variability that adversely affects our revenues and operating results, as well as the impact of natural disasters, such as earthquakes, hurricanes and wildfires;</w:t>
      </w:r>
    </w:p>
    <w:p w:rsidR="00000000" w:rsidRDefault="00967E53">
      <w:pPr>
        <w:ind w:hanging="360"/>
        <w:jc w:val="both"/>
        <w:divId w:val="1518226779"/>
        <w:rPr>
          <w:rFonts w:eastAsia="Times New Roman"/>
        </w:rPr>
      </w:pPr>
      <w:r>
        <w:rPr>
          <w:rFonts w:eastAsia="Times New Roman"/>
          <w:color w:val="000000"/>
          <w:sz w:val="20"/>
          <w:szCs w:val="20"/>
        </w:rPr>
        <w:t>•declines in the value and liquidity of cash equivalents and investmen</w:t>
      </w:r>
      <w:r>
        <w:rPr>
          <w:rFonts w:eastAsia="Times New Roman"/>
          <w:color w:val="000000"/>
          <w:sz w:val="20"/>
          <w:szCs w:val="20"/>
        </w:rPr>
        <w:t>ts;</w:t>
      </w:r>
    </w:p>
    <w:p w:rsidR="00000000" w:rsidRDefault="00967E53">
      <w:pPr>
        <w:ind w:hanging="360"/>
        <w:jc w:val="both"/>
        <w:divId w:val="881477877"/>
        <w:rPr>
          <w:rFonts w:eastAsia="Times New Roman"/>
        </w:rPr>
      </w:pPr>
      <w:r>
        <w:rPr>
          <w:rFonts w:eastAsia="Times New Roman"/>
          <w:color w:val="000000"/>
          <w:sz w:val="20"/>
          <w:szCs w:val="20"/>
        </w:rPr>
        <w:t>•our ability to retain and attract senior management and other key employees;</w:t>
      </w:r>
    </w:p>
    <w:p w:rsidR="00000000" w:rsidRDefault="00967E53">
      <w:pPr>
        <w:ind w:hanging="360"/>
        <w:jc w:val="both"/>
        <w:divId w:val="265893525"/>
        <w:rPr>
          <w:rFonts w:eastAsia="Times New Roman"/>
        </w:rPr>
      </w:pPr>
      <w:r>
        <w:rPr>
          <w:rFonts w:eastAsia="Times New Roman"/>
          <w:color w:val="000000"/>
          <w:sz w:val="20"/>
          <w:szCs w:val="20"/>
        </w:rPr>
        <w:t xml:space="preserve">•changes in U.S. or foreign tax laws, interpretations of such laws, changes in the mix of taxable income among different tax jurisdictions, or adverse results of tax audits, </w:t>
      </w:r>
      <w:r>
        <w:rPr>
          <w:rFonts w:eastAsia="Times New Roman"/>
          <w:color w:val="000000"/>
          <w:sz w:val="20"/>
          <w:szCs w:val="20"/>
        </w:rPr>
        <w:t>assessments, or disputes;</w:t>
      </w:r>
    </w:p>
    <w:p w:rsidR="00000000" w:rsidRDefault="00967E53">
      <w:pPr>
        <w:ind w:hanging="360"/>
        <w:jc w:val="both"/>
        <w:divId w:val="175314226"/>
        <w:rPr>
          <w:rFonts w:eastAsia="Times New Roman"/>
        </w:rPr>
      </w:pPr>
      <w:r>
        <w:rPr>
          <w:rFonts w:eastAsia="Times New Roman"/>
          <w:color w:val="000000"/>
          <w:sz w:val="20"/>
          <w:szCs w:val="20"/>
        </w:rPr>
        <w:t>•our failure to generate sufficient future taxable income in jurisdictions with material deferred tax assets and net operating loss carryforwards;</w:t>
      </w:r>
    </w:p>
    <w:p w:rsidR="00000000" w:rsidRDefault="00967E53">
      <w:pPr>
        <w:ind w:hanging="360"/>
        <w:jc w:val="both"/>
        <w:divId w:val="852652737"/>
        <w:rPr>
          <w:rFonts w:eastAsia="Times New Roman"/>
        </w:rPr>
      </w:pPr>
      <w:r>
        <w:rPr>
          <w:rFonts w:eastAsia="Times New Roman"/>
          <w:color w:val="000000"/>
          <w:sz w:val="20"/>
          <w:szCs w:val="20"/>
        </w:rPr>
        <w:t>•the impact of the U.K.’s exit from the European Union, known as Brexit, on our bus</w:t>
      </w:r>
      <w:r>
        <w:rPr>
          <w:rFonts w:eastAsia="Times New Roman"/>
          <w:color w:val="000000"/>
          <w:sz w:val="20"/>
          <w:szCs w:val="20"/>
        </w:rPr>
        <w:t>iness, operations and financial condition;</w:t>
      </w:r>
    </w:p>
    <w:p w:rsidR="00000000" w:rsidRDefault="00967E53">
      <w:pPr>
        <w:ind w:hanging="360"/>
        <w:jc w:val="both"/>
        <w:divId w:val="2071534719"/>
        <w:rPr>
          <w:rFonts w:eastAsia="Times New Roman"/>
        </w:rPr>
      </w:pPr>
      <w:r>
        <w:rPr>
          <w:rFonts w:eastAsia="Times New Roman"/>
          <w:color w:val="000000"/>
          <w:sz w:val="20"/>
          <w:szCs w:val="20"/>
        </w:rPr>
        <w:t>•our ability to comply with U.S. and international laws and regulations, including those related to anti-corruption, economic sanction programs and environmental matters;</w:t>
      </w:r>
    </w:p>
    <w:p w:rsidR="00000000" w:rsidRDefault="00967E53">
      <w:pPr>
        <w:ind w:hanging="360"/>
        <w:jc w:val="both"/>
        <w:divId w:val="1347824710"/>
        <w:rPr>
          <w:rFonts w:eastAsia="Times New Roman"/>
        </w:rPr>
      </w:pPr>
      <w:r>
        <w:rPr>
          <w:rFonts w:eastAsia="Times New Roman"/>
          <w:color w:val="000000"/>
          <w:sz w:val="20"/>
          <w:szCs w:val="20"/>
        </w:rPr>
        <w:t>•the outcome of litigation and other proce</w:t>
      </w:r>
      <w:r>
        <w:rPr>
          <w:rFonts w:eastAsia="Times New Roman"/>
          <w:color w:val="000000"/>
          <w:sz w:val="20"/>
          <w:szCs w:val="20"/>
        </w:rPr>
        <w:t>edings, including the costs associated in defending any actions;</w:t>
      </w:r>
    </w:p>
    <w:p w:rsidR="00000000" w:rsidRDefault="00967E53">
      <w:pPr>
        <w:ind w:hanging="360"/>
        <w:jc w:val="both"/>
        <w:divId w:val="550389437"/>
        <w:rPr>
          <w:rFonts w:eastAsia="Times New Roman"/>
        </w:rPr>
      </w:pPr>
      <w:r>
        <w:rPr>
          <w:rFonts w:eastAsia="Times New Roman"/>
          <w:color w:val="000000"/>
          <w:sz w:val="20"/>
          <w:szCs w:val="20"/>
        </w:rPr>
        <w:t>•increases in interest rates; and</w:t>
      </w:r>
    </w:p>
    <w:p w:rsidR="00000000" w:rsidRDefault="00967E53">
      <w:pPr>
        <w:ind w:hanging="360"/>
        <w:jc w:val="both"/>
        <w:divId w:val="1750806024"/>
        <w:rPr>
          <w:rFonts w:eastAsia="Times New Roman"/>
        </w:rPr>
      </w:pPr>
      <w:r>
        <w:rPr>
          <w:rFonts w:eastAsia="Times New Roman"/>
          <w:color w:val="000000"/>
          <w:sz w:val="20"/>
          <w:szCs w:val="20"/>
        </w:rPr>
        <w:t xml:space="preserve">•other risks, including those described in Item 1A - Risk Factors in our 2020 10-K Report, as well as those described from time to time in our other filings </w:t>
      </w:r>
      <w:r>
        <w:rPr>
          <w:rFonts w:eastAsia="Times New Roman"/>
          <w:color w:val="000000"/>
          <w:sz w:val="20"/>
          <w:szCs w:val="20"/>
        </w:rPr>
        <w:t>with the SEC.</w:t>
      </w:r>
    </w:p>
    <w:p w:rsidR="00000000" w:rsidRDefault="00967E53">
      <w:pPr>
        <w:ind w:firstLine="360"/>
        <w:jc w:val="both"/>
        <w:divId w:val="2065785081"/>
        <w:rPr>
          <w:rFonts w:eastAsia="Times New Roman"/>
        </w:rPr>
      </w:pPr>
      <w:r>
        <w:rPr>
          <w:rFonts w:eastAsia="Times New Roman"/>
          <w:color w:val="000000"/>
          <w:sz w:val="20"/>
          <w:szCs w:val="20"/>
        </w:rPr>
        <w:t>We operate in a very competitive and rapidly changing environment. New risks emerge from time to time. It is not possible for us to predict all of those risks, nor can we assess the impact of all of those risks on our business or the extent t</w:t>
      </w:r>
      <w:r>
        <w:rPr>
          <w:rFonts w:eastAsia="Times New Roman"/>
          <w:color w:val="000000"/>
          <w:sz w:val="20"/>
          <w:szCs w:val="20"/>
        </w:rPr>
        <w:t>o which any factor may cause actual results to differ materially from those contained in any forward-looking statement. Further, forward-looking statements speak only as of the date they are made, and unless required by law, we expressly disclaim any oblig</w:t>
      </w:r>
      <w:r>
        <w:rPr>
          <w:rFonts w:eastAsia="Times New Roman"/>
          <w:color w:val="000000"/>
          <w:sz w:val="20"/>
          <w:szCs w:val="20"/>
        </w:rPr>
        <w:t>ation or undertaking to publicly update any of them in light of new information, future events, or otherwise. Any public statements or disclosures by us following this report that modify or impact any of the forward-looking statements contained in or accom</w:t>
      </w:r>
      <w:r>
        <w:rPr>
          <w:rFonts w:eastAsia="Times New Roman"/>
          <w:color w:val="000000"/>
          <w:sz w:val="20"/>
          <w:szCs w:val="20"/>
        </w:rPr>
        <w:t>panying this 10-Q Report will be deemed to modify or supersede such forward-looking statements.</w:t>
      </w:r>
    </w:p>
    <w:p w:rsidR="00000000" w:rsidRDefault="00967E53">
      <w:pPr>
        <w:ind w:firstLine="360"/>
        <w:jc w:val="both"/>
        <w:divId w:val="1556770790"/>
        <w:rPr>
          <w:rFonts w:eastAsia="Times New Roman"/>
        </w:rPr>
      </w:pPr>
      <w:r>
        <w:rPr>
          <w:rFonts w:eastAsia="Times New Roman"/>
          <w:color w:val="000000"/>
          <w:sz w:val="20"/>
          <w:szCs w:val="20"/>
        </w:rPr>
        <w:t>For these statements, we claim the protection of the safe harbor for forward-looking statements contained in Section 27A of the Securities Act of 1933, as amend</w:t>
      </w:r>
      <w:r>
        <w:rPr>
          <w:rFonts w:eastAsia="Times New Roman"/>
          <w:color w:val="000000"/>
          <w:sz w:val="20"/>
          <w:szCs w:val="20"/>
        </w:rPr>
        <w:t>ed, and Section 21E of the Securities Exchange Act, as amended (the “Exchange Act”).</w:t>
      </w:r>
    </w:p>
    <w:p w:rsidR="00000000" w:rsidRDefault="00967E53">
      <w:pPr>
        <w:ind w:firstLine="360"/>
        <w:jc w:val="center"/>
        <w:divId w:val="16659143"/>
        <w:rPr>
          <w:rFonts w:eastAsia="Times New Roman"/>
        </w:rPr>
      </w:pPr>
      <w:r>
        <w:rPr>
          <w:rFonts w:eastAsia="Times New Roman"/>
          <w:color w:val="000000"/>
          <w:sz w:val="20"/>
          <w:szCs w:val="20"/>
        </w:rPr>
        <w:t>20</w:t>
      </w:r>
    </w:p>
    <w:p w:rsidR="00000000" w:rsidRDefault="00967E53">
      <w:pPr>
        <w:rPr>
          <w:rFonts w:eastAsia="Times New Roman"/>
        </w:rPr>
      </w:pPr>
      <w:r>
        <w:rPr>
          <w:rFonts w:eastAsia="Times New Roman"/>
        </w:rPr>
        <w:pict>
          <v:rect id="_x0000_i1048" style="width:0;height:1.5pt" o:hralign="center" o:hrstd="t" o:hr="t" fillcolor="#a0a0a0" stroked="f"/>
        </w:pict>
      </w:r>
    </w:p>
    <w:p w:rsidR="00000000" w:rsidRDefault="00967E53">
      <w:pPr>
        <w:ind w:firstLine="360"/>
        <w:jc w:val="both"/>
        <w:divId w:val="2086759694"/>
        <w:rPr>
          <w:rFonts w:eastAsia="Times New Roman"/>
        </w:rPr>
      </w:pPr>
    </w:p>
    <w:p w:rsidR="00000000" w:rsidRDefault="00967E53">
      <w:pPr>
        <w:ind w:firstLine="360"/>
        <w:jc w:val="both"/>
        <w:divId w:val="1296451360"/>
        <w:rPr>
          <w:rFonts w:eastAsia="Times New Roman"/>
        </w:rPr>
      </w:pPr>
    </w:p>
    <w:p w:rsidR="00000000" w:rsidRDefault="00967E53">
      <w:pPr>
        <w:ind w:firstLine="270"/>
        <w:divId w:val="2113012719"/>
        <w:rPr>
          <w:rFonts w:eastAsia="Times New Roman"/>
        </w:rPr>
      </w:pPr>
      <w:r>
        <w:rPr>
          <w:rFonts w:eastAsia="Times New Roman"/>
          <w:b/>
          <w:bCs/>
          <w:color w:val="000000"/>
          <w:sz w:val="20"/>
          <w:szCs w:val="20"/>
        </w:rPr>
        <w:t>Business Overview</w:t>
      </w:r>
    </w:p>
    <w:p w:rsidR="00000000" w:rsidRDefault="00967E53">
      <w:pPr>
        <w:ind w:firstLine="360"/>
        <w:jc w:val="both"/>
        <w:divId w:val="62918291"/>
        <w:rPr>
          <w:rFonts w:eastAsia="Times New Roman"/>
        </w:rPr>
      </w:pPr>
      <w:r>
        <w:rPr>
          <w:rFonts w:eastAsia="Times New Roman"/>
          <w:color w:val="000000"/>
          <w:sz w:val="20"/>
          <w:szCs w:val="20"/>
        </w:rPr>
        <w:t>We are a leading global fuel services company, principally engaged in the distribution of fuel and related products and services in the aviation, land and marine transportation industries. In recent</w:t>
      </w:r>
      <w:r>
        <w:rPr>
          <w:rFonts w:eastAsia="Times New Roman"/>
          <w:color w:val="000000"/>
          <w:sz w:val="20"/>
          <w:szCs w:val="20"/>
        </w:rPr>
        <w:t xml:space="preserve"> years, we have expanded our land product and service offerings to include energy advisory services and supply fulfillment for natural gas and power to commercial, industrial and government customers. Our intention is to become a leading global energy mana</w:t>
      </w:r>
      <w:r>
        <w:rPr>
          <w:rFonts w:eastAsia="Times New Roman"/>
          <w:color w:val="000000"/>
          <w:sz w:val="20"/>
          <w:szCs w:val="20"/>
        </w:rPr>
        <w:t xml:space="preserve">gement company offering a full suite of energy advisory, management and fulfillment services, technology solutions, payment management solutions, as well as sustainability products and services across the energy product spectrum. We will continue to focus </w:t>
      </w:r>
      <w:r>
        <w:rPr>
          <w:rFonts w:eastAsia="Times New Roman"/>
          <w:color w:val="000000"/>
          <w:sz w:val="20"/>
          <w:szCs w:val="20"/>
        </w:rPr>
        <w:t>on enhancing the portfolio of products and services we provide based on changes in customer demand, including sustainability offerings and renewable energy solutions.</w:t>
      </w:r>
    </w:p>
    <w:p w:rsidR="00000000" w:rsidRDefault="00967E53">
      <w:pPr>
        <w:ind w:firstLine="360"/>
        <w:divId w:val="924800996"/>
        <w:rPr>
          <w:rFonts w:eastAsia="Times New Roman"/>
        </w:rPr>
      </w:pPr>
      <w:r>
        <w:rPr>
          <w:rFonts w:eastAsia="Times New Roman"/>
          <w:b/>
          <w:bCs/>
          <w:color w:val="000000"/>
          <w:sz w:val="20"/>
          <w:szCs w:val="20"/>
        </w:rPr>
        <w:t>COVID-19</w:t>
      </w:r>
    </w:p>
    <w:p w:rsidR="00000000" w:rsidRDefault="00967E53">
      <w:pPr>
        <w:ind w:firstLine="360"/>
        <w:jc w:val="both"/>
        <w:divId w:val="2038118462"/>
        <w:rPr>
          <w:rFonts w:eastAsia="Times New Roman"/>
        </w:rPr>
      </w:pPr>
      <w:r>
        <w:rPr>
          <w:rFonts w:eastAsia="Times New Roman"/>
          <w:color w:val="000000"/>
          <w:sz w:val="20"/>
          <w:szCs w:val="20"/>
        </w:rPr>
        <w:t>Throughout 2020, the COVID-19 pandemic had a significant impact on the global ec</w:t>
      </w:r>
      <w:r>
        <w:rPr>
          <w:rFonts w:eastAsia="Times New Roman"/>
          <w:color w:val="000000"/>
          <w:sz w:val="20"/>
          <w:szCs w:val="20"/>
        </w:rPr>
        <w:t>onomy as a whole, and the transportation industries in particular, which has continued into 2021. Many of our customers in these industries, especially commercial airlines, have experienced a substantial decline in business activity arising from the variou</w:t>
      </w:r>
      <w:r>
        <w:rPr>
          <w:rFonts w:eastAsia="Times New Roman"/>
          <w:color w:val="000000"/>
          <w:sz w:val="20"/>
          <w:szCs w:val="20"/>
        </w:rPr>
        <w:t>s measures enacted by governments around the world to contain the spread of the virus. While travel and economic activity has begun to improve in certain regions, activity in many parts of the world continues to be negatively impacted by travel restriction</w:t>
      </w:r>
      <w:r>
        <w:rPr>
          <w:rFonts w:eastAsia="Times New Roman"/>
          <w:color w:val="000000"/>
          <w:sz w:val="20"/>
          <w:szCs w:val="20"/>
        </w:rPr>
        <w:t>s and lockdowns.</w:t>
      </w:r>
    </w:p>
    <w:p w:rsidR="00000000" w:rsidRDefault="00967E53">
      <w:pPr>
        <w:ind w:firstLine="360"/>
        <w:jc w:val="both"/>
        <w:divId w:val="1166245548"/>
        <w:rPr>
          <w:rFonts w:eastAsia="Times New Roman"/>
        </w:rPr>
      </w:pPr>
      <w:r>
        <w:rPr>
          <w:rFonts w:eastAsia="Times New Roman"/>
          <w:color w:val="000000"/>
          <w:sz w:val="20"/>
          <w:szCs w:val="20"/>
        </w:rPr>
        <w:t>In response to the challenges arising from the pandemic, we took swift action to ensure the safety of our employees and other stakeholders by implementing our business continuity and emergency response plans and maximizing remote work thro</w:t>
      </w:r>
      <w:r>
        <w:rPr>
          <w:rFonts w:eastAsia="Times New Roman"/>
          <w:color w:val="000000"/>
          <w:sz w:val="20"/>
          <w:szCs w:val="20"/>
        </w:rPr>
        <w:t>ughout our global offices. Since the first quarter of 2020, many of our employees have been collaborating virtually with our customers, suppliers and each other using the information-sharing tools and technology that we have invested in over the last sever</w:t>
      </w:r>
      <w:r>
        <w:rPr>
          <w:rFonts w:eastAsia="Times New Roman"/>
          <w:color w:val="000000"/>
          <w:sz w:val="20"/>
          <w:szCs w:val="20"/>
        </w:rPr>
        <w:t>al years. In connection therewith, we also commenced a number of initiatives in 2020 relating to cost reduction, liquidity and operating efficiencies, which remain an area of focus for us in 2021. While we expect that a number of our offices will reopen in</w:t>
      </w:r>
      <w:r>
        <w:rPr>
          <w:rFonts w:eastAsia="Times New Roman"/>
          <w:color w:val="000000"/>
          <w:sz w:val="20"/>
          <w:szCs w:val="20"/>
        </w:rPr>
        <w:t xml:space="preserve"> the latter half of 2021, we believe that remote work will continue to be an integral part of our response plan as we monitor and assess public health developments and make appropriate adjustments to support the well-being of our employees.</w:t>
      </w:r>
    </w:p>
    <w:p w:rsidR="00000000" w:rsidRDefault="00967E53">
      <w:pPr>
        <w:ind w:firstLine="360"/>
        <w:jc w:val="both"/>
        <w:divId w:val="781924968"/>
        <w:rPr>
          <w:rFonts w:eastAsia="Times New Roman"/>
        </w:rPr>
      </w:pPr>
      <w:r>
        <w:rPr>
          <w:rFonts w:eastAsia="Times New Roman"/>
          <w:color w:val="000000"/>
          <w:sz w:val="20"/>
          <w:szCs w:val="20"/>
        </w:rPr>
        <w:t xml:space="preserve">As a result of </w:t>
      </w:r>
      <w:r>
        <w:rPr>
          <w:rFonts w:eastAsia="Times New Roman"/>
          <w:color w:val="000000"/>
          <w:sz w:val="20"/>
          <w:szCs w:val="20"/>
        </w:rPr>
        <w:t>the pandemic, we experienced a sharp decline in demand and related sales primarily beginning in the second quarter of 2020, as large sectors of the global economy were adversely impacted by the crisis. Demand showed some moderate improvement through the se</w:t>
      </w:r>
      <w:r>
        <w:rPr>
          <w:rFonts w:eastAsia="Times New Roman"/>
          <w:color w:val="000000"/>
          <w:sz w:val="20"/>
          <w:szCs w:val="20"/>
        </w:rPr>
        <w:t>cond half of 2020 and into 2021, however, it has remained well below pre-pandemic levels, as described in greater detail below and we expect these negative impacts to continue through 2021. The ultimate global recovery from the pandemic will be dependent o</w:t>
      </w:r>
      <w:r>
        <w:rPr>
          <w:rFonts w:eastAsia="Times New Roman"/>
          <w:color w:val="000000"/>
          <w:sz w:val="20"/>
          <w:szCs w:val="20"/>
        </w:rPr>
        <w:t>n, among other things, actions taken by governments and businesses to contain and combat the virus, including any variant strains, the speed and effectiveness of vaccine production and global distribution, as well as how quickly, and to what extent, normal</w:t>
      </w:r>
      <w:r>
        <w:rPr>
          <w:rFonts w:eastAsia="Times New Roman"/>
          <w:color w:val="000000"/>
          <w:sz w:val="20"/>
          <w:szCs w:val="20"/>
        </w:rPr>
        <w:t xml:space="preserve"> economic and operating conditions can resume on a sustainable basis globally. For additional discussion on the risks relating to the pandemic, see Item 1A - Risk Factors in our 2020 10-K Report.</w:t>
      </w:r>
    </w:p>
    <w:p w:rsidR="00000000" w:rsidRDefault="00967E53">
      <w:pPr>
        <w:ind w:firstLine="360"/>
        <w:divId w:val="1246719041"/>
        <w:rPr>
          <w:rFonts w:eastAsia="Times New Roman"/>
        </w:rPr>
      </w:pPr>
      <w:r>
        <w:rPr>
          <w:rFonts w:eastAsia="Times New Roman"/>
          <w:b/>
          <w:bCs/>
          <w:color w:val="000000"/>
          <w:sz w:val="20"/>
          <w:szCs w:val="20"/>
        </w:rPr>
        <w:t>Reportable Segments</w:t>
      </w:r>
    </w:p>
    <w:p w:rsidR="00000000" w:rsidRDefault="00967E53">
      <w:pPr>
        <w:ind w:firstLine="360"/>
        <w:jc w:val="both"/>
        <w:divId w:val="881018735"/>
        <w:rPr>
          <w:rFonts w:eastAsia="Times New Roman"/>
        </w:rPr>
      </w:pPr>
      <w:r>
        <w:rPr>
          <w:rFonts w:eastAsia="Times New Roman"/>
          <w:color w:val="000000"/>
          <w:sz w:val="20"/>
          <w:szCs w:val="20"/>
        </w:rPr>
        <w:t xml:space="preserve">We operate in three reportable segments </w:t>
      </w:r>
      <w:r>
        <w:rPr>
          <w:rFonts w:eastAsia="Times New Roman"/>
          <w:color w:val="000000"/>
          <w:sz w:val="20"/>
          <w:szCs w:val="20"/>
        </w:rPr>
        <w:t>consisting of aviation, land, and marine, where we offer fuel and related products and services to customers in these transportation industries. Within each of our segments, we may enter into derivative contracts to mitigate the risk of market price fluctu</w:t>
      </w:r>
      <w:r>
        <w:rPr>
          <w:rFonts w:eastAsia="Times New Roman"/>
          <w:color w:val="000000"/>
          <w:sz w:val="20"/>
          <w:szCs w:val="20"/>
        </w:rPr>
        <w:t>ations and also to offer our customers fuel pricing alternatives to meet their needs.</w:t>
      </w:r>
    </w:p>
    <w:p w:rsidR="00000000" w:rsidRDefault="00967E53">
      <w:pPr>
        <w:ind w:firstLine="360"/>
        <w:jc w:val="both"/>
        <w:divId w:val="432241398"/>
        <w:rPr>
          <w:rFonts w:eastAsia="Times New Roman"/>
        </w:rPr>
      </w:pPr>
      <w:r>
        <w:rPr>
          <w:rFonts w:eastAsia="Times New Roman"/>
          <w:color w:val="000000"/>
          <w:sz w:val="20"/>
          <w:szCs w:val="20"/>
        </w:rPr>
        <w:t>In our aviation and land segments, we primarily purchase and resell fuel and other products. Profit from our aviation and land segments is generally determined by the vol</w:t>
      </w:r>
      <w:r>
        <w:rPr>
          <w:rFonts w:eastAsia="Times New Roman"/>
          <w:color w:val="000000"/>
          <w:sz w:val="20"/>
          <w:szCs w:val="20"/>
        </w:rPr>
        <w:t>ume and the gross profit achieved on fuel sales and related services. In our marine segment, we principally purchase and resell fuel and also act as brokers for others. Profit from our marine segment is determined mostly by the volume and unit margin achie</w:t>
      </w:r>
      <w:r>
        <w:rPr>
          <w:rFonts w:eastAsia="Times New Roman"/>
          <w:color w:val="000000"/>
          <w:sz w:val="20"/>
          <w:szCs w:val="20"/>
        </w:rPr>
        <w:t>ved on fuel resales. Profitability in our segments also depends on our operating expenses, which may be materially affected to the extent that we are required to provide for potential credit losses.</w:t>
      </w:r>
    </w:p>
    <w:p w:rsidR="00000000" w:rsidRDefault="00967E53">
      <w:pPr>
        <w:ind w:firstLine="360"/>
        <w:jc w:val="both"/>
        <w:divId w:val="1582911840"/>
        <w:rPr>
          <w:rFonts w:eastAsia="Times New Roman"/>
        </w:rPr>
      </w:pPr>
      <w:r>
        <w:rPr>
          <w:rFonts w:eastAsia="Times New Roman"/>
          <w:color w:val="000000"/>
          <w:sz w:val="20"/>
          <w:szCs w:val="20"/>
        </w:rPr>
        <w:t>Corporate expenses are allocated to each segment based on</w:t>
      </w:r>
      <w:r>
        <w:rPr>
          <w:rFonts w:eastAsia="Times New Roman"/>
          <w:color w:val="000000"/>
          <w:sz w:val="20"/>
          <w:szCs w:val="20"/>
        </w:rPr>
        <w:t xml:space="preserve"> usage, where possible, or other factors according to the nature of the activity. We evaluate and manage our business segments using the performance measurement of income from operations.</w:t>
      </w:r>
    </w:p>
    <w:p w:rsidR="00000000" w:rsidRDefault="00967E53">
      <w:pPr>
        <w:ind w:firstLine="360"/>
        <w:jc w:val="both"/>
        <w:divId w:val="1697736387"/>
        <w:rPr>
          <w:rFonts w:eastAsia="Times New Roman"/>
        </w:rPr>
      </w:pPr>
      <w:r>
        <w:rPr>
          <w:rFonts w:eastAsia="Times New Roman"/>
          <w:color w:val="000000"/>
          <w:sz w:val="20"/>
          <w:szCs w:val="20"/>
        </w:rPr>
        <w:t>Selected financial information with respect to our business segments</w:t>
      </w:r>
      <w:r>
        <w:rPr>
          <w:rFonts w:eastAsia="Times New Roman"/>
          <w:color w:val="000000"/>
          <w:sz w:val="20"/>
          <w:szCs w:val="20"/>
        </w:rPr>
        <w:t xml:space="preserve"> is provided in Note 9. Business Segments.</w:t>
      </w:r>
    </w:p>
    <w:p w:rsidR="00000000" w:rsidRDefault="00967E53">
      <w:pPr>
        <w:ind w:firstLine="360"/>
        <w:jc w:val="center"/>
        <w:divId w:val="1635014967"/>
        <w:rPr>
          <w:rFonts w:eastAsia="Times New Roman"/>
        </w:rPr>
      </w:pPr>
      <w:r>
        <w:rPr>
          <w:rFonts w:eastAsia="Times New Roman"/>
          <w:color w:val="000000"/>
          <w:sz w:val="20"/>
          <w:szCs w:val="20"/>
        </w:rPr>
        <w:t>21</w:t>
      </w:r>
    </w:p>
    <w:p w:rsidR="00000000" w:rsidRDefault="00967E53">
      <w:pPr>
        <w:rPr>
          <w:rFonts w:eastAsia="Times New Roman"/>
        </w:rPr>
      </w:pPr>
      <w:r>
        <w:rPr>
          <w:rFonts w:eastAsia="Times New Roman"/>
        </w:rPr>
        <w:pict>
          <v:rect id="_x0000_i1049" style="width:0;height:1.5pt" o:hralign="center" o:hrstd="t" o:hr="t" fillcolor="#a0a0a0" stroked="f"/>
        </w:pict>
      </w:r>
    </w:p>
    <w:p w:rsidR="00000000" w:rsidRDefault="00967E53">
      <w:pPr>
        <w:ind w:firstLine="360"/>
        <w:jc w:val="both"/>
        <w:divId w:val="600261785"/>
        <w:rPr>
          <w:rFonts w:eastAsia="Times New Roman"/>
        </w:rPr>
      </w:pPr>
    </w:p>
    <w:p w:rsidR="00000000" w:rsidRDefault="00967E53">
      <w:pPr>
        <w:ind w:firstLine="360"/>
        <w:jc w:val="both"/>
        <w:divId w:val="845292999"/>
        <w:rPr>
          <w:rFonts w:eastAsia="Times New Roman"/>
        </w:rPr>
      </w:pPr>
    </w:p>
    <w:p w:rsidR="00000000" w:rsidRDefault="00967E53">
      <w:pPr>
        <w:ind w:firstLine="360"/>
        <w:divId w:val="1773744407"/>
        <w:rPr>
          <w:rFonts w:eastAsia="Times New Roman"/>
        </w:rPr>
      </w:pPr>
      <w:r>
        <w:rPr>
          <w:rFonts w:eastAsia="Times New Roman"/>
          <w:b/>
          <w:bCs/>
          <w:color w:val="000000"/>
          <w:sz w:val="20"/>
          <w:szCs w:val="20"/>
        </w:rPr>
        <w:t>Aviation Segment</w:t>
      </w:r>
    </w:p>
    <w:p w:rsidR="00000000" w:rsidRDefault="00967E53">
      <w:pPr>
        <w:ind w:firstLine="360"/>
        <w:jc w:val="both"/>
        <w:divId w:val="1659460677"/>
        <w:rPr>
          <w:rFonts w:eastAsia="Times New Roman"/>
        </w:rPr>
      </w:pPr>
      <w:r>
        <w:rPr>
          <w:rFonts w:eastAsia="Times New Roman"/>
          <w:color w:val="000000"/>
          <w:sz w:val="20"/>
          <w:szCs w:val="20"/>
        </w:rPr>
        <w:t>Our aviation segment has historically benefited from growth in our fuel and related services offerings, as well as our improving logistics capability and</w:t>
      </w:r>
      <w:r>
        <w:rPr>
          <w:rFonts w:eastAsia="Times New Roman"/>
          <w:color w:val="000000"/>
          <w:sz w:val="20"/>
          <w:szCs w:val="20"/>
        </w:rPr>
        <w:t xml:space="preserve"> the geographic expansion of our aviation fueling operations into additional international airport locations. However, the global travel restrictions and sharp decrease in demand for air travel resulting from the COVID-19 pandemic have significantly impact</w:t>
      </w:r>
      <w:r>
        <w:rPr>
          <w:rFonts w:eastAsia="Times New Roman"/>
          <w:color w:val="000000"/>
          <w:sz w:val="20"/>
          <w:szCs w:val="20"/>
        </w:rPr>
        <w:t>ed the overall aviation market, and commercial passenger airlines in particular, throughout 2020 and into 2021. Accordingly, beginning in the second quarter of 2020 and continuing through the first half of 2021, we have experienced a material volume declin</w:t>
      </w:r>
      <w:r>
        <w:rPr>
          <w:rFonts w:eastAsia="Times New Roman"/>
          <w:color w:val="000000"/>
          <w:sz w:val="20"/>
          <w:szCs w:val="20"/>
        </w:rPr>
        <w:t>e in our commercial aviation business as compared to pre-pandemic levels and, to a somewhat lesser extent, a reduction in our business and general aviation activities. While we have begun to experience improvements in demand and related volume increases in</w:t>
      </w:r>
      <w:r>
        <w:rPr>
          <w:rFonts w:eastAsia="Times New Roman"/>
          <w:color w:val="000000"/>
          <w:sz w:val="20"/>
          <w:szCs w:val="20"/>
        </w:rPr>
        <w:t xml:space="preserve"> certain regions, our results of operations in our aviation segment for the balance of 2021 remains uncertain. Any material recovery in demand will be highly contingent on the timing and extent of governmental actions or restrictions globally in response t</w:t>
      </w:r>
      <w:r>
        <w:rPr>
          <w:rFonts w:eastAsia="Times New Roman"/>
          <w:color w:val="000000"/>
          <w:sz w:val="20"/>
          <w:szCs w:val="20"/>
        </w:rPr>
        <w:t>o any increases in infection rates and the overall recovery of the global economy from the effects of the pandemic.</w:t>
      </w:r>
    </w:p>
    <w:p w:rsidR="00000000" w:rsidRDefault="00967E53">
      <w:pPr>
        <w:ind w:firstLine="360"/>
        <w:jc w:val="both"/>
        <w:divId w:val="1592352318"/>
        <w:rPr>
          <w:rFonts w:eastAsia="Times New Roman"/>
        </w:rPr>
      </w:pPr>
      <w:r>
        <w:rPr>
          <w:rFonts w:eastAsia="Times New Roman"/>
          <w:color w:val="000000"/>
          <w:sz w:val="20"/>
          <w:szCs w:val="20"/>
        </w:rPr>
        <w:t>In addition, our aviation segment has historically benefited from significant sales to NATO in Afghanistan, which has accounted for a materi</w:t>
      </w:r>
      <w:r>
        <w:rPr>
          <w:rFonts w:eastAsia="Times New Roman"/>
          <w:color w:val="000000"/>
          <w:sz w:val="20"/>
          <w:szCs w:val="20"/>
        </w:rPr>
        <w:t>al portion of our aviation segment's profitability in recent years. The level of troop deployments and military-related activities can cause our government customer sales to vary significantly and materially impact our operating results. Specifically, in 2</w:t>
      </w:r>
      <w:r>
        <w:rPr>
          <w:rFonts w:eastAsia="Times New Roman"/>
          <w:color w:val="000000"/>
          <w:sz w:val="20"/>
          <w:szCs w:val="20"/>
        </w:rPr>
        <w:t>020 the U.S. government significantly reduced the level of troops in Afghanistan, including the troops supporting NATO. As a result, we experienced a material decline in demand throughout 2020, which continued into 2021. Beginning in May 2021, the U.S. and</w:t>
      </w:r>
      <w:r>
        <w:rPr>
          <w:rFonts w:eastAsia="Times New Roman"/>
          <w:color w:val="000000"/>
          <w:sz w:val="20"/>
          <w:szCs w:val="20"/>
        </w:rPr>
        <w:t xml:space="preserve"> NATO began their final withdrawal of the remaining U.S. and NATO troops in the area to be completed by September 11, 2021. In July, the U.S. announced that its withdrawal was nearing completion and would conclude by August 31, 2021. In connection therewit</w:t>
      </w:r>
      <w:r>
        <w:rPr>
          <w:rFonts w:eastAsia="Times New Roman"/>
          <w:color w:val="000000"/>
          <w:sz w:val="20"/>
          <w:szCs w:val="20"/>
        </w:rPr>
        <w:t>h, we expect to experience additional material decline in our sales to NATO in Afghanistan.</w:t>
      </w:r>
    </w:p>
    <w:p w:rsidR="00000000" w:rsidRDefault="00967E53">
      <w:pPr>
        <w:ind w:firstLine="360"/>
        <w:divId w:val="410784848"/>
        <w:rPr>
          <w:rFonts w:eastAsia="Times New Roman"/>
        </w:rPr>
      </w:pPr>
      <w:r>
        <w:rPr>
          <w:rFonts w:eastAsia="Times New Roman"/>
          <w:b/>
          <w:bCs/>
          <w:color w:val="000000"/>
          <w:sz w:val="20"/>
          <w:szCs w:val="20"/>
        </w:rPr>
        <w:t>Land Segment</w:t>
      </w:r>
    </w:p>
    <w:p w:rsidR="00000000" w:rsidRDefault="00967E53">
      <w:pPr>
        <w:ind w:firstLine="360"/>
        <w:jc w:val="both"/>
        <w:divId w:val="1116801065"/>
        <w:rPr>
          <w:rFonts w:eastAsia="Times New Roman"/>
        </w:rPr>
      </w:pPr>
      <w:r>
        <w:rPr>
          <w:rFonts w:eastAsia="Times New Roman"/>
          <w:color w:val="000000"/>
          <w:sz w:val="20"/>
          <w:szCs w:val="20"/>
        </w:rPr>
        <w:t>Our land segment consists of land fuel distribution in the U.S. and the U.K., further complemented by our expansion into energy advisory, brokerage and</w:t>
      </w:r>
      <w:r>
        <w:rPr>
          <w:rFonts w:eastAsia="Times New Roman"/>
          <w:color w:val="000000"/>
          <w:sz w:val="20"/>
          <w:szCs w:val="20"/>
        </w:rPr>
        <w:t xml:space="preserve"> fulfillment solutions with respect to power, natural gas and other energy products. We also offer sustainability consulting, renewable fuel products, and carbon management and renewable energy solutions through World Kinect, our global energy management b</w:t>
      </w:r>
      <w:r>
        <w:rPr>
          <w:rFonts w:eastAsia="Times New Roman"/>
          <w:color w:val="000000"/>
          <w:sz w:val="20"/>
          <w:szCs w:val="20"/>
        </w:rPr>
        <w:t>rand. Due to the diverse portfolio of customers, businesses and activities within our land segment, the COVID-19 related impacts have been varied. During the latter half of 2020 and into 2021, our retail operations in North America have experienced an incr</w:t>
      </w:r>
      <w:r>
        <w:rPr>
          <w:rFonts w:eastAsia="Times New Roman"/>
          <w:color w:val="000000"/>
          <w:sz w:val="20"/>
          <w:szCs w:val="20"/>
        </w:rPr>
        <w:t>ease in volumes as markets begin to resume economic activity. Meanwhile, our home heating oil business in the U.K. experienced a decrease in demand in the first half of 2021 after previously benefiting from stay-at-home orders during the same period in 202</w:t>
      </w:r>
      <w:r>
        <w:rPr>
          <w:rFonts w:eastAsia="Times New Roman"/>
          <w:color w:val="000000"/>
          <w:sz w:val="20"/>
          <w:szCs w:val="20"/>
        </w:rPr>
        <w:t xml:space="preserve">0. Accordingly, the timing and extent of improvement in the overall operating results of our land segment are more difficult to predict and will continue to be dependent on the timing and extent to which travel restrictions are ultimately lifted and local </w:t>
      </w:r>
      <w:r>
        <w:rPr>
          <w:rFonts w:eastAsia="Times New Roman"/>
          <w:color w:val="000000"/>
          <w:sz w:val="20"/>
          <w:szCs w:val="20"/>
        </w:rPr>
        <w:t>business activities fully reopen. In addition, for the same reasons as those described in the aviation segment, we have experienced a material decline in demand in our government business since the end of the first quarter of 2020 and similarly expect such</w:t>
      </w:r>
      <w:r>
        <w:rPr>
          <w:rFonts w:eastAsia="Times New Roman"/>
          <w:color w:val="000000"/>
          <w:sz w:val="20"/>
          <w:szCs w:val="20"/>
        </w:rPr>
        <w:t xml:space="preserve"> sales to materially decline in connection with the U.S. and NATO troop withdrawal.</w:t>
      </w:r>
    </w:p>
    <w:p w:rsidR="00000000" w:rsidRDefault="00967E53">
      <w:pPr>
        <w:ind w:firstLine="360"/>
        <w:jc w:val="both"/>
        <w:divId w:val="643244510"/>
        <w:rPr>
          <w:rFonts w:eastAsia="Times New Roman"/>
        </w:rPr>
      </w:pPr>
      <w:r>
        <w:rPr>
          <w:rFonts w:eastAsia="Times New Roman"/>
          <w:color w:val="000000"/>
          <w:sz w:val="20"/>
          <w:szCs w:val="20"/>
        </w:rPr>
        <w:t>In 2021, we heightened our focus on restructuring our land business in North America, which has included reorganizing and relocating certain business activities, as well as</w:t>
      </w:r>
      <w:r>
        <w:rPr>
          <w:rFonts w:eastAsia="Times New Roman"/>
          <w:color w:val="000000"/>
          <w:sz w:val="20"/>
          <w:szCs w:val="20"/>
        </w:rPr>
        <w:t xml:space="preserve"> implementing changes to the operational and management structure of the business. While we initially expected to complete the restructuring activities in the second quarter of 2021, we elected to expand the plan in order to finalize the alignment of proce</w:t>
      </w:r>
      <w:r>
        <w:rPr>
          <w:rFonts w:eastAsia="Times New Roman"/>
          <w:color w:val="000000"/>
          <w:sz w:val="20"/>
          <w:szCs w:val="20"/>
        </w:rPr>
        <w:t xml:space="preserve">sses and platforms within the land segment to focus not just on creating efficiencies within the existing business, but to allow for greater scalability and quicker integration of new businesses to capture synergies. To complete the additional activities, </w:t>
      </w:r>
      <w:r>
        <w:rPr>
          <w:rFonts w:eastAsia="Times New Roman"/>
          <w:color w:val="000000"/>
          <w:sz w:val="20"/>
          <w:szCs w:val="20"/>
        </w:rPr>
        <w:t>we expect to incur incremental restructuring charges of approximately $6.0 million to $8.0 million, primarily related to consulting fees, by the end of first quarter of 2022. We expect the ultimate financial benefit of the restructuring to be realized as n</w:t>
      </w:r>
      <w:r>
        <w:rPr>
          <w:rFonts w:eastAsia="Times New Roman"/>
          <w:color w:val="000000"/>
          <w:sz w:val="20"/>
          <w:szCs w:val="20"/>
        </w:rPr>
        <w:t>ew businesses are acquired and integrated into our land segment. See Note 12. Restructuring for additional information.</w:t>
      </w:r>
    </w:p>
    <w:p w:rsidR="00000000" w:rsidRDefault="00967E53">
      <w:pPr>
        <w:ind w:firstLine="360"/>
        <w:jc w:val="both"/>
        <w:divId w:val="1232079193"/>
        <w:rPr>
          <w:rFonts w:eastAsia="Times New Roman"/>
        </w:rPr>
      </w:pPr>
      <w:r>
        <w:rPr>
          <w:rFonts w:eastAsia="Times New Roman"/>
          <w:b/>
          <w:bCs/>
          <w:color w:val="000000"/>
          <w:sz w:val="20"/>
          <w:szCs w:val="20"/>
        </w:rPr>
        <w:t>Marine Segment</w:t>
      </w:r>
    </w:p>
    <w:p w:rsidR="00000000" w:rsidRDefault="00967E53">
      <w:pPr>
        <w:ind w:firstLine="360"/>
        <w:jc w:val="both"/>
        <w:rPr>
          <w:rFonts w:eastAsia="Times New Roman"/>
        </w:rPr>
      </w:pPr>
      <w:r>
        <w:rPr>
          <w:rFonts w:eastAsia="Times New Roman"/>
          <w:color w:val="000000"/>
          <w:sz w:val="20"/>
          <w:szCs w:val="20"/>
        </w:rPr>
        <w:t>Through much of 2019 and into early 2020, we experienced improved profitability in our marine segment due to higher avera</w:t>
      </w:r>
      <w:r>
        <w:rPr>
          <w:rFonts w:eastAsia="Times New Roman"/>
          <w:color w:val="000000"/>
          <w:sz w:val="20"/>
          <w:szCs w:val="20"/>
        </w:rPr>
        <w:t>ge fuel prices, combined with our heightened focus on cost management and continued reshaping of our business portfolio. In particular, the International Maritime Organization's mandatory low sulfur regulations that took effect in January 2020 ("IMO 2020")</w:t>
      </w:r>
      <w:r>
        <w:rPr>
          <w:rFonts w:eastAsia="Times New Roman"/>
          <w:color w:val="000000"/>
          <w:sz w:val="20"/>
          <w:szCs w:val="20"/>
        </w:rPr>
        <w:t xml:space="preserve"> resulted in certain supply imbalances and price volatility which positively impacted our operating results in those periods. However, beginning in the latter part of the first quarter of 2020 and continuing through the first half of 2021, we experienced a</w:t>
      </w:r>
      <w:r>
        <w:rPr>
          <w:rFonts w:eastAsia="Times New Roman"/>
          <w:color w:val="000000"/>
          <w:sz w:val="20"/>
          <w:szCs w:val="20"/>
        </w:rPr>
        <w:t xml:space="preserve"> material decline in volume and related profitability primarily due to the impact of the COVID-19 pandemic on the marine transportation industry. While we have experienced some improvements in demand, we expect our marine segment’s operating performance to</w:t>
      </w:r>
      <w:r>
        <w:rPr>
          <w:rFonts w:eastAsia="Times New Roman"/>
          <w:color w:val="000000"/>
          <w:sz w:val="20"/>
          <w:szCs w:val="20"/>
        </w:rPr>
        <w:t xml:space="preserve"> continue to be impacted by the pandemic throughout 2021. This is due to among other things, uncertain demand from cruise lines and certain other sectors of the shipping industry, as well as competitive market conditions and limited price volatility. </w:t>
      </w:r>
    </w:p>
    <w:p w:rsidR="00000000" w:rsidRDefault="00967E53">
      <w:pPr>
        <w:ind w:firstLine="360"/>
        <w:jc w:val="center"/>
        <w:divId w:val="528641466"/>
        <w:rPr>
          <w:rFonts w:eastAsia="Times New Roman"/>
        </w:rPr>
      </w:pPr>
      <w:r>
        <w:rPr>
          <w:rFonts w:eastAsia="Times New Roman"/>
          <w:color w:val="000000"/>
          <w:sz w:val="20"/>
          <w:szCs w:val="20"/>
        </w:rPr>
        <w:t>22</w:t>
      </w:r>
    </w:p>
    <w:p w:rsidR="00000000" w:rsidRDefault="00967E53">
      <w:pPr>
        <w:rPr>
          <w:rFonts w:eastAsia="Times New Roman"/>
        </w:rPr>
      </w:pPr>
      <w:r>
        <w:rPr>
          <w:rFonts w:eastAsia="Times New Roman"/>
        </w:rPr>
        <w:pict>
          <v:rect id="_x0000_i1050" style="width:0;height:1.5pt" o:hralign="center" o:hrstd="t" o:hr="t" fillcolor="#a0a0a0" stroked="f"/>
        </w:pict>
      </w:r>
    </w:p>
    <w:p w:rsidR="00000000" w:rsidRDefault="00967E53">
      <w:pPr>
        <w:ind w:firstLine="360"/>
        <w:jc w:val="both"/>
        <w:divId w:val="1629815790"/>
        <w:rPr>
          <w:rFonts w:eastAsia="Times New Roman"/>
        </w:rPr>
      </w:pPr>
    </w:p>
    <w:p w:rsidR="00000000" w:rsidRDefault="00967E53">
      <w:pPr>
        <w:ind w:firstLine="360"/>
        <w:jc w:val="both"/>
        <w:divId w:val="1268582728"/>
        <w:rPr>
          <w:rFonts w:eastAsia="Times New Roman"/>
        </w:rPr>
      </w:pPr>
    </w:p>
    <w:p w:rsidR="00000000" w:rsidRDefault="00967E53">
      <w:pPr>
        <w:ind w:firstLine="360"/>
        <w:divId w:val="2136437399"/>
        <w:rPr>
          <w:rFonts w:eastAsia="Times New Roman"/>
        </w:rPr>
      </w:pPr>
      <w:r>
        <w:rPr>
          <w:rFonts w:eastAsia="Times New Roman"/>
          <w:b/>
          <w:bCs/>
          <w:color w:val="000000"/>
          <w:sz w:val="20"/>
          <w:szCs w:val="20"/>
        </w:rPr>
        <w:t>Results of Operations</w:t>
      </w:r>
    </w:p>
    <w:p w:rsidR="00000000" w:rsidRDefault="00967E53">
      <w:pPr>
        <w:ind w:firstLine="360"/>
        <w:divId w:val="626741162"/>
        <w:rPr>
          <w:rFonts w:eastAsia="Times New Roman"/>
        </w:rPr>
      </w:pPr>
      <w:r>
        <w:rPr>
          <w:rFonts w:eastAsia="Times New Roman"/>
          <w:color w:val="000000"/>
          <w:sz w:val="20"/>
          <w:szCs w:val="20"/>
          <w:u w:val="single"/>
        </w:rPr>
        <w:t xml:space="preserve">Three Months Ended June 30, 2021 Compared to Three Months Ended June 30, 2020 </w:t>
      </w:r>
    </w:p>
    <w:p w:rsidR="00000000" w:rsidRDefault="00967E53">
      <w:pPr>
        <w:ind w:firstLine="360"/>
        <w:jc w:val="both"/>
        <w:divId w:val="1213616686"/>
        <w:rPr>
          <w:rFonts w:eastAsia="Times New Roman"/>
        </w:rPr>
      </w:pPr>
      <w:r>
        <w:rPr>
          <w:rFonts w:eastAsia="Times New Roman"/>
          <w:i/>
          <w:iCs/>
          <w:color w:val="000000"/>
          <w:sz w:val="20"/>
          <w:szCs w:val="20"/>
        </w:rPr>
        <w:t>Revenue. </w:t>
      </w:r>
      <w:r>
        <w:rPr>
          <w:rFonts w:eastAsia="Times New Roman"/>
          <w:color w:val="000000"/>
          <w:sz w:val="20"/>
          <w:szCs w:val="20"/>
        </w:rPr>
        <w:t>Our revenue for the second quarter of 2021 was $7.1 billion, an increase of $3.9 billion, or 124%, compared to the second quarter of 2020. Our revenue by segment was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010"/>
        <w:gridCol w:w="36"/>
        <w:gridCol w:w="36"/>
        <w:gridCol w:w="36"/>
        <w:gridCol w:w="36"/>
        <w:gridCol w:w="120"/>
        <w:gridCol w:w="1142"/>
        <w:gridCol w:w="36"/>
        <w:gridCol w:w="36"/>
        <w:gridCol w:w="36"/>
        <w:gridCol w:w="36"/>
        <w:gridCol w:w="120"/>
        <w:gridCol w:w="1144"/>
        <w:gridCol w:w="36"/>
        <w:gridCol w:w="36"/>
        <w:gridCol w:w="36"/>
        <w:gridCol w:w="36"/>
        <w:gridCol w:w="121"/>
        <w:gridCol w:w="1144"/>
        <w:gridCol w:w="36"/>
      </w:tblGrid>
      <w:tr w:rsidR="00000000">
        <w:trPr>
          <w:divId w:val="1101799825"/>
        </w:trPr>
        <w:tc>
          <w:tcPr>
            <w:tcW w:w="50" w:type="pct"/>
            <w:vAlign w:val="center"/>
            <w:hideMark/>
          </w:tcPr>
          <w:p w:rsidR="00000000" w:rsidRDefault="00967E53">
            <w:pPr>
              <w:ind w:firstLine="360"/>
              <w:jc w:val="both"/>
              <w:rPr>
                <w:rFonts w:eastAsia="Times New Roman"/>
              </w:rPr>
            </w:pPr>
          </w:p>
        </w:tc>
        <w:tc>
          <w:tcPr>
            <w:tcW w:w="244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101799825"/>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101799825"/>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 Change</w:t>
            </w:r>
          </w:p>
        </w:tc>
      </w:tr>
      <w:tr w:rsidR="00000000">
        <w:trPr>
          <w:divId w:val="110179982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2,805.8 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1,020.6 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1,785.2 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101799825"/>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2,457.2 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1,197.6 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1,259.7 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10179982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1,822.4 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940.2 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882.3 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101799825"/>
        </w:trPr>
        <w:tc>
          <w:tcPr>
            <w:tcW w:w="0" w:type="auto"/>
            <w:gridSpan w:val="3"/>
            <w:shd w:val="clear" w:color="auto" w:fill="FFFFFF"/>
            <w:tcMar>
              <w:top w:w="30" w:type="dxa"/>
              <w:left w:w="14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7,085.5 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3,158.3 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3,927.1 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360"/>
        <w:jc w:val="both"/>
        <w:divId w:val="1221095139"/>
        <w:rPr>
          <w:rFonts w:eastAsia="Times New Roman"/>
        </w:rPr>
      </w:pPr>
      <w:r>
        <w:rPr>
          <w:rFonts w:eastAsia="Times New Roman"/>
          <w:color w:val="000000"/>
          <w:sz w:val="20"/>
          <w:szCs w:val="20"/>
        </w:rPr>
        <w:t>Revenues in our aviation segment were $2.8 billion for the second quarter of 2021, an increase of $1.8 billion, or 175%, compared to the second quarter of</w:t>
      </w:r>
      <w:r>
        <w:rPr>
          <w:rFonts w:eastAsia="Times New Roman"/>
          <w:color w:val="000000"/>
          <w:sz w:val="20"/>
          <w:szCs w:val="20"/>
        </w:rPr>
        <w:t xml:space="preserve"> 2020. The increase in revenue was driven by increased volume and higher average prices. Total aviation volumes increased by 685.6 million, or 100%, to 1.4 billion gallons as travel restrictions eased, primarily in the North American market, and demand for</w:t>
      </w:r>
      <w:r>
        <w:rPr>
          <w:rFonts w:eastAsia="Times New Roman"/>
          <w:color w:val="000000"/>
          <w:sz w:val="20"/>
          <w:szCs w:val="20"/>
        </w:rPr>
        <w:t xml:space="preserve"> air travel continues to recover. Average jet fuel price per gallon sold increased by 87% in the second quarter of 2021 compared to the second quarter of 2020.</w:t>
      </w:r>
    </w:p>
    <w:p w:rsidR="00000000" w:rsidRDefault="00967E53">
      <w:pPr>
        <w:ind w:firstLine="360"/>
        <w:jc w:val="both"/>
        <w:divId w:val="566456420"/>
        <w:rPr>
          <w:rFonts w:eastAsia="Times New Roman"/>
        </w:rPr>
      </w:pPr>
      <w:r>
        <w:rPr>
          <w:rFonts w:eastAsia="Times New Roman"/>
          <w:color w:val="000000"/>
          <w:sz w:val="20"/>
          <w:szCs w:val="20"/>
        </w:rPr>
        <w:t>Revenues in our land segment were $2.5 billion for the second quarter of 2021, an increase of $1</w:t>
      </w:r>
      <w:r>
        <w:rPr>
          <w:rFonts w:eastAsia="Times New Roman"/>
          <w:color w:val="000000"/>
          <w:sz w:val="20"/>
          <w:szCs w:val="20"/>
        </w:rPr>
        <w:t>.3 billion, or 105%, compared to the second quarter of 2020. The increase in revenue was principally driven by higher average prices. The average price per gallon sold increased by 89% in the second quarter of 2021 compared to the second quarter of 2020. I</w:t>
      </w:r>
      <w:r>
        <w:rPr>
          <w:rFonts w:eastAsia="Times New Roman"/>
          <w:color w:val="000000"/>
          <w:sz w:val="20"/>
          <w:szCs w:val="20"/>
        </w:rPr>
        <w:t>n addition, total volumes increased by 120.2 million, or 10%, to 1.3 billion gallons or gallon equivalents in the second quarter of 2021 compared to the second quarter of 2020, primarily due to increased demand in our retail operations in North America.</w:t>
      </w:r>
    </w:p>
    <w:p w:rsidR="00000000" w:rsidRDefault="00967E53">
      <w:pPr>
        <w:ind w:firstLine="360"/>
        <w:jc w:val="both"/>
        <w:divId w:val="1567691797"/>
        <w:rPr>
          <w:rFonts w:eastAsia="Times New Roman"/>
        </w:rPr>
      </w:pPr>
      <w:r>
        <w:rPr>
          <w:rFonts w:eastAsia="Times New Roman"/>
          <w:color w:val="000000"/>
          <w:sz w:val="20"/>
          <w:szCs w:val="20"/>
        </w:rPr>
        <w:t>Re</w:t>
      </w:r>
      <w:r>
        <w:rPr>
          <w:rFonts w:eastAsia="Times New Roman"/>
          <w:color w:val="000000"/>
          <w:sz w:val="20"/>
          <w:szCs w:val="20"/>
        </w:rPr>
        <w:t>venues in our marine segment were $1.8 billion for the second quarter of 2021, an increase of $882.3 million, or 94%, compared to the second quarter of 2020. The increase in revenue was principally driven by a 69% increase in the average price per metric t</w:t>
      </w:r>
      <w:r>
        <w:rPr>
          <w:rFonts w:eastAsia="Times New Roman"/>
          <w:color w:val="000000"/>
          <w:sz w:val="20"/>
          <w:szCs w:val="20"/>
        </w:rPr>
        <w:t>on of bunker fuel sold in the second quarter of 2021 compared to the second quarter of 2020. In addition, total volumes increased by 0.6 million, or 15%, to 4.6 million metric tons in the second quarter of 2021 compared to the second quarter of 2020.</w:t>
      </w:r>
    </w:p>
    <w:p w:rsidR="00000000" w:rsidRDefault="00967E53">
      <w:pPr>
        <w:ind w:firstLine="360"/>
        <w:jc w:val="both"/>
        <w:divId w:val="1835535388"/>
        <w:rPr>
          <w:rFonts w:eastAsia="Times New Roman"/>
        </w:rPr>
      </w:pPr>
      <w:r>
        <w:rPr>
          <w:rFonts w:eastAsia="Times New Roman"/>
          <w:i/>
          <w:iCs/>
          <w:color w:val="000000"/>
          <w:sz w:val="20"/>
          <w:szCs w:val="20"/>
        </w:rPr>
        <w:t>Gross</w:t>
      </w:r>
      <w:r>
        <w:rPr>
          <w:rFonts w:eastAsia="Times New Roman"/>
          <w:i/>
          <w:iCs/>
          <w:color w:val="000000"/>
          <w:sz w:val="20"/>
          <w:szCs w:val="20"/>
        </w:rPr>
        <w:t xml:space="preserve"> Profit. </w:t>
      </w:r>
      <w:r>
        <w:rPr>
          <w:rFonts w:eastAsia="Times New Roman"/>
          <w:color w:val="000000"/>
          <w:sz w:val="20"/>
          <w:szCs w:val="20"/>
        </w:rPr>
        <w:t>Our gross profit for the second quarter of 2021 was $183.9 million, a decrease of $30.0 million, or 14%, compared to the second quarter of 2020. Our gross profit by segment was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010"/>
        <w:gridCol w:w="36"/>
        <w:gridCol w:w="36"/>
        <w:gridCol w:w="36"/>
        <w:gridCol w:w="36"/>
        <w:gridCol w:w="120"/>
        <w:gridCol w:w="1142"/>
        <w:gridCol w:w="36"/>
        <w:gridCol w:w="36"/>
        <w:gridCol w:w="36"/>
        <w:gridCol w:w="36"/>
        <w:gridCol w:w="120"/>
        <w:gridCol w:w="1144"/>
        <w:gridCol w:w="36"/>
        <w:gridCol w:w="36"/>
        <w:gridCol w:w="36"/>
        <w:gridCol w:w="36"/>
        <w:gridCol w:w="121"/>
        <w:gridCol w:w="1144"/>
        <w:gridCol w:w="36"/>
      </w:tblGrid>
      <w:tr w:rsidR="00000000">
        <w:trPr>
          <w:divId w:val="1779106820"/>
        </w:trPr>
        <w:tc>
          <w:tcPr>
            <w:tcW w:w="50" w:type="pct"/>
            <w:vAlign w:val="center"/>
            <w:hideMark/>
          </w:tcPr>
          <w:p w:rsidR="00000000" w:rsidRDefault="00967E53">
            <w:pPr>
              <w:ind w:firstLine="360"/>
              <w:jc w:val="both"/>
              <w:rPr>
                <w:rFonts w:eastAsia="Times New Roman"/>
              </w:rPr>
            </w:pPr>
          </w:p>
        </w:tc>
        <w:tc>
          <w:tcPr>
            <w:tcW w:w="244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779106820"/>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779106820"/>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 Change</w:t>
            </w:r>
          </w:p>
        </w:tc>
      </w:tr>
      <w:tr w:rsidR="00000000">
        <w:trPr>
          <w:divId w:val="1779106820"/>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779106820"/>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73.8 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84.8 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(10.9)</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779106820"/>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22.7 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(14.5)</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779106820"/>
        </w:trPr>
        <w:tc>
          <w:tcPr>
            <w:tcW w:w="0" w:type="auto"/>
            <w:gridSpan w:val="3"/>
            <w:shd w:val="clear" w:color="auto" w:fill="FFFFFF"/>
            <w:tcMar>
              <w:top w:w="30" w:type="dxa"/>
              <w:left w:w="14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gross profit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213.9 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288"/>
        <w:jc w:val="both"/>
        <w:rPr>
          <w:rFonts w:eastAsia="Times New Roman"/>
        </w:rPr>
      </w:pPr>
      <w:r>
        <w:rPr>
          <w:rFonts w:eastAsia="Times New Roman"/>
          <w:color w:val="000000"/>
          <w:sz w:val="20"/>
          <w:szCs w:val="20"/>
        </w:rPr>
        <w:t xml:space="preserve"> Our aviation segment gross profit for the second quarter of 2021 was $87.4 million, a decrease of $4.5 million, or 5%, compared to the second quarter of </w:t>
      </w:r>
      <w:r>
        <w:rPr>
          <w:rFonts w:eastAsia="Times New Roman"/>
          <w:color w:val="000000"/>
          <w:sz w:val="20"/>
          <w:szCs w:val="20"/>
        </w:rPr>
        <w:t>2020. The decrease in gross profit was driven by a reduction in our government-related activity in Afghanistan as a result of the ongoing military withdrawal, the decrease in average margins due to returning to a more normalized core business mix, and lowe</w:t>
      </w:r>
      <w:r>
        <w:rPr>
          <w:rFonts w:eastAsia="Times New Roman"/>
          <w:color w:val="000000"/>
          <w:sz w:val="20"/>
          <w:szCs w:val="20"/>
        </w:rPr>
        <w:t>r physical inventory gains when compared with the second quarter of 2020.</w:t>
      </w:r>
    </w:p>
    <w:p w:rsidR="00000000" w:rsidRDefault="00967E53">
      <w:pPr>
        <w:ind w:firstLine="360"/>
        <w:jc w:val="both"/>
        <w:divId w:val="172500880"/>
        <w:rPr>
          <w:rFonts w:eastAsia="Times New Roman"/>
        </w:rPr>
      </w:pPr>
      <w:r>
        <w:rPr>
          <w:rFonts w:eastAsia="Times New Roman"/>
          <w:color w:val="000000"/>
          <w:sz w:val="20"/>
          <w:szCs w:val="20"/>
        </w:rPr>
        <w:t>Our land segment gross profit for the second quarter of 2021 was $73.8 million, a decrease of $10.9 million, or 13%, compared to the second quarter of 2020. The decrease in gross pro</w:t>
      </w:r>
      <w:r>
        <w:rPr>
          <w:rFonts w:eastAsia="Times New Roman"/>
          <w:color w:val="000000"/>
          <w:sz w:val="20"/>
          <w:szCs w:val="20"/>
        </w:rPr>
        <w:t>fit was primarily attributable to the sale of MSTS, partially offset by increased demand in North America and World Kinect.</w:t>
      </w:r>
    </w:p>
    <w:p w:rsidR="00000000" w:rsidRDefault="00967E53">
      <w:pPr>
        <w:ind w:firstLine="360"/>
        <w:jc w:val="both"/>
        <w:divId w:val="1472796081"/>
        <w:rPr>
          <w:rFonts w:eastAsia="Times New Roman"/>
        </w:rPr>
      </w:pPr>
      <w:r>
        <w:rPr>
          <w:rFonts w:eastAsia="Times New Roman"/>
          <w:color w:val="000000"/>
          <w:sz w:val="20"/>
          <w:szCs w:val="20"/>
        </w:rPr>
        <w:t>Our marine segment gross profit for the second quarter of 2021 was $22.7 million, a decrease of $14.5 million, or 39%, compared to t</w:t>
      </w:r>
      <w:r>
        <w:rPr>
          <w:rFonts w:eastAsia="Times New Roman"/>
          <w:color w:val="000000"/>
          <w:sz w:val="20"/>
          <w:szCs w:val="20"/>
        </w:rPr>
        <w:t>he second quarter of 2020. The decrease in gross profit was principally attributable to lower profitability as compared to the second quarter of 2020, which benefited from volatility arising from the implementation of the IMO 2020 regulations, as well as c</w:t>
      </w:r>
      <w:r>
        <w:rPr>
          <w:rFonts w:eastAsia="Times New Roman"/>
          <w:color w:val="000000"/>
          <w:sz w:val="20"/>
          <w:szCs w:val="20"/>
        </w:rPr>
        <w:t>ompetitive market conditions and limited price volatility in the second quarter of 2021.</w:t>
      </w:r>
    </w:p>
    <w:p w:rsidR="00000000" w:rsidRDefault="00967E53">
      <w:pPr>
        <w:ind w:firstLine="360"/>
        <w:jc w:val="center"/>
        <w:divId w:val="702901249"/>
        <w:rPr>
          <w:rFonts w:eastAsia="Times New Roman"/>
        </w:rPr>
      </w:pPr>
      <w:r>
        <w:rPr>
          <w:rFonts w:eastAsia="Times New Roman"/>
          <w:color w:val="000000"/>
          <w:sz w:val="20"/>
          <w:szCs w:val="20"/>
        </w:rPr>
        <w:t>23</w:t>
      </w:r>
    </w:p>
    <w:p w:rsidR="00000000" w:rsidRDefault="00967E53">
      <w:pPr>
        <w:rPr>
          <w:rFonts w:eastAsia="Times New Roman"/>
        </w:rPr>
      </w:pPr>
      <w:r>
        <w:rPr>
          <w:rFonts w:eastAsia="Times New Roman"/>
        </w:rPr>
        <w:pict>
          <v:rect id="_x0000_i1051" style="width:0;height:1.5pt" o:hralign="center" o:hrstd="t" o:hr="t" fillcolor="#a0a0a0" stroked="f"/>
        </w:pict>
      </w:r>
    </w:p>
    <w:p w:rsidR="00000000" w:rsidRDefault="00967E53">
      <w:pPr>
        <w:ind w:firstLine="360"/>
        <w:jc w:val="both"/>
        <w:divId w:val="2099521177"/>
        <w:rPr>
          <w:rFonts w:eastAsia="Times New Roman"/>
        </w:rPr>
      </w:pPr>
    </w:p>
    <w:p w:rsidR="00000000" w:rsidRDefault="00967E53">
      <w:pPr>
        <w:ind w:firstLine="360"/>
        <w:jc w:val="both"/>
        <w:divId w:val="1299383583"/>
        <w:rPr>
          <w:rFonts w:eastAsia="Times New Roman"/>
        </w:rPr>
      </w:pPr>
    </w:p>
    <w:p w:rsidR="00000000" w:rsidRDefault="00967E53">
      <w:pPr>
        <w:ind w:firstLine="360"/>
        <w:jc w:val="both"/>
        <w:divId w:val="1300724462"/>
        <w:rPr>
          <w:rFonts w:eastAsia="Times New Roman"/>
        </w:rPr>
      </w:pPr>
      <w:r>
        <w:rPr>
          <w:rFonts w:eastAsia="Times New Roman"/>
          <w:i/>
          <w:iCs/>
          <w:color w:val="000000"/>
          <w:sz w:val="20"/>
          <w:szCs w:val="20"/>
        </w:rPr>
        <w:t>Operating Expenses.</w:t>
      </w:r>
      <w:r>
        <w:rPr>
          <w:rFonts w:eastAsia="Times New Roman"/>
          <w:color w:val="000000"/>
          <w:sz w:val="20"/>
          <w:szCs w:val="20"/>
        </w:rPr>
        <w:t xml:space="preserve"> Total operating expenses for the second quarter of 2021 were $153.0 million, a decrease of $49.0 million</w:t>
      </w:r>
      <w:r>
        <w:rPr>
          <w:rFonts w:eastAsia="Times New Roman"/>
          <w:color w:val="000000"/>
          <w:sz w:val="20"/>
          <w:szCs w:val="20"/>
        </w:rPr>
        <w:t>, or 24%, compared to 2020. Our operating expenses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010"/>
        <w:gridCol w:w="36"/>
        <w:gridCol w:w="36"/>
        <w:gridCol w:w="36"/>
        <w:gridCol w:w="36"/>
        <w:gridCol w:w="120"/>
        <w:gridCol w:w="1142"/>
        <w:gridCol w:w="36"/>
        <w:gridCol w:w="36"/>
        <w:gridCol w:w="36"/>
        <w:gridCol w:w="36"/>
        <w:gridCol w:w="120"/>
        <w:gridCol w:w="1144"/>
        <w:gridCol w:w="36"/>
        <w:gridCol w:w="36"/>
        <w:gridCol w:w="36"/>
        <w:gridCol w:w="36"/>
        <w:gridCol w:w="121"/>
        <w:gridCol w:w="1144"/>
        <w:gridCol w:w="36"/>
      </w:tblGrid>
      <w:tr w:rsidR="00000000">
        <w:trPr>
          <w:divId w:val="2141343718"/>
        </w:trPr>
        <w:tc>
          <w:tcPr>
            <w:tcW w:w="50" w:type="pct"/>
            <w:vAlign w:val="center"/>
            <w:hideMark/>
          </w:tcPr>
          <w:p w:rsidR="00000000" w:rsidRDefault="00967E53">
            <w:pPr>
              <w:ind w:firstLine="360"/>
              <w:jc w:val="both"/>
              <w:rPr>
                <w:rFonts w:eastAsia="Times New Roman"/>
              </w:rPr>
            </w:pPr>
          </w:p>
        </w:tc>
        <w:tc>
          <w:tcPr>
            <w:tcW w:w="244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2141343718"/>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2141343718"/>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 Change</w:t>
            </w:r>
          </w:p>
        </w:tc>
      </w:tr>
      <w:tr w:rsidR="00000000">
        <w:trPr>
          <w:divId w:val="2141343718"/>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Compensation and employee benefits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141343718"/>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57.4 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84.4 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(27.0)</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141343718"/>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Asset impairments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(13.9)</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141343718"/>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Restructuring charges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141343718"/>
        </w:trPr>
        <w:tc>
          <w:tcPr>
            <w:tcW w:w="0" w:type="auto"/>
            <w:gridSpan w:val="3"/>
            <w:shd w:val="clear" w:color="auto" w:fill="CCEEFF"/>
            <w:tcMar>
              <w:top w:w="30" w:type="dxa"/>
              <w:left w:w="14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operating expense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153.0 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202.0 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(49.0)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360"/>
        <w:jc w:val="both"/>
        <w:divId w:val="1180660578"/>
        <w:rPr>
          <w:rFonts w:eastAsia="Times New Roman"/>
        </w:rPr>
      </w:pPr>
      <w:r>
        <w:rPr>
          <w:rFonts w:eastAsia="Times New Roman"/>
          <w:color w:val="000000"/>
          <w:sz w:val="20"/>
          <w:szCs w:val="20"/>
        </w:rPr>
        <w:t>General and administrative expenses decreased $27.0 million, primarily driven by a $25.8 million, or 105%, decrease in our provision for credit losses d</w:t>
      </w:r>
      <w:r>
        <w:rPr>
          <w:rFonts w:eastAsia="Times New Roman"/>
          <w:color w:val="000000"/>
          <w:sz w:val="20"/>
          <w:szCs w:val="20"/>
        </w:rPr>
        <w:t>ue to the stabilization of customer credit risk as the global economy continues to recover from the negative effects of the pandemic and the sale of MSTS. In addition, employee compensation costs decreased by $8.0 million, or 8%, in the second quarter of 2</w:t>
      </w:r>
      <w:r>
        <w:rPr>
          <w:rFonts w:eastAsia="Times New Roman"/>
          <w:color w:val="000000"/>
          <w:sz w:val="20"/>
          <w:szCs w:val="20"/>
        </w:rPr>
        <w:t xml:space="preserve">021 compared to the second quarter of 2020, also principally due to the sale of MSTS. In 2020, total operating expense was also impacted by impairment charges associated with our decision to rationalize our global office footprint. </w:t>
      </w:r>
    </w:p>
    <w:p w:rsidR="00000000" w:rsidRDefault="00967E53">
      <w:pPr>
        <w:ind w:firstLine="360"/>
        <w:jc w:val="both"/>
        <w:divId w:val="782841836"/>
        <w:rPr>
          <w:rFonts w:eastAsia="Times New Roman"/>
        </w:rPr>
      </w:pPr>
      <w:r>
        <w:rPr>
          <w:rFonts w:eastAsia="Times New Roman"/>
          <w:i/>
          <w:iCs/>
          <w:color w:val="000000"/>
          <w:sz w:val="20"/>
          <w:szCs w:val="20"/>
        </w:rPr>
        <w:t>Income from Operations</w:t>
      </w:r>
      <w:r>
        <w:rPr>
          <w:rFonts w:eastAsia="Times New Roman"/>
          <w:color w:val="000000"/>
          <w:sz w:val="20"/>
          <w:szCs w:val="20"/>
        </w:rPr>
        <w:t>.</w:t>
      </w:r>
      <w:r>
        <w:rPr>
          <w:rFonts w:eastAsia="Times New Roman"/>
          <w:color w:val="000000"/>
          <w:sz w:val="20"/>
          <w:szCs w:val="20"/>
        </w:rPr>
        <w:t xml:space="preserve"> Our income from operations for the second quarter of 2021 was $30.9 million, an increase of $19.1 million, or 160%, compared to the second quarter of 2020. Income from operations by segment was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009"/>
        <w:gridCol w:w="37"/>
        <w:gridCol w:w="36"/>
        <w:gridCol w:w="36"/>
        <w:gridCol w:w="36"/>
        <w:gridCol w:w="120"/>
        <w:gridCol w:w="1142"/>
        <w:gridCol w:w="36"/>
        <w:gridCol w:w="36"/>
        <w:gridCol w:w="36"/>
        <w:gridCol w:w="36"/>
        <w:gridCol w:w="120"/>
        <w:gridCol w:w="1143"/>
        <w:gridCol w:w="36"/>
        <w:gridCol w:w="36"/>
        <w:gridCol w:w="36"/>
        <w:gridCol w:w="36"/>
        <w:gridCol w:w="121"/>
        <w:gridCol w:w="1144"/>
        <w:gridCol w:w="36"/>
      </w:tblGrid>
      <w:tr w:rsidR="00000000">
        <w:trPr>
          <w:divId w:val="1165049693"/>
        </w:trPr>
        <w:tc>
          <w:tcPr>
            <w:tcW w:w="50" w:type="pct"/>
            <w:vAlign w:val="center"/>
            <w:hideMark/>
          </w:tcPr>
          <w:p w:rsidR="00000000" w:rsidRDefault="00967E53">
            <w:pPr>
              <w:ind w:firstLine="360"/>
              <w:jc w:val="both"/>
              <w:rPr>
                <w:rFonts w:eastAsia="Times New Roman"/>
              </w:rPr>
            </w:pPr>
          </w:p>
        </w:tc>
        <w:tc>
          <w:tcPr>
            <w:tcW w:w="244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165049693"/>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165049693"/>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 Change</w:t>
            </w:r>
          </w:p>
        </w:tc>
      </w:tr>
      <w:tr w:rsidR="00000000">
        <w:trPr>
          <w:divId w:val="116504969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165049693"/>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16504969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165049693"/>
        </w:trPr>
        <w:tc>
          <w:tcPr>
            <w:tcW w:w="0" w:type="auto"/>
            <w:gridSpan w:val="3"/>
            <w:vAlign w:val="center"/>
            <w:hideMark/>
          </w:tcPr>
          <w:p w:rsidR="00000000" w:rsidRDefault="00967E53">
            <w:pPr>
              <w:spacing w:after="100"/>
              <w:jc w:val="right"/>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1165049693"/>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Corporate overhead - unallocated</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(15.9)</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(20.1)</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165049693"/>
        </w:trPr>
        <w:tc>
          <w:tcPr>
            <w:tcW w:w="0" w:type="auto"/>
            <w:gridSpan w:val="3"/>
            <w:shd w:val="clear" w:color="auto" w:fill="CCEEFF"/>
            <w:tcMar>
              <w:top w:w="30" w:type="dxa"/>
              <w:left w:w="14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360"/>
        <w:jc w:val="both"/>
        <w:divId w:val="1775199996"/>
        <w:rPr>
          <w:rFonts w:eastAsia="Times New Roman"/>
        </w:rPr>
      </w:pPr>
      <w:r>
        <w:rPr>
          <w:rFonts w:eastAsia="Times New Roman"/>
          <w:color w:val="000000"/>
          <w:sz w:val="20"/>
          <w:szCs w:val="20"/>
        </w:rPr>
        <w:t>Income from operations in our aviation segment for the second quarter of 2021 was $34.0 million, an increase of $25.1 million, or 279%, compared to the seco</w:t>
      </w:r>
      <w:r>
        <w:rPr>
          <w:rFonts w:eastAsia="Times New Roman"/>
          <w:color w:val="000000"/>
          <w:sz w:val="20"/>
          <w:szCs w:val="20"/>
        </w:rPr>
        <w:t>nd quarter of 2020. In 2021, our aviation segment principally benefited from a reduction in the provision for credit losses due to the stabilization of customer credit risk as the global aviation industry continues to recover and the global office footprin</w:t>
      </w:r>
      <w:r>
        <w:rPr>
          <w:rFonts w:eastAsia="Times New Roman"/>
          <w:color w:val="000000"/>
          <w:sz w:val="20"/>
          <w:szCs w:val="20"/>
        </w:rPr>
        <w:t>t rationalization that resulted in the recognition of an impairment in the second quarter of 2020.</w:t>
      </w:r>
    </w:p>
    <w:p w:rsidR="00000000" w:rsidRDefault="00967E53">
      <w:pPr>
        <w:ind w:firstLine="360"/>
        <w:jc w:val="both"/>
        <w:divId w:val="138621129"/>
        <w:rPr>
          <w:rFonts w:eastAsia="Times New Roman"/>
        </w:rPr>
      </w:pPr>
      <w:r>
        <w:rPr>
          <w:rFonts w:eastAsia="Times New Roman"/>
          <w:color w:val="000000"/>
          <w:sz w:val="20"/>
          <w:szCs w:val="20"/>
        </w:rPr>
        <w:t>In our land segment, income from operations for the second quarter of 2021 was $8.1 million, a decrease of $1.6 million, or 17%, compared to 2020, attributab</w:t>
      </w:r>
      <w:r>
        <w:rPr>
          <w:rFonts w:eastAsia="Times New Roman"/>
          <w:color w:val="000000"/>
          <w:sz w:val="20"/>
          <w:szCs w:val="20"/>
        </w:rPr>
        <w:t>le due to the sale of MSTS in 2020 as well as costs incurred during the second quarter of 2020 associated with a specific business opportunity.</w:t>
      </w:r>
    </w:p>
    <w:p w:rsidR="00000000" w:rsidRDefault="00967E53">
      <w:pPr>
        <w:ind w:firstLine="360"/>
        <w:jc w:val="both"/>
        <w:divId w:val="317536486"/>
        <w:rPr>
          <w:rFonts w:eastAsia="Times New Roman"/>
        </w:rPr>
      </w:pPr>
      <w:r>
        <w:rPr>
          <w:rFonts w:eastAsia="Times New Roman"/>
          <w:color w:val="000000"/>
          <w:sz w:val="20"/>
          <w:szCs w:val="20"/>
        </w:rPr>
        <w:t>Our marine segment income from operations for the second quarter of 2021 was $4.8 million, a decrease of $8.6 mi</w:t>
      </w:r>
      <w:r>
        <w:rPr>
          <w:rFonts w:eastAsia="Times New Roman"/>
          <w:color w:val="000000"/>
          <w:sz w:val="20"/>
          <w:szCs w:val="20"/>
        </w:rPr>
        <w:t>llion, or 64%, compared to the second quarter of 2020, which benefited from volatility arising from the implementation of the IMO 2020 regulations, as well as competitive market conditions and limited price volatility in the second quarter of 2021, partial</w:t>
      </w:r>
      <w:r>
        <w:rPr>
          <w:rFonts w:eastAsia="Times New Roman"/>
          <w:color w:val="000000"/>
          <w:sz w:val="20"/>
          <w:szCs w:val="20"/>
        </w:rPr>
        <w:t>ly offset by a $6.0 million reduction in operating expenses largely driven by the decrease in our provision for credit losses in the second quarter of 2021.</w:t>
      </w:r>
    </w:p>
    <w:p w:rsidR="00000000" w:rsidRDefault="00967E53">
      <w:pPr>
        <w:ind w:firstLine="360"/>
        <w:jc w:val="both"/>
        <w:divId w:val="1821650308"/>
        <w:rPr>
          <w:rFonts w:eastAsia="Times New Roman"/>
        </w:rPr>
      </w:pPr>
      <w:r>
        <w:rPr>
          <w:rFonts w:eastAsia="Times New Roman"/>
          <w:color w:val="000000"/>
          <w:sz w:val="20"/>
          <w:szCs w:val="20"/>
        </w:rPr>
        <w:t>Corporate overhead costs not charged to the business segments for the second quarter of 2021 were $</w:t>
      </w:r>
      <w:r>
        <w:rPr>
          <w:rFonts w:eastAsia="Times New Roman"/>
          <w:color w:val="000000"/>
          <w:sz w:val="20"/>
          <w:szCs w:val="20"/>
        </w:rPr>
        <w:t>15.9 million, a decrease of $4.2 million, or 21%, compared to 2020, primarily attributable to the impairment charge recognized in 2020 as part of the office footprint rationalization and divestiture related costs incurred in the second quarter of 2020.</w:t>
      </w:r>
    </w:p>
    <w:p w:rsidR="00000000" w:rsidRDefault="00967E53">
      <w:pPr>
        <w:ind w:firstLine="360"/>
        <w:jc w:val="both"/>
        <w:divId w:val="703675275"/>
        <w:rPr>
          <w:rFonts w:eastAsia="Times New Roman"/>
        </w:rPr>
      </w:pPr>
      <w:r>
        <w:rPr>
          <w:rFonts w:eastAsia="Times New Roman"/>
          <w:i/>
          <w:iCs/>
          <w:color w:val="000000"/>
          <w:sz w:val="20"/>
          <w:szCs w:val="20"/>
        </w:rPr>
        <w:t>Non</w:t>
      </w:r>
      <w:r>
        <w:rPr>
          <w:rFonts w:eastAsia="Times New Roman"/>
          <w:i/>
          <w:iCs/>
          <w:color w:val="000000"/>
          <w:sz w:val="20"/>
          <w:szCs w:val="20"/>
        </w:rPr>
        <w:t>-Operating Income (Expense), net.</w:t>
      </w:r>
      <w:r>
        <w:rPr>
          <w:rFonts w:eastAsia="Times New Roman"/>
          <w:color w:val="000000"/>
          <w:sz w:val="20"/>
          <w:szCs w:val="20"/>
        </w:rPr>
        <w:t xml:space="preserve"> For the second quarter of 2021, we had a non-operating expense of $11.4 million compared to $14.9 million in 2020. Non-operating expenses were higher in the second quarter of 2020, primarily as a result of foreign currency</w:t>
      </w:r>
      <w:r>
        <w:rPr>
          <w:rFonts w:eastAsia="Times New Roman"/>
          <w:color w:val="000000"/>
          <w:sz w:val="20"/>
          <w:szCs w:val="20"/>
        </w:rPr>
        <w:t xml:space="preserve"> losses.</w:t>
      </w:r>
    </w:p>
    <w:p w:rsidR="00000000" w:rsidRDefault="00967E53">
      <w:pPr>
        <w:ind w:firstLine="360"/>
        <w:jc w:val="both"/>
        <w:divId w:val="1758744381"/>
        <w:rPr>
          <w:rFonts w:eastAsia="Times New Roman"/>
        </w:rPr>
      </w:pPr>
      <w:r>
        <w:rPr>
          <w:rFonts w:eastAsia="Times New Roman"/>
          <w:i/>
          <w:iCs/>
          <w:color w:val="000000"/>
          <w:sz w:val="20"/>
          <w:szCs w:val="20"/>
        </w:rPr>
        <w:t>Income Taxes</w:t>
      </w:r>
      <w:r>
        <w:rPr>
          <w:rFonts w:eastAsia="Times New Roman"/>
          <w:color w:val="000000"/>
          <w:sz w:val="20"/>
          <w:szCs w:val="20"/>
        </w:rPr>
        <w:t>. For the second quarter of 2021, our income tax provision was $2.0 million and our effective income tax rate was 10%, compared to an income tax provision of $7.7 million and an effective income tax rate of (258 %) for the second quart</w:t>
      </w:r>
      <w:r>
        <w:rPr>
          <w:rFonts w:eastAsia="Times New Roman"/>
          <w:color w:val="000000"/>
          <w:sz w:val="20"/>
          <w:szCs w:val="20"/>
        </w:rPr>
        <w:t>er of 2020. The change in income tax provision resulted primarily from differences in the results of our subsidiaries in tax jurisdictions with different tax rates, and a $2.6 million discrete tax benefit, net for the second quarter of 2021 compared to a $</w:t>
      </w:r>
      <w:r>
        <w:rPr>
          <w:rFonts w:eastAsia="Times New Roman"/>
          <w:color w:val="000000"/>
          <w:sz w:val="20"/>
          <w:szCs w:val="20"/>
        </w:rPr>
        <w:t>3.4 million discrete tax expense, net in 2020. See Note 8. Income Taxes for additional information.</w:t>
      </w:r>
    </w:p>
    <w:p w:rsidR="00000000" w:rsidRDefault="00967E53">
      <w:pPr>
        <w:ind w:firstLine="360"/>
        <w:jc w:val="center"/>
        <w:divId w:val="1775051303"/>
        <w:rPr>
          <w:rFonts w:eastAsia="Times New Roman"/>
        </w:rPr>
      </w:pPr>
      <w:r>
        <w:rPr>
          <w:rFonts w:eastAsia="Times New Roman"/>
          <w:color w:val="000000"/>
          <w:sz w:val="20"/>
          <w:szCs w:val="20"/>
        </w:rPr>
        <w:t>24</w:t>
      </w:r>
    </w:p>
    <w:p w:rsidR="00000000" w:rsidRDefault="00967E53">
      <w:pPr>
        <w:rPr>
          <w:rFonts w:eastAsia="Times New Roman"/>
        </w:rPr>
      </w:pPr>
      <w:r>
        <w:rPr>
          <w:rFonts w:eastAsia="Times New Roman"/>
        </w:rPr>
        <w:pict>
          <v:rect id="_x0000_i1052" style="width:0;height:1.5pt" o:hralign="center" o:hrstd="t" o:hr="t" fillcolor="#a0a0a0" stroked="f"/>
        </w:pict>
      </w:r>
    </w:p>
    <w:p w:rsidR="00000000" w:rsidRDefault="00967E53">
      <w:pPr>
        <w:ind w:firstLine="360"/>
        <w:jc w:val="both"/>
        <w:divId w:val="734157251"/>
        <w:rPr>
          <w:rFonts w:eastAsia="Times New Roman"/>
        </w:rPr>
      </w:pPr>
    </w:p>
    <w:p w:rsidR="00000000" w:rsidRDefault="00967E53">
      <w:pPr>
        <w:ind w:firstLine="360"/>
        <w:jc w:val="both"/>
        <w:divId w:val="977950816"/>
        <w:rPr>
          <w:rFonts w:eastAsia="Times New Roman"/>
        </w:rPr>
      </w:pPr>
    </w:p>
    <w:p w:rsidR="00000000" w:rsidRDefault="00967E53">
      <w:pPr>
        <w:ind w:firstLine="360"/>
        <w:jc w:val="both"/>
        <w:divId w:val="1735814067"/>
        <w:rPr>
          <w:rFonts w:eastAsia="Times New Roman"/>
        </w:rPr>
      </w:pPr>
      <w:r>
        <w:rPr>
          <w:rFonts w:eastAsia="Times New Roman"/>
          <w:i/>
          <w:iCs/>
          <w:color w:val="000000"/>
          <w:sz w:val="20"/>
          <w:szCs w:val="20"/>
        </w:rPr>
        <w:t>Net Income Attributable to World Fuel and Diluted Earnings per Common Share</w:t>
      </w:r>
      <w:r>
        <w:rPr>
          <w:rFonts w:eastAsia="Times New Roman"/>
          <w:color w:val="000000"/>
          <w:sz w:val="20"/>
          <w:szCs w:val="20"/>
        </w:rPr>
        <w:t xml:space="preserve">. For the second quarter of 2021, we </w:t>
      </w:r>
      <w:r>
        <w:rPr>
          <w:rFonts w:eastAsia="Times New Roman"/>
          <w:color w:val="000000"/>
          <w:sz w:val="20"/>
          <w:szCs w:val="20"/>
        </w:rPr>
        <w:t>had net income attributable to World Fuel of $17.6 million and diluted income per common share of $0.28 compared to net loss attributable to World Fuel of $10.2 million and diluted loss per common share of $0.16 for the second quarter of 2020.</w:t>
      </w:r>
    </w:p>
    <w:p w:rsidR="00000000" w:rsidRDefault="00967E53">
      <w:pPr>
        <w:ind w:firstLine="360"/>
        <w:divId w:val="1296596888"/>
        <w:rPr>
          <w:rFonts w:eastAsia="Times New Roman"/>
        </w:rPr>
      </w:pPr>
      <w:r>
        <w:rPr>
          <w:rFonts w:eastAsia="Times New Roman"/>
          <w:color w:val="000000"/>
          <w:sz w:val="20"/>
          <w:szCs w:val="20"/>
          <w:u w:val="single"/>
        </w:rPr>
        <w:t>Six Months E</w:t>
      </w:r>
      <w:r>
        <w:rPr>
          <w:rFonts w:eastAsia="Times New Roman"/>
          <w:color w:val="000000"/>
          <w:sz w:val="20"/>
          <w:szCs w:val="20"/>
          <w:u w:val="single"/>
        </w:rPr>
        <w:t>nded June 30, 2021 Compared to Six Months Ended June 30, 2020</w:t>
      </w:r>
    </w:p>
    <w:p w:rsidR="00000000" w:rsidRDefault="00967E53">
      <w:pPr>
        <w:ind w:firstLine="360"/>
        <w:jc w:val="both"/>
        <w:divId w:val="158737828"/>
        <w:rPr>
          <w:rFonts w:eastAsia="Times New Roman"/>
        </w:rPr>
      </w:pPr>
      <w:r>
        <w:rPr>
          <w:rFonts w:eastAsia="Times New Roman"/>
          <w:i/>
          <w:iCs/>
          <w:color w:val="000000"/>
          <w:sz w:val="20"/>
          <w:szCs w:val="20"/>
        </w:rPr>
        <w:t>Revenue.</w:t>
      </w:r>
      <w:r>
        <w:rPr>
          <w:rFonts w:eastAsia="Times New Roman"/>
          <w:color w:val="000000"/>
          <w:sz w:val="20"/>
          <w:szCs w:val="20"/>
        </w:rPr>
        <w:t xml:space="preserve"> Our revenue for the first six months of 2021 was $13.0 billion, an increase of $1.9 billion, or 17%, compared to the first six months of 2020. Our revenue by segment was as follows (in </w:t>
      </w:r>
      <w:r>
        <w:rPr>
          <w:rFonts w:eastAsia="Times New Roman"/>
          <w:color w:val="000000"/>
          <w:sz w:val="20"/>
          <w:szCs w:val="20"/>
        </w:rPr>
        <w:t>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010"/>
        <w:gridCol w:w="36"/>
        <w:gridCol w:w="36"/>
        <w:gridCol w:w="36"/>
        <w:gridCol w:w="36"/>
        <w:gridCol w:w="120"/>
        <w:gridCol w:w="1142"/>
        <w:gridCol w:w="36"/>
        <w:gridCol w:w="36"/>
        <w:gridCol w:w="36"/>
        <w:gridCol w:w="36"/>
        <w:gridCol w:w="120"/>
        <w:gridCol w:w="1144"/>
        <w:gridCol w:w="36"/>
        <w:gridCol w:w="36"/>
        <w:gridCol w:w="36"/>
        <w:gridCol w:w="36"/>
        <w:gridCol w:w="121"/>
        <w:gridCol w:w="1144"/>
        <w:gridCol w:w="36"/>
      </w:tblGrid>
      <w:tr w:rsidR="00000000">
        <w:trPr>
          <w:divId w:val="2059889391"/>
        </w:trPr>
        <w:tc>
          <w:tcPr>
            <w:tcW w:w="50" w:type="pct"/>
            <w:vAlign w:val="center"/>
            <w:hideMark/>
          </w:tcPr>
          <w:p w:rsidR="00000000" w:rsidRDefault="00967E53">
            <w:pPr>
              <w:ind w:firstLine="360"/>
              <w:jc w:val="both"/>
              <w:rPr>
                <w:rFonts w:eastAsia="Times New Roman"/>
              </w:rPr>
            </w:pPr>
          </w:p>
        </w:tc>
        <w:tc>
          <w:tcPr>
            <w:tcW w:w="244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2059889391"/>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Six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2059889391"/>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 Change</w:t>
            </w:r>
          </w:p>
        </w:tc>
      </w:tr>
      <w:tr w:rsidR="00000000">
        <w:trPr>
          <w:divId w:val="2059889391"/>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4,900.8 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4,784.8 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9889391"/>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4,645.4 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3,303.6 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1,341.8 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9889391"/>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3,497.1 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3,085.2 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411.9 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59889391"/>
        </w:trPr>
        <w:tc>
          <w:tcPr>
            <w:tcW w:w="0" w:type="auto"/>
            <w:gridSpan w:val="3"/>
            <w:shd w:val="clear" w:color="auto" w:fill="FFFFFF"/>
            <w:tcMar>
              <w:top w:w="30" w:type="dxa"/>
              <w:left w:w="14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13,043.4 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11,173.5 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1,869.9 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360"/>
        <w:jc w:val="both"/>
        <w:divId w:val="13963301"/>
        <w:rPr>
          <w:rFonts w:eastAsia="Times New Roman"/>
        </w:rPr>
      </w:pPr>
      <w:r>
        <w:rPr>
          <w:rFonts w:eastAsia="Times New Roman"/>
          <w:color w:val="000000"/>
          <w:sz w:val="20"/>
          <w:szCs w:val="20"/>
        </w:rPr>
        <w:t>Revenues in our aviation segment were $4.9 billion for the first six months of 2</w:t>
      </w:r>
      <w:r>
        <w:rPr>
          <w:rFonts w:eastAsia="Times New Roman"/>
          <w:color w:val="000000"/>
          <w:sz w:val="20"/>
          <w:szCs w:val="20"/>
        </w:rPr>
        <w:t>021, an increase of $116.1 million, or 2%, compared to the first six months of 2020. The increase in revenue was driven by higher average prices, partially offset by decreased volumes. Average jet fuel price per gallon sold increased by 16% in the first si</w:t>
      </w:r>
      <w:r>
        <w:rPr>
          <w:rFonts w:eastAsia="Times New Roman"/>
          <w:color w:val="000000"/>
          <w:sz w:val="20"/>
          <w:szCs w:val="20"/>
        </w:rPr>
        <w:t>x months of 2021 compared to the first six months of 2020. Total aviation volumes decreased by 15.7 million, or 1%, to 2.5 billion gallons, as a result of the decline in activity in our commercial aviation business due to the impact of the COVID-19 pandemi</w:t>
      </w:r>
      <w:r>
        <w:rPr>
          <w:rFonts w:eastAsia="Times New Roman"/>
          <w:color w:val="000000"/>
          <w:sz w:val="20"/>
          <w:szCs w:val="20"/>
        </w:rPr>
        <w:t xml:space="preserve">c on air travel beginning in the second quarter of 2020. </w:t>
      </w:r>
    </w:p>
    <w:p w:rsidR="00000000" w:rsidRDefault="00967E53">
      <w:pPr>
        <w:ind w:firstLine="360"/>
        <w:jc w:val="both"/>
        <w:divId w:val="1936940803"/>
        <w:rPr>
          <w:rFonts w:eastAsia="Times New Roman"/>
        </w:rPr>
      </w:pPr>
      <w:r>
        <w:rPr>
          <w:rFonts w:eastAsia="Times New Roman"/>
          <w:color w:val="000000"/>
          <w:sz w:val="20"/>
          <w:szCs w:val="20"/>
        </w:rPr>
        <w:t xml:space="preserve">Revenues in our land segment were $4.6 billion for the first six months of 2021, an increase of $1.3 billion, or 41%, compared to the first six months of 2020. The increase in revenue was driven by </w:t>
      </w:r>
      <w:r>
        <w:rPr>
          <w:rFonts w:eastAsia="Times New Roman"/>
          <w:color w:val="000000"/>
          <w:sz w:val="20"/>
          <w:szCs w:val="20"/>
        </w:rPr>
        <w:t>higher average prices and increased volume. Average fuel price sold increased 40% in the first six months of 2021 compared to the first six months of 2020. Total volumes increased by 42.2 million, or 2%, to 2.6 billion gallon or gallon equivalents in the f</w:t>
      </w:r>
      <w:r>
        <w:rPr>
          <w:rFonts w:eastAsia="Times New Roman"/>
          <w:color w:val="000000"/>
          <w:sz w:val="20"/>
          <w:szCs w:val="20"/>
        </w:rPr>
        <w:t>irst six months of 2021 compared to the first six months of 2020, primarily driven by growth in World Kinect.</w:t>
      </w:r>
    </w:p>
    <w:p w:rsidR="00000000" w:rsidRDefault="00967E53">
      <w:pPr>
        <w:ind w:firstLine="360"/>
        <w:jc w:val="both"/>
        <w:divId w:val="545261638"/>
        <w:rPr>
          <w:rFonts w:eastAsia="Times New Roman"/>
        </w:rPr>
      </w:pPr>
      <w:r>
        <w:rPr>
          <w:rFonts w:eastAsia="Times New Roman"/>
          <w:color w:val="000000"/>
          <w:sz w:val="20"/>
          <w:szCs w:val="20"/>
        </w:rPr>
        <w:t>Revenues in our marine segment were $3.5 billion for the first six months of 2021, an increase of $411.9 million, or 13%, compared to the first si</w:t>
      </w:r>
      <w:r>
        <w:rPr>
          <w:rFonts w:eastAsia="Times New Roman"/>
          <w:color w:val="000000"/>
          <w:sz w:val="20"/>
          <w:szCs w:val="20"/>
        </w:rPr>
        <w:t xml:space="preserve">x months of 2020. The increase in revenue was driven by a 14% increase in the average price per metric ton of bunker fuel sold, partially offset by decreased volume. Total volumes decreased by 0.1 metric tons, or 1%, from 8.9 to 8.8 million metric tons in </w:t>
      </w:r>
      <w:r>
        <w:rPr>
          <w:rFonts w:eastAsia="Times New Roman"/>
          <w:color w:val="000000"/>
          <w:sz w:val="20"/>
          <w:szCs w:val="20"/>
        </w:rPr>
        <w:t xml:space="preserve">the first six months of 2021 compared to 2020. </w:t>
      </w:r>
    </w:p>
    <w:p w:rsidR="00000000" w:rsidRDefault="00967E53">
      <w:pPr>
        <w:ind w:firstLine="360"/>
        <w:jc w:val="both"/>
        <w:divId w:val="2069917850"/>
        <w:rPr>
          <w:rFonts w:eastAsia="Times New Roman"/>
        </w:rPr>
      </w:pPr>
      <w:r>
        <w:rPr>
          <w:rFonts w:eastAsia="Times New Roman"/>
          <w:i/>
          <w:iCs/>
          <w:color w:val="000000"/>
          <w:sz w:val="20"/>
          <w:szCs w:val="20"/>
        </w:rPr>
        <w:t>Gross Profit. </w:t>
      </w:r>
      <w:r>
        <w:rPr>
          <w:rFonts w:eastAsia="Times New Roman"/>
          <w:color w:val="000000"/>
          <w:sz w:val="20"/>
          <w:szCs w:val="20"/>
        </w:rPr>
        <w:t>Our gross profit for the first six months of 2021 was $375.5 million, a decrease of $97.1 million, or 21%, compared to the first six months of 2020. Our gross profit by segment was as follows (i</w:t>
      </w:r>
      <w:r>
        <w:rPr>
          <w:rFonts w:eastAsia="Times New Roman"/>
          <w:color w:val="000000"/>
          <w:sz w:val="20"/>
          <w:szCs w:val="20"/>
        </w:rPr>
        <w:t>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010"/>
        <w:gridCol w:w="36"/>
        <w:gridCol w:w="36"/>
        <w:gridCol w:w="36"/>
        <w:gridCol w:w="36"/>
        <w:gridCol w:w="120"/>
        <w:gridCol w:w="1142"/>
        <w:gridCol w:w="36"/>
        <w:gridCol w:w="36"/>
        <w:gridCol w:w="36"/>
        <w:gridCol w:w="36"/>
        <w:gridCol w:w="120"/>
        <w:gridCol w:w="1144"/>
        <w:gridCol w:w="36"/>
        <w:gridCol w:w="36"/>
        <w:gridCol w:w="36"/>
        <w:gridCol w:w="36"/>
        <w:gridCol w:w="121"/>
        <w:gridCol w:w="1144"/>
        <w:gridCol w:w="36"/>
      </w:tblGrid>
      <w:tr w:rsidR="00000000">
        <w:trPr>
          <w:divId w:val="1837916213"/>
        </w:trPr>
        <w:tc>
          <w:tcPr>
            <w:tcW w:w="50" w:type="pct"/>
            <w:vAlign w:val="center"/>
            <w:hideMark/>
          </w:tcPr>
          <w:p w:rsidR="00000000" w:rsidRDefault="00967E53">
            <w:pPr>
              <w:ind w:firstLine="360"/>
              <w:jc w:val="both"/>
              <w:rPr>
                <w:rFonts w:eastAsia="Times New Roman"/>
              </w:rPr>
            </w:pPr>
          </w:p>
        </w:tc>
        <w:tc>
          <w:tcPr>
            <w:tcW w:w="244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837916213"/>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Six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1837916213"/>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 Change</w:t>
            </w:r>
          </w:p>
        </w:tc>
      </w:tr>
      <w:tr w:rsidR="00000000">
        <w:trPr>
          <w:divId w:val="183791621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164.1 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37916213"/>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163.3 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191.0 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(27.8)</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37916213"/>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48.2 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96.6 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(48.4)</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837916213"/>
        </w:trPr>
        <w:tc>
          <w:tcPr>
            <w:tcW w:w="0" w:type="auto"/>
            <w:gridSpan w:val="3"/>
            <w:shd w:val="clear" w:color="auto" w:fill="FFFFFF"/>
            <w:tcMar>
              <w:top w:w="30" w:type="dxa"/>
              <w:left w:w="14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gross profit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472.6 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(97.1)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360"/>
        <w:jc w:val="both"/>
        <w:divId w:val="1839491297"/>
        <w:rPr>
          <w:rFonts w:eastAsia="Times New Roman"/>
        </w:rPr>
      </w:pPr>
      <w:r>
        <w:rPr>
          <w:rFonts w:eastAsia="Times New Roman"/>
          <w:color w:val="000000"/>
          <w:sz w:val="20"/>
          <w:szCs w:val="20"/>
        </w:rPr>
        <w:t>Our aviation segment gross profit for the first six months of 2021 was $164.1 mi</w:t>
      </w:r>
      <w:r>
        <w:rPr>
          <w:rFonts w:eastAsia="Times New Roman"/>
          <w:color w:val="000000"/>
          <w:sz w:val="20"/>
          <w:szCs w:val="20"/>
        </w:rPr>
        <w:t>llion, a decrease of $21.0 million, or 11%, compared to the first six months of 2020. The decrease in gross profit was primarily due to the continued reduction in our government-related activity in Afghanistan as a result of the ongoing military withdrawal</w:t>
      </w:r>
      <w:r>
        <w:rPr>
          <w:rFonts w:eastAsia="Times New Roman"/>
          <w:color w:val="000000"/>
          <w:sz w:val="20"/>
          <w:szCs w:val="20"/>
        </w:rPr>
        <w:t>, partially offset by recovery in demand for air travel.</w:t>
      </w:r>
    </w:p>
    <w:p w:rsidR="00000000" w:rsidRDefault="00967E53">
      <w:pPr>
        <w:ind w:firstLine="360"/>
        <w:jc w:val="both"/>
        <w:divId w:val="659576423"/>
        <w:rPr>
          <w:rFonts w:eastAsia="Times New Roman"/>
        </w:rPr>
      </w:pPr>
      <w:r>
        <w:rPr>
          <w:rFonts w:eastAsia="Times New Roman"/>
          <w:color w:val="000000"/>
          <w:sz w:val="20"/>
          <w:szCs w:val="20"/>
        </w:rPr>
        <w:t>Our land segment gross profit for the first six months of 2021 was $163.3 million, a decrease of $27.8 million, or 15%, compared to the first six months of 2020. The decrease in gross profit was prim</w:t>
      </w:r>
      <w:r>
        <w:rPr>
          <w:rFonts w:eastAsia="Times New Roman"/>
          <w:color w:val="000000"/>
          <w:sz w:val="20"/>
          <w:szCs w:val="20"/>
        </w:rPr>
        <w:t>arily attributable to the sale of MSTS, partially offset by improved performance by our natural gas business in North America.</w:t>
      </w:r>
    </w:p>
    <w:p w:rsidR="00000000" w:rsidRDefault="00967E53">
      <w:pPr>
        <w:ind w:firstLine="360"/>
        <w:jc w:val="both"/>
        <w:divId w:val="1347095456"/>
        <w:rPr>
          <w:rFonts w:eastAsia="Times New Roman"/>
        </w:rPr>
      </w:pPr>
      <w:r>
        <w:rPr>
          <w:rFonts w:eastAsia="Times New Roman"/>
          <w:color w:val="000000"/>
          <w:sz w:val="20"/>
          <w:szCs w:val="20"/>
        </w:rPr>
        <w:t>Our marine segment gross profit for the first six months of 2021 was $48.2 million, a decrease of $48.4 million, or 50%, compared</w:t>
      </w:r>
      <w:r>
        <w:rPr>
          <w:rFonts w:eastAsia="Times New Roman"/>
          <w:color w:val="000000"/>
          <w:sz w:val="20"/>
          <w:szCs w:val="20"/>
        </w:rPr>
        <w:t xml:space="preserve"> to the first six months of 2020. The decrease in gross profit was primarily attributable to lower profitability as compared to the strong results in the first six months of 2020, which benefited from volatility arising from the implementation of the IMO 2</w:t>
      </w:r>
      <w:r>
        <w:rPr>
          <w:rFonts w:eastAsia="Times New Roman"/>
          <w:color w:val="000000"/>
          <w:sz w:val="20"/>
          <w:szCs w:val="20"/>
        </w:rPr>
        <w:t>020 regulations, as well as competitive market conditions and limited price volatility in the first six months of 2021.</w:t>
      </w:r>
    </w:p>
    <w:p w:rsidR="00000000" w:rsidRDefault="00967E53">
      <w:pPr>
        <w:ind w:firstLine="360"/>
        <w:jc w:val="center"/>
        <w:divId w:val="84157178"/>
        <w:rPr>
          <w:rFonts w:eastAsia="Times New Roman"/>
        </w:rPr>
      </w:pPr>
      <w:r>
        <w:rPr>
          <w:rFonts w:eastAsia="Times New Roman"/>
          <w:color w:val="000000"/>
          <w:sz w:val="20"/>
          <w:szCs w:val="20"/>
        </w:rPr>
        <w:t>25</w:t>
      </w:r>
    </w:p>
    <w:p w:rsidR="00000000" w:rsidRDefault="00967E53">
      <w:pPr>
        <w:rPr>
          <w:rFonts w:eastAsia="Times New Roman"/>
        </w:rPr>
      </w:pPr>
      <w:r>
        <w:rPr>
          <w:rFonts w:eastAsia="Times New Roman"/>
        </w:rPr>
        <w:pict>
          <v:rect id="_x0000_i1053" style="width:0;height:1.5pt" o:hralign="center" o:hrstd="t" o:hr="t" fillcolor="#a0a0a0" stroked="f"/>
        </w:pict>
      </w:r>
    </w:p>
    <w:p w:rsidR="00000000" w:rsidRDefault="00967E53">
      <w:pPr>
        <w:ind w:firstLine="360"/>
        <w:jc w:val="both"/>
        <w:divId w:val="1704942841"/>
        <w:rPr>
          <w:rFonts w:eastAsia="Times New Roman"/>
        </w:rPr>
      </w:pPr>
    </w:p>
    <w:p w:rsidR="00000000" w:rsidRDefault="00967E53">
      <w:pPr>
        <w:ind w:firstLine="360"/>
        <w:jc w:val="both"/>
        <w:divId w:val="1801337059"/>
        <w:rPr>
          <w:rFonts w:eastAsia="Times New Roman"/>
        </w:rPr>
      </w:pPr>
    </w:p>
    <w:p w:rsidR="00000000" w:rsidRDefault="00967E53">
      <w:pPr>
        <w:ind w:firstLine="360"/>
        <w:jc w:val="both"/>
        <w:divId w:val="156696825"/>
        <w:rPr>
          <w:rFonts w:eastAsia="Times New Roman"/>
        </w:rPr>
      </w:pPr>
      <w:r>
        <w:rPr>
          <w:rFonts w:eastAsia="Times New Roman"/>
          <w:i/>
          <w:iCs/>
          <w:color w:val="000000"/>
          <w:sz w:val="20"/>
          <w:szCs w:val="20"/>
        </w:rPr>
        <w:t>Operating Expenses.</w:t>
      </w:r>
      <w:r>
        <w:rPr>
          <w:rFonts w:eastAsia="Times New Roman"/>
          <w:color w:val="000000"/>
          <w:sz w:val="20"/>
          <w:szCs w:val="20"/>
        </w:rPr>
        <w:t xml:space="preserve"> </w:t>
      </w:r>
      <w:r>
        <w:rPr>
          <w:rFonts w:eastAsia="Times New Roman"/>
          <w:color w:val="000000"/>
          <w:sz w:val="20"/>
          <w:szCs w:val="20"/>
        </w:rPr>
        <w:t>Total operating expenses for the first six months of 2021 were $306.9 million, a decrease of $83.0 million, or 21%, compared to the first six months of 2020. Our operating expenses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010"/>
        <w:gridCol w:w="36"/>
        <w:gridCol w:w="36"/>
        <w:gridCol w:w="36"/>
        <w:gridCol w:w="36"/>
        <w:gridCol w:w="120"/>
        <w:gridCol w:w="1142"/>
        <w:gridCol w:w="36"/>
        <w:gridCol w:w="36"/>
        <w:gridCol w:w="36"/>
        <w:gridCol w:w="36"/>
        <w:gridCol w:w="120"/>
        <w:gridCol w:w="1144"/>
        <w:gridCol w:w="36"/>
        <w:gridCol w:w="36"/>
        <w:gridCol w:w="36"/>
        <w:gridCol w:w="36"/>
        <w:gridCol w:w="121"/>
        <w:gridCol w:w="1144"/>
        <w:gridCol w:w="36"/>
      </w:tblGrid>
      <w:tr w:rsidR="00000000">
        <w:trPr>
          <w:divId w:val="2101831974"/>
        </w:trPr>
        <w:tc>
          <w:tcPr>
            <w:tcW w:w="50" w:type="pct"/>
            <w:vAlign w:val="center"/>
            <w:hideMark/>
          </w:tcPr>
          <w:p w:rsidR="00000000" w:rsidRDefault="00967E53">
            <w:pPr>
              <w:ind w:firstLine="360"/>
              <w:jc w:val="both"/>
              <w:rPr>
                <w:rFonts w:eastAsia="Times New Roman"/>
              </w:rPr>
            </w:pPr>
          </w:p>
        </w:tc>
        <w:tc>
          <w:tcPr>
            <w:tcW w:w="244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2101831974"/>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Six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2101831974"/>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 Change</w:t>
            </w:r>
          </w:p>
        </w:tc>
      </w:tr>
      <w:tr w:rsidR="00000000">
        <w:trPr>
          <w:divId w:val="2101831974"/>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Compensation and employee benefits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101831974"/>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116.8 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168.2 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(51.4)</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101831974"/>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Asset impairments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(13.9)</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101831974"/>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Restructuring charges</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101831974"/>
        </w:trPr>
        <w:tc>
          <w:tcPr>
            <w:tcW w:w="0" w:type="auto"/>
            <w:gridSpan w:val="3"/>
            <w:shd w:val="clear" w:color="auto" w:fill="CCEEFF"/>
            <w:tcMar>
              <w:top w:w="30" w:type="dxa"/>
              <w:left w:w="14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operating expense</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306.9 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389.9 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(83.0)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360"/>
        <w:jc w:val="both"/>
        <w:divId w:val="84810395"/>
        <w:rPr>
          <w:rFonts w:eastAsia="Times New Roman"/>
        </w:rPr>
      </w:pPr>
      <w:r>
        <w:rPr>
          <w:rFonts w:eastAsia="Times New Roman"/>
          <w:color w:val="000000"/>
          <w:sz w:val="20"/>
          <w:szCs w:val="20"/>
        </w:rPr>
        <w:t>Our general and administrative expenses materially decreased compared to the f</w:t>
      </w:r>
      <w:r>
        <w:rPr>
          <w:rFonts w:eastAsia="Times New Roman"/>
          <w:color w:val="000000"/>
          <w:sz w:val="20"/>
          <w:szCs w:val="20"/>
        </w:rPr>
        <w:t>irst six months of 2020, primarily driven by a $32.2 million, or 93%, decrease in our provision for credit losses due to the stabilization of customer credit risk as the global economy continues to recover from the negative effects of the pandemic combined</w:t>
      </w:r>
      <w:r>
        <w:rPr>
          <w:rFonts w:eastAsia="Times New Roman"/>
          <w:color w:val="000000"/>
          <w:sz w:val="20"/>
          <w:szCs w:val="20"/>
        </w:rPr>
        <w:t xml:space="preserve"> with the sale of MSTS and the cost-reduction initiatives started in 2020. Additionally, employee compensation costs decreased by $18.0 million, or 8%, in the first six months of 2021 compared to the first six months of 2020, principally due to the sale of</w:t>
      </w:r>
      <w:r>
        <w:rPr>
          <w:rFonts w:eastAsia="Times New Roman"/>
          <w:color w:val="000000"/>
          <w:sz w:val="20"/>
          <w:szCs w:val="20"/>
        </w:rPr>
        <w:t xml:space="preserve"> MSTS. In 2020, total operating expense was also impacted by impairment charges associated with our decision to rationalize our global office footprint. </w:t>
      </w:r>
    </w:p>
    <w:p w:rsidR="00000000" w:rsidRDefault="00967E53">
      <w:pPr>
        <w:ind w:firstLine="360"/>
        <w:jc w:val="both"/>
        <w:divId w:val="1119953593"/>
        <w:rPr>
          <w:rFonts w:eastAsia="Times New Roman"/>
        </w:rPr>
      </w:pPr>
      <w:r>
        <w:rPr>
          <w:rFonts w:eastAsia="Times New Roman"/>
          <w:i/>
          <w:iCs/>
          <w:color w:val="000000"/>
          <w:sz w:val="20"/>
          <w:szCs w:val="20"/>
        </w:rPr>
        <w:t>Income from Operations</w:t>
      </w:r>
      <w:r>
        <w:rPr>
          <w:rFonts w:eastAsia="Times New Roman"/>
          <w:color w:val="000000"/>
          <w:sz w:val="20"/>
          <w:szCs w:val="20"/>
        </w:rPr>
        <w:t>. </w:t>
      </w:r>
      <w:r>
        <w:rPr>
          <w:rFonts w:eastAsia="Times New Roman"/>
          <w:color w:val="000000"/>
          <w:sz w:val="20"/>
          <w:szCs w:val="20"/>
        </w:rPr>
        <w:t>Our income from operations for the first six months of 2021 was $68.6 million, a decrease of $14.1 million, or 17%, compared to the first six months of 2020. Income from operations by segment was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009"/>
        <w:gridCol w:w="37"/>
        <w:gridCol w:w="36"/>
        <w:gridCol w:w="36"/>
        <w:gridCol w:w="36"/>
        <w:gridCol w:w="120"/>
        <w:gridCol w:w="1142"/>
        <w:gridCol w:w="36"/>
        <w:gridCol w:w="36"/>
        <w:gridCol w:w="36"/>
        <w:gridCol w:w="36"/>
        <w:gridCol w:w="120"/>
        <w:gridCol w:w="1143"/>
        <w:gridCol w:w="36"/>
        <w:gridCol w:w="36"/>
        <w:gridCol w:w="36"/>
        <w:gridCol w:w="36"/>
        <w:gridCol w:w="121"/>
        <w:gridCol w:w="1144"/>
        <w:gridCol w:w="36"/>
      </w:tblGrid>
      <w:tr w:rsidR="00000000">
        <w:trPr>
          <w:divId w:val="91360082"/>
        </w:trPr>
        <w:tc>
          <w:tcPr>
            <w:tcW w:w="50" w:type="pct"/>
            <w:vAlign w:val="center"/>
            <w:hideMark/>
          </w:tcPr>
          <w:p w:rsidR="00000000" w:rsidRDefault="00967E53">
            <w:pPr>
              <w:ind w:firstLine="360"/>
              <w:jc w:val="both"/>
              <w:rPr>
                <w:rFonts w:eastAsia="Times New Roman"/>
              </w:rPr>
            </w:pPr>
          </w:p>
        </w:tc>
        <w:tc>
          <w:tcPr>
            <w:tcW w:w="244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91360082"/>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Six Months Ended June 30,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91360082"/>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 Change</w:t>
            </w:r>
          </w:p>
        </w:tc>
      </w:tr>
      <w:tr w:rsidR="00000000">
        <w:trPr>
          <w:divId w:val="91360082"/>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91360082"/>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40.9 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35.3 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91360082"/>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47.2 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(36.1)</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91360082"/>
        </w:trPr>
        <w:tc>
          <w:tcPr>
            <w:tcW w:w="0" w:type="auto"/>
            <w:gridSpan w:val="3"/>
            <w:vAlign w:val="center"/>
            <w:hideMark/>
          </w:tcPr>
          <w:p w:rsidR="00000000" w:rsidRDefault="00967E53">
            <w:pPr>
              <w:spacing w:after="100"/>
              <w:jc w:val="right"/>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91360082"/>
        </w:trPr>
        <w:tc>
          <w:tcPr>
            <w:tcW w:w="0" w:type="auto"/>
            <w:gridSpan w:val="3"/>
            <w:shd w:val="clear" w:color="auto" w:fill="FFFF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Corporate overhead - unallocated</w:t>
            </w: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(40.5)</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(37.9)</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91360082"/>
        </w:trPr>
        <w:tc>
          <w:tcPr>
            <w:tcW w:w="0" w:type="auto"/>
            <w:gridSpan w:val="3"/>
            <w:shd w:val="clear" w:color="auto" w:fill="CCEEFF"/>
            <w:tcMar>
              <w:top w:w="30" w:type="dxa"/>
              <w:left w:w="14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 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68.6 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82.7 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(14.1)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360"/>
        <w:jc w:val="both"/>
        <w:divId w:val="1551765366"/>
        <w:rPr>
          <w:rFonts w:eastAsia="Times New Roman"/>
        </w:rPr>
      </w:pPr>
      <w:r>
        <w:rPr>
          <w:rFonts w:eastAsia="Times New Roman"/>
          <w:color w:val="000000"/>
          <w:sz w:val="20"/>
          <w:szCs w:val="20"/>
        </w:rPr>
        <w:t>Our aviation segment income from operations for the first six months of 2021 was $57.0 million, an increase of $18.9 million compared to the first six month</w:t>
      </w:r>
      <w:r>
        <w:rPr>
          <w:rFonts w:eastAsia="Times New Roman"/>
          <w:color w:val="000000"/>
          <w:sz w:val="20"/>
          <w:szCs w:val="20"/>
        </w:rPr>
        <w:t>s of 2020. In 2021, the decrease in the gross profit was offset by a reduction in the provision for credit losses due to the stabilization of customer credit risk as the global aviation industry continues to recover, as well as the impairment recognized in</w:t>
      </w:r>
      <w:r>
        <w:rPr>
          <w:rFonts w:eastAsia="Times New Roman"/>
          <w:color w:val="000000"/>
          <w:sz w:val="20"/>
          <w:szCs w:val="20"/>
        </w:rPr>
        <w:t xml:space="preserve"> the second quarter of 2020 as a result of the global office footprint rationalization. </w:t>
      </w:r>
    </w:p>
    <w:p w:rsidR="00000000" w:rsidRDefault="00967E53">
      <w:pPr>
        <w:ind w:firstLine="360"/>
        <w:jc w:val="both"/>
        <w:divId w:val="923413268"/>
        <w:rPr>
          <w:rFonts w:eastAsia="Times New Roman"/>
        </w:rPr>
      </w:pPr>
      <w:r>
        <w:rPr>
          <w:rFonts w:eastAsia="Times New Roman"/>
          <w:color w:val="000000"/>
          <w:sz w:val="20"/>
          <w:szCs w:val="20"/>
        </w:rPr>
        <w:t>Our land segment income from operations for the first six months of 2021 was $40.9 million, an increase of $5.5 million compared to the first six months of 2020, drive</w:t>
      </w:r>
      <w:r>
        <w:rPr>
          <w:rFonts w:eastAsia="Times New Roman"/>
          <w:color w:val="000000"/>
          <w:sz w:val="20"/>
          <w:szCs w:val="20"/>
        </w:rPr>
        <w:t>n primarily by improved performance by our natural gas business in North America, partially offset by the sale of MSTS in 2020.</w:t>
      </w:r>
    </w:p>
    <w:p w:rsidR="00000000" w:rsidRDefault="00967E53">
      <w:pPr>
        <w:ind w:firstLine="360"/>
        <w:jc w:val="both"/>
        <w:divId w:val="574360275"/>
        <w:rPr>
          <w:rFonts w:eastAsia="Times New Roman"/>
        </w:rPr>
      </w:pPr>
      <w:r>
        <w:rPr>
          <w:rFonts w:eastAsia="Times New Roman"/>
          <w:color w:val="000000"/>
          <w:sz w:val="20"/>
          <w:szCs w:val="20"/>
        </w:rPr>
        <w:t>Our marine segment income from operations for the first six months of 2021 was $11.1 million, a decrease of $36.1 million, compa</w:t>
      </w:r>
      <w:r>
        <w:rPr>
          <w:rFonts w:eastAsia="Times New Roman"/>
          <w:color w:val="000000"/>
          <w:sz w:val="20"/>
          <w:szCs w:val="20"/>
        </w:rPr>
        <w:t>red to 2020. The decrease in operating income was primarily attributable to the strong results in the first six months of 2020, which benefited from volatility arising from the implementation of the IMO 2020 regulations, as well as competitive market condi</w:t>
      </w:r>
      <w:r>
        <w:rPr>
          <w:rFonts w:eastAsia="Times New Roman"/>
          <w:color w:val="000000"/>
          <w:sz w:val="20"/>
          <w:szCs w:val="20"/>
        </w:rPr>
        <w:t xml:space="preserve">tions and limited price volatility in the first six months of 2021. The lower gross profit was partially offset by a decrease in operating expenses, including the provision for credit losses, as well as the impairment recognized in 2020 as a result of the </w:t>
      </w:r>
      <w:r>
        <w:rPr>
          <w:rFonts w:eastAsia="Times New Roman"/>
          <w:color w:val="000000"/>
          <w:sz w:val="20"/>
          <w:szCs w:val="20"/>
        </w:rPr>
        <w:t>global office footprint rationalization.</w:t>
      </w:r>
    </w:p>
    <w:p w:rsidR="00000000" w:rsidRDefault="00967E53">
      <w:pPr>
        <w:ind w:firstLine="360"/>
        <w:jc w:val="both"/>
        <w:divId w:val="1098016210"/>
        <w:rPr>
          <w:rFonts w:eastAsia="Times New Roman"/>
        </w:rPr>
      </w:pPr>
      <w:r>
        <w:rPr>
          <w:rFonts w:eastAsia="Times New Roman"/>
          <w:color w:val="000000"/>
          <w:sz w:val="20"/>
          <w:szCs w:val="20"/>
        </w:rPr>
        <w:t>Corporate overhead costs not charged to the business segments for the first six months of 2021 were $40.5 million, an increase of $2.5 million, or 7%, compared to the first six months of 2020, primarily attributable</w:t>
      </w:r>
      <w:r>
        <w:rPr>
          <w:rFonts w:eastAsia="Times New Roman"/>
          <w:color w:val="000000"/>
          <w:sz w:val="20"/>
          <w:szCs w:val="20"/>
        </w:rPr>
        <w:t xml:space="preserve"> to an increase in unallocated employee compensation and benefit costs, partially offset by the impairment charge recognized in 2020 as part of the global office footprint rationalization.</w:t>
      </w:r>
    </w:p>
    <w:p w:rsidR="00000000" w:rsidRDefault="00967E53">
      <w:pPr>
        <w:ind w:firstLine="360"/>
        <w:jc w:val="both"/>
        <w:divId w:val="1328365070"/>
        <w:rPr>
          <w:rFonts w:eastAsia="Times New Roman"/>
        </w:rPr>
      </w:pPr>
      <w:r>
        <w:rPr>
          <w:rFonts w:eastAsia="Times New Roman"/>
          <w:i/>
          <w:iCs/>
          <w:color w:val="000000"/>
          <w:sz w:val="20"/>
          <w:szCs w:val="20"/>
        </w:rPr>
        <w:t>Non-Operating Income (Expenses), net.</w:t>
      </w:r>
      <w:r>
        <w:rPr>
          <w:rFonts w:eastAsia="Times New Roman"/>
          <w:color w:val="000000"/>
          <w:sz w:val="20"/>
          <w:szCs w:val="20"/>
        </w:rPr>
        <w:t> For the first six months of 2</w:t>
      </w:r>
      <w:r>
        <w:rPr>
          <w:rFonts w:eastAsia="Times New Roman"/>
          <w:color w:val="000000"/>
          <w:sz w:val="20"/>
          <w:szCs w:val="20"/>
        </w:rPr>
        <w:t>021, we had net non-operating income of $21.3 million, compared to net non-operating expenses of $28.1 million the first six months of 2020. Non-operating expenses were higher in the second half of 2020, primarily as a result of foreign currency losses.</w:t>
      </w:r>
    </w:p>
    <w:p w:rsidR="00000000" w:rsidRDefault="00967E53">
      <w:pPr>
        <w:ind w:firstLine="360"/>
        <w:jc w:val="both"/>
        <w:divId w:val="874192706"/>
        <w:rPr>
          <w:rFonts w:eastAsia="Times New Roman"/>
        </w:rPr>
      </w:pPr>
      <w:r>
        <w:rPr>
          <w:rFonts w:eastAsia="Times New Roman"/>
          <w:i/>
          <w:iCs/>
          <w:color w:val="000000"/>
          <w:sz w:val="20"/>
          <w:szCs w:val="20"/>
        </w:rPr>
        <w:t>In</w:t>
      </w:r>
      <w:r>
        <w:rPr>
          <w:rFonts w:eastAsia="Times New Roman"/>
          <w:i/>
          <w:iCs/>
          <w:color w:val="000000"/>
          <w:sz w:val="20"/>
          <w:szCs w:val="20"/>
        </w:rPr>
        <w:t>come Taxes</w:t>
      </w:r>
      <w:r>
        <w:rPr>
          <w:rFonts w:eastAsia="Times New Roman"/>
          <w:color w:val="000000"/>
          <w:sz w:val="20"/>
          <w:szCs w:val="20"/>
        </w:rPr>
        <w:t xml:space="preserve">. For the first six months of 2021, our income tax provision was $10.8 million and our effective income tax rate was 23%, as compared to an income tax provision of $23.7 million and an effective income tax rate of 43% for the first six months of </w:t>
      </w:r>
      <w:r>
        <w:rPr>
          <w:rFonts w:eastAsia="Times New Roman"/>
          <w:color w:val="000000"/>
          <w:sz w:val="20"/>
          <w:szCs w:val="20"/>
        </w:rPr>
        <w:t>2020. The lower tax provision was principally a result of the jurisdictional income mix and a discrete tax benefit of $3.8 million, net in 2021 compared to a discrete tax expense of $4.4 million, net in 2020. See Note 8. Income Taxes for additional informa</w:t>
      </w:r>
      <w:r>
        <w:rPr>
          <w:rFonts w:eastAsia="Times New Roman"/>
          <w:color w:val="000000"/>
          <w:sz w:val="20"/>
          <w:szCs w:val="20"/>
        </w:rPr>
        <w:t>tion.</w:t>
      </w:r>
    </w:p>
    <w:p w:rsidR="00000000" w:rsidRDefault="00967E53">
      <w:pPr>
        <w:ind w:firstLine="360"/>
        <w:jc w:val="center"/>
        <w:divId w:val="951284125"/>
        <w:rPr>
          <w:rFonts w:eastAsia="Times New Roman"/>
        </w:rPr>
      </w:pPr>
      <w:r>
        <w:rPr>
          <w:rFonts w:eastAsia="Times New Roman"/>
          <w:color w:val="000000"/>
          <w:sz w:val="20"/>
          <w:szCs w:val="20"/>
        </w:rPr>
        <w:t>26</w:t>
      </w:r>
    </w:p>
    <w:p w:rsidR="00000000" w:rsidRDefault="00967E53">
      <w:pPr>
        <w:rPr>
          <w:rFonts w:eastAsia="Times New Roman"/>
        </w:rPr>
      </w:pPr>
      <w:r>
        <w:rPr>
          <w:rFonts w:eastAsia="Times New Roman"/>
        </w:rPr>
        <w:pict>
          <v:rect id="_x0000_i1054" style="width:0;height:1.5pt" o:hralign="center" o:hrstd="t" o:hr="t" fillcolor="#a0a0a0" stroked="f"/>
        </w:pict>
      </w:r>
    </w:p>
    <w:p w:rsidR="00000000" w:rsidRDefault="00967E53">
      <w:pPr>
        <w:ind w:firstLine="360"/>
        <w:jc w:val="both"/>
        <w:divId w:val="2042779664"/>
        <w:rPr>
          <w:rFonts w:eastAsia="Times New Roman"/>
        </w:rPr>
      </w:pPr>
    </w:p>
    <w:p w:rsidR="00000000" w:rsidRDefault="00967E53">
      <w:pPr>
        <w:ind w:firstLine="360"/>
        <w:jc w:val="both"/>
        <w:divId w:val="1834565314"/>
        <w:rPr>
          <w:rFonts w:eastAsia="Times New Roman"/>
        </w:rPr>
      </w:pPr>
    </w:p>
    <w:p w:rsidR="00000000" w:rsidRDefault="00967E53">
      <w:pPr>
        <w:ind w:firstLine="360"/>
        <w:jc w:val="both"/>
        <w:divId w:val="334572052"/>
        <w:rPr>
          <w:rFonts w:eastAsia="Times New Roman"/>
        </w:rPr>
      </w:pPr>
      <w:r>
        <w:rPr>
          <w:rFonts w:eastAsia="Times New Roman"/>
          <w:i/>
          <w:iCs/>
          <w:color w:val="000000"/>
          <w:sz w:val="20"/>
          <w:szCs w:val="20"/>
        </w:rPr>
        <w:t>Net Income Attributable to World Fuel and Diluted Earnings per Common Share</w:t>
      </w:r>
      <w:r>
        <w:rPr>
          <w:rFonts w:eastAsia="Times New Roman"/>
          <w:color w:val="000000"/>
          <w:sz w:val="20"/>
          <w:szCs w:val="20"/>
        </w:rPr>
        <w:t>. For the first six months of 2021, we had a net income of $36.5 million and diluted earnings per common share of $0.57 as compared</w:t>
      </w:r>
      <w:r>
        <w:rPr>
          <w:rFonts w:eastAsia="Times New Roman"/>
          <w:color w:val="000000"/>
          <w:sz w:val="20"/>
          <w:szCs w:val="20"/>
        </w:rPr>
        <w:t xml:space="preserve"> to net income of $31.2 million and diluted earnings per common share of $0.48 for the first six months of 2020.</w:t>
      </w:r>
    </w:p>
    <w:p w:rsidR="00000000" w:rsidRDefault="00967E53">
      <w:pPr>
        <w:ind w:firstLine="360"/>
        <w:divId w:val="1576932031"/>
        <w:rPr>
          <w:rFonts w:eastAsia="Times New Roman"/>
        </w:rPr>
      </w:pPr>
      <w:r>
        <w:rPr>
          <w:rFonts w:eastAsia="Times New Roman"/>
          <w:b/>
          <w:bCs/>
          <w:color w:val="000000"/>
          <w:sz w:val="20"/>
          <w:szCs w:val="20"/>
        </w:rPr>
        <w:t>Liquidity and Capital Resources</w:t>
      </w:r>
    </w:p>
    <w:p w:rsidR="00000000" w:rsidRDefault="00967E53">
      <w:pPr>
        <w:ind w:firstLine="360"/>
        <w:jc w:val="both"/>
        <w:divId w:val="692654950"/>
        <w:rPr>
          <w:rFonts w:eastAsia="Times New Roman"/>
        </w:rPr>
      </w:pPr>
      <w:r>
        <w:rPr>
          <w:rFonts w:eastAsia="Times New Roman"/>
          <w:color w:val="000000"/>
          <w:sz w:val="20"/>
          <w:szCs w:val="20"/>
        </w:rPr>
        <w:t>Our liquidity, consisting of cash, cash equivalents and availability under the Credit Facility fluctuates based</w:t>
      </w:r>
      <w:r>
        <w:rPr>
          <w:rFonts w:eastAsia="Times New Roman"/>
          <w:color w:val="000000"/>
          <w:sz w:val="20"/>
          <w:szCs w:val="20"/>
        </w:rPr>
        <w:t xml:space="preserve"> on a number of factors, including the timing of receipts from our customers, payments to our suppliers, changes in fuel prices, as well as our financial performance, which drives availability under our Credit Facility. Our availability under our Credit Fa</w:t>
      </w:r>
      <w:r>
        <w:rPr>
          <w:rFonts w:eastAsia="Times New Roman"/>
          <w:color w:val="000000"/>
          <w:sz w:val="20"/>
          <w:szCs w:val="20"/>
        </w:rPr>
        <w:t>cility, for example, is limited by, among other things, our consolidated total leverage ratio, which is defined in the Credit Facility and is based in part on our adjusted consolidated earnings before interest, taxes, depreciation and amortization (“Adjust</w:t>
      </w:r>
      <w:r>
        <w:rPr>
          <w:rFonts w:eastAsia="Times New Roman"/>
          <w:color w:val="000000"/>
          <w:sz w:val="20"/>
          <w:szCs w:val="20"/>
        </w:rPr>
        <w:t>ed EBITDA”) for the four immediately preceding fiscal quarters. Accordingly, significant fluctuations in our Adjusted EBITDA for a particular quarter can impact our availability to the extent it significantly alters our Adjusted EBITDA for the applicable p</w:t>
      </w:r>
      <w:r>
        <w:rPr>
          <w:rFonts w:eastAsia="Times New Roman"/>
          <w:color w:val="000000"/>
          <w:sz w:val="20"/>
          <w:szCs w:val="20"/>
        </w:rPr>
        <w:t>receding four quarters. See Item 1A - Risk Factors in our 2020 10-K Report for additional information.</w:t>
      </w:r>
    </w:p>
    <w:p w:rsidR="00000000" w:rsidRDefault="00967E53">
      <w:pPr>
        <w:ind w:firstLine="360"/>
        <w:jc w:val="both"/>
        <w:divId w:val="1060132802"/>
        <w:rPr>
          <w:rFonts w:eastAsia="Times New Roman"/>
        </w:rPr>
      </w:pPr>
      <w:r>
        <w:rPr>
          <w:rFonts w:eastAsia="Times New Roman"/>
          <w:color w:val="000000"/>
          <w:sz w:val="20"/>
          <w:szCs w:val="20"/>
        </w:rPr>
        <w:t>Cash and liquidity are significant priorities for us and our primary use of cash and liquidity is to fund working capital and strategic investments. Incr</w:t>
      </w:r>
      <w:r>
        <w:rPr>
          <w:rFonts w:eastAsia="Times New Roman"/>
          <w:color w:val="000000"/>
          <w:sz w:val="20"/>
          <w:szCs w:val="20"/>
        </w:rPr>
        <w:t>eases in fuel prices can negatively affect liquidity by increasing the amount of cash required to fund fuel purchases. In addition, while we are usually extended unsecured trade credit from our suppliers for our fuel purchases, higher fuel prices may reduc</w:t>
      </w:r>
      <w:r>
        <w:rPr>
          <w:rFonts w:eastAsia="Times New Roman"/>
          <w:color w:val="000000"/>
          <w:sz w:val="20"/>
          <w:szCs w:val="20"/>
        </w:rPr>
        <w:t>e the amount of fuel which we can purchase on an unsecured basis, and in certain cases, we may be required to prepay fuel purchases, which would negatively impact our liquidity. Fuel price increases may also negatively impact our customers, in that they ma</w:t>
      </w:r>
      <w:r>
        <w:rPr>
          <w:rFonts w:eastAsia="Times New Roman"/>
          <w:color w:val="000000"/>
          <w:sz w:val="20"/>
          <w:szCs w:val="20"/>
        </w:rPr>
        <w:t xml:space="preserve">y not be able to purchase as much fuel from us because of their credit limits with us and the resulting adverse impact on their business could cause them to be unable to make payments owed to us for fuel purchased on credit. They may also choose to reduce </w:t>
      </w:r>
      <w:r>
        <w:rPr>
          <w:rFonts w:eastAsia="Times New Roman"/>
          <w:color w:val="000000"/>
          <w:sz w:val="20"/>
          <w:szCs w:val="20"/>
        </w:rPr>
        <w:t>the amount of fuel they consume in their operations to reduce costs. In any such event, the volume of orders from our customers may thereafter decrease and we may not be able to replace lost volumes with new or existing customers.</w:t>
      </w:r>
    </w:p>
    <w:p w:rsidR="00000000" w:rsidRDefault="00967E53">
      <w:pPr>
        <w:ind w:firstLine="360"/>
        <w:jc w:val="both"/>
        <w:divId w:val="1096292593"/>
        <w:rPr>
          <w:rFonts w:eastAsia="Times New Roman"/>
        </w:rPr>
      </w:pPr>
      <w:r>
        <w:rPr>
          <w:rFonts w:eastAsia="Times New Roman"/>
          <w:color w:val="000000"/>
          <w:sz w:val="20"/>
          <w:szCs w:val="20"/>
        </w:rPr>
        <w:t>As described in greater d</w:t>
      </w:r>
      <w:r>
        <w:rPr>
          <w:rFonts w:eastAsia="Times New Roman"/>
          <w:color w:val="000000"/>
          <w:sz w:val="20"/>
          <w:szCs w:val="20"/>
        </w:rPr>
        <w:t>etail above, the COVID-19 pandemic is expected to continue to have an adverse impact on our customers, and therefore our own operating results throughout 2021, which could have a negative impact on our liquidity in the future. However, based on the informa</w:t>
      </w:r>
      <w:r>
        <w:rPr>
          <w:rFonts w:eastAsia="Times New Roman"/>
          <w:color w:val="000000"/>
          <w:sz w:val="20"/>
          <w:szCs w:val="20"/>
        </w:rPr>
        <w:t>tion currently available, we believe that our cash and cash equivalents as of June 30, 2021 and available funds from our Credit Facility, together with cash flows generated by operations, are sufficient to fund our working capital and capital expenditure r</w:t>
      </w:r>
      <w:r>
        <w:rPr>
          <w:rFonts w:eastAsia="Times New Roman"/>
          <w:color w:val="000000"/>
          <w:sz w:val="20"/>
          <w:szCs w:val="20"/>
        </w:rPr>
        <w:t>equirements for at least the next twelve months. We may choose to raise additional funds to further enhance our liquidity profile, which may be used for working capital, capital expenditures or other strategic investments. Our opinions concerning liquidity</w:t>
      </w:r>
      <w:r>
        <w:rPr>
          <w:rFonts w:eastAsia="Times New Roman"/>
          <w:color w:val="000000"/>
          <w:sz w:val="20"/>
          <w:szCs w:val="20"/>
        </w:rPr>
        <w:t xml:space="preserve"> are based on currently available information and if circumstances change significantly, whether as a result of the COVID-19 pandemic or otherwise, the future availability of trade credit or other sources of financing may be reduced, and our liquidity woul</w:t>
      </w:r>
      <w:r>
        <w:rPr>
          <w:rFonts w:eastAsia="Times New Roman"/>
          <w:color w:val="000000"/>
          <w:sz w:val="20"/>
          <w:szCs w:val="20"/>
        </w:rPr>
        <w:t>d be adversely affected. Factors that may affect the availability of trade credit or other forms of financing include our financial performance (as measured by various factors, including cash provided by operating activities), the state of worldwide credit</w:t>
      </w:r>
      <w:r>
        <w:rPr>
          <w:rFonts w:eastAsia="Times New Roman"/>
          <w:color w:val="000000"/>
          <w:sz w:val="20"/>
          <w:szCs w:val="20"/>
        </w:rPr>
        <w:t xml:space="preserve"> markets, and our levels of outstanding debt. Depending on the severity and direct impact of these factors on us, financing may be limited or unavailable on terms favorable to us.</w:t>
      </w:r>
    </w:p>
    <w:p w:rsidR="00000000" w:rsidRDefault="00967E53">
      <w:pPr>
        <w:ind w:firstLine="360"/>
        <w:divId w:val="1417552603"/>
        <w:rPr>
          <w:rFonts w:eastAsia="Times New Roman"/>
        </w:rPr>
      </w:pPr>
      <w:r>
        <w:rPr>
          <w:rFonts w:eastAsia="Times New Roman"/>
          <w:b/>
          <w:bCs/>
          <w:color w:val="000000"/>
          <w:sz w:val="20"/>
          <w:szCs w:val="20"/>
        </w:rPr>
        <w:t>Cash Flows</w:t>
      </w:r>
    </w:p>
    <w:p w:rsidR="00000000" w:rsidRDefault="00967E53">
      <w:pPr>
        <w:ind w:firstLine="360"/>
        <w:jc w:val="both"/>
        <w:divId w:val="1084227776"/>
        <w:rPr>
          <w:rFonts w:eastAsia="Times New Roman"/>
        </w:rPr>
      </w:pPr>
      <w:r>
        <w:rPr>
          <w:rFonts w:eastAsia="Times New Roman"/>
          <w:color w:val="000000"/>
          <w:sz w:val="20"/>
          <w:szCs w:val="20"/>
        </w:rPr>
        <w:t>The following table reflects the major categories of cash flows for the six months ended June 30, 2021 and 2020 (in millions). For additional details, please see the unaudited Condensed Consolidated Statements of Cash Flows in this Quarterly Report on Form</w:t>
      </w:r>
      <w:r>
        <w:rPr>
          <w:rFonts w:eastAsia="Times New Roman"/>
          <w:color w:val="000000"/>
          <w:sz w:val="20"/>
          <w:szCs w:val="20"/>
        </w:rPr>
        <w:t xml:space="preserve"> 10-Q.</w:t>
      </w:r>
    </w:p>
    <w:tbl>
      <w:tblPr>
        <w:tblW w:w="5000" w:type="pct"/>
        <w:tblCellMar>
          <w:top w:w="15" w:type="dxa"/>
          <w:left w:w="15" w:type="dxa"/>
          <w:bottom w:w="15" w:type="dxa"/>
          <w:right w:w="15" w:type="dxa"/>
        </w:tblCellMar>
        <w:tblLook w:val="04A0" w:firstRow="1" w:lastRow="0" w:firstColumn="1" w:lastColumn="0" w:noHBand="0" w:noVBand="1"/>
      </w:tblPr>
      <w:tblGrid>
        <w:gridCol w:w="38"/>
        <w:gridCol w:w="5402"/>
        <w:gridCol w:w="36"/>
        <w:gridCol w:w="36"/>
        <w:gridCol w:w="36"/>
        <w:gridCol w:w="36"/>
        <w:gridCol w:w="120"/>
        <w:gridCol w:w="1150"/>
        <w:gridCol w:w="36"/>
        <w:gridCol w:w="36"/>
        <w:gridCol w:w="36"/>
        <w:gridCol w:w="36"/>
        <w:gridCol w:w="120"/>
        <w:gridCol w:w="1152"/>
        <w:gridCol w:w="36"/>
      </w:tblGrid>
      <w:tr w:rsidR="00000000">
        <w:trPr>
          <w:divId w:val="2042973205"/>
        </w:trPr>
        <w:tc>
          <w:tcPr>
            <w:tcW w:w="50" w:type="pct"/>
            <w:vAlign w:val="center"/>
            <w:hideMark/>
          </w:tcPr>
          <w:p w:rsidR="00000000" w:rsidRDefault="00967E53">
            <w:pPr>
              <w:ind w:firstLine="360"/>
              <w:jc w:val="both"/>
              <w:rPr>
                <w:rFonts w:eastAsia="Times New Roman"/>
              </w:rPr>
            </w:pPr>
          </w:p>
        </w:tc>
        <w:tc>
          <w:tcPr>
            <w:tcW w:w="3278"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727"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2042973205"/>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Six Months Ended June 30,</w:t>
            </w:r>
          </w:p>
        </w:tc>
      </w:tr>
      <w:tr w:rsidR="00000000">
        <w:trPr>
          <w:divId w:val="2042973205"/>
        </w:trPr>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2020</w:t>
            </w:r>
          </w:p>
        </w:tc>
      </w:tr>
      <w:tr w:rsidR="00000000">
        <w:trPr>
          <w:divId w:val="204297320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Net cash provided by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140.6 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42973205"/>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Net cash provided by (used in) investing activities</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(19.7)</w:t>
            </w:r>
          </w:p>
        </w:tc>
        <w:tc>
          <w:tcPr>
            <w:tcW w:w="0" w:type="auto"/>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(168.7)</w:t>
            </w:r>
          </w:p>
        </w:tc>
        <w:tc>
          <w:tcPr>
            <w:tcW w:w="0" w:type="auto"/>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2042973205"/>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Net cash provided by (used in) financing activities</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(35.7)</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394.9 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firstLine="360"/>
        <w:jc w:val="both"/>
        <w:divId w:val="1588349323"/>
        <w:rPr>
          <w:rFonts w:eastAsia="Times New Roman"/>
        </w:rPr>
      </w:pPr>
      <w:r>
        <w:rPr>
          <w:rFonts w:eastAsia="Times New Roman"/>
          <w:i/>
          <w:iCs/>
          <w:color w:val="000000"/>
          <w:sz w:val="20"/>
          <w:szCs w:val="20"/>
        </w:rPr>
        <w:t>Operating Activities.</w:t>
      </w:r>
      <w:r>
        <w:rPr>
          <w:rFonts w:eastAsia="Times New Roman"/>
          <w:color w:val="000000"/>
          <w:sz w:val="20"/>
          <w:szCs w:val="20"/>
        </w:rPr>
        <w:t> </w:t>
      </w:r>
      <w:r>
        <w:rPr>
          <w:rFonts w:eastAsia="Times New Roman"/>
          <w:color w:val="000000"/>
          <w:sz w:val="20"/>
          <w:szCs w:val="20"/>
        </w:rPr>
        <w:t>For the first six months of 2021, net cash provided by operating activities was $140.6 million, compared to $245.1 million net cash provided during the first six months of 2020. The $104.5 million decrease was driven primarily by a decrease in working capi</w:t>
      </w:r>
      <w:r>
        <w:rPr>
          <w:rFonts w:eastAsia="Times New Roman"/>
          <w:color w:val="000000"/>
          <w:sz w:val="20"/>
          <w:szCs w:val="20"/>
        </w:rPr>
        <w:t>tal, excluding cash, of $53.4 million, a decrease in noncash adjustments of $36.1 million, principally associated with a decrease in credit loss reserves, and a net $20.4 million decrease in long-term assets and liabilities, partially offset by a $5.5 mill</w:t>
      </w:r>
      <w:r>
        <w:rPr>
          <w:rFonts w:eastAsia="Times New Roman"/>
          <w:color w:val="000000"/>
          <w:sz w:val="20"/>
          <w:szCs w:val="20"/>
        </w:rPr>
        <w:t>ion increase in net income. The $53.4 million change in working capital was primarily driven by an increase in accounts receivable, inventories, and prepaid expenses, partially offset by a decrease in accounts payable, accrued expenses, and other current l</w:t>
      </w:r>
      <w:r>
        <w:rPr>
          <w:rFonts w:eastAsia="Times New Roman"/>
          <w:color w:val="000000"/>
          <w:sz w:val="20"/>
          <w:szCs w:val="20"/>
        </w:rPr>
        <w:t>iabilities, as well as a decrease in derivative and other current assets.</w:t>
      </w:r>
    </w:p>
    <w:p w:rsidR="00000000" w:rsidRDefault="00967E53">
      <w:pPr>
        <w:ind w:firstLine="360"/>
        <w:jc w:val="center"/>
        <w:divId w:val="1720741181"/>
        <w:rPr>
          <w:rFonts w:eastAsia="Times New Roman"/>
        </w:rPr>
      </w:pPr>
      <w:r>
        <w:rPr>
          <w:rFonts w:eastAsia="Times New Roman"/>
          <w:color w:val="000000"/>
          <w:sz w:val="20"/>
          <w:szCs w:val="20"/>
        </w:rPr>
        <w:t>27</w:t>
      </w:r>
    </w:p>
    <w:p w:rsidR="00000000" w:rsidRDefault="00967E53">
      <w:pPr>
        <w:rPr>
          <w:rFonts w:eastAsia="Times New Roman"/>
        </w:rPr>
      </w:pPr>
      <w:r>
        <w:rPr>
          <w:rFonts w:eastAsia="Times New Roman"/>
        </w:rPr>
        <w:pict>
          <v:rect id="_x0000_i1055" style="width:0;height:1.5pt" o:hralign="center" o:hrstd="t" o:hr="t" fillcolor="#a0a0a0" stroked="f"/>
        </w:pict>
      </w:r>
    </w:p>
    <w:p w:rsidR="00000000" w:rsidRDefault="00967E53">
      <w:pPr>
        <w:ind w:firstLine="360"/>
        <w:jc w:val="both"/>
        <w:divId w:val="807820087"/>
        <w:rPr>
          <w:rFonts w:eastAsia="Times New Roman"/>
        </w:rPr>
      </w:pPr>
    </w:p>
    <w:p w:rsidR="00000000" w:rsidRDefault="00967E53">
      <w:pPr>
        <w:ind w:firstLine="360"/>
        <w:jc w:val="both"/>
        <w:divId w:val="1930582489"/>
        <w:rPr>
          <w:rFonts w:eastAsia="Times New Roman"/>
        </w:rPr>
      </w:pPr>
    </w:p>
    <w:p w:rsidR="00000000" w:rsidRDefault="00967E53">
      <w:pPr>
        <w:ind w:firstLine="360"/>
        <w:jc w:val="both"/>
        <w:divId w:val="1231696623"/>
        <w:rPr>
          <w:rFonts w:eastAsia="Times New Roman"/>
        </w:rPr>
      </w:pPr>
      <w:r>
        <w:rPr>
          <w:rFonts w:eastAsia="Times New Roman"/>
          <w:i/>
          <w:iCs/>
          <w:color w:val="000000"/>
          <w:sz w:val="20"/>
          <w:szCs w:val="20"/>
        </w:rPr>
        <w:t>Investing Activities.</w:t>
      </w:r>
      <w:r>
        <w:rPr>
          <w:rFonts w:eastAsia="Times New Roman"/>
          <w:color w:val="000000"/>
          <w:sz w:val="20"/>
          <w:szCs w:val="20"/>
        </w:rPr>
        <w:t> </w:t>
      </w:r>
      <w:r>
        <w:rPr>
          <w:rFonts w:eastAsia="Times New Roman"/>
          <w:color w:val="000000"/>
          <w:sz w:val="20"/>
          <w:szCs w:val="20"/>
        </w:rPr>
        <w:t>For the first six months of 2021, net cash used in investing activities was $19.7 million, compared to net cash used of $168.7 million in the first six months of 2020. The $149.1 million decrease in cash flows was primarily due to net cash paid of $130.6 m</w:t>
      </w:r>
      <w:r>
        <w:rPr>
          <w:rFonts w:eastAsia="Times New Roman"/>
          <w:color w:val="000000"/>
          <w:sz w:val="20"/>
          <w:szCs w:val="20"/>
        </w:rPr>
        <w:t>illion for the acquisition of our UVair fuel business during the first quarter of 2020 and a decrease in capital expenditures of $18.7 million.</w:t>
      </w:r>
    </w:p>
    <w:p w:rsidR="00000000" w:rsidRDefault="00967E53">
      <w:pPr>
        <w:ind w:firstLine="360"/>
        <w:jc w:val="both"/>
        <w:divId w:val="422726273"/>
        <w:rPr>
          <w:rFonts w:eastAsia="Times New Roman"/>
        </w:rPr>
      </w:pPr>
      <w:r>
        <w:rPr>
          <w:rFonts w:eastAsia="Times New Roman"/>
          <w:i/>
          <w:iCs/>
          <w:color w:val="000000"/>
          <w:sz w:val="20"/>
          <w:szCs w:val="20"/>
        </w:rPr>
        <w:t>Financing Activities.</w:t>
      </w:r>
      <w:r>
        <w:rPr>
          <w:rFonts w:eastAsia="Times New Roman"/>
          <w:color w:val="000000"/>
          <w:sz w:val="20"/>
          <w:szCs w:val="20"/>
        </w:rPr>
        <w:t xml:space="preserve"> For the first six months of 2021, net cash used in financing activities was $35.7 million </w:t>
      </w:r>
      <w:r>
        <w:rPr>
          <w:rFonts w:eastAsia="Times New Roman"/>
          <w:color w:val="000000"/>
          <w:sz w:val="20"/>
          <w:szCs w:val="20"/>
        </w:rPr>
        <w:t>compared to net cash provided of $394.9 million for the first six months of 2020. The $430.6 million increase in net cash used was principally due to $475.0 million in lower net borrowings of debt under our credit facility, partially offset by a $55.6 mill</w:t>
      </w:r>
      <w:r>
        <w:rPr>
          <w:rFonts w:eastAsia="Times New Roman"/>
          <w:color w:val="000000"/>
          <w:sz w:val="20"/>
          <w:szCs w:val="20"/>
        </w:rPr>
        <w:t>ion decrease in common stock repurchases.</w:t>
      </w:r>
    </w:p>
    <w:p w:rsidR="00000000" w:rsidRDefault="00967E53">
      <w:pPr>
        <w:ind w:firstLine="360"/>
        <w:divId w:val="1290012053"/>
        <w:rPr>
          <w:rFonts w:eastAsia="Times New Roman"/>
        </w:rPr>
      </w:pPr>
      <w:r>
        <w:rPr>
          <w:rFonts w:eastAsia="Times New Roman"/>
          <w:b/>
          <w:bCs/>
          <w:color w:val="000000"/>
          <w:sz w:val="20"/>
          <w:szCs w:val="20"/>
        </w:rPr>
        <w:t>Other Liquidity Measures</w:t>
      </w:r>
    </w:p>
    <w:p w:rsidR="00000000" w:rsidRDefault="00967E53">
      <w:pPr>
        <w:ind w:firstLine="360"/>
        <w:jc w:val="both"/>
        <w:divId w:val="1084113365"/>
        <w:rPr>
          <w:rFonts w:eastAsia="Times New Roman"/>
        </w:rPr>
      </w:pPr>
      <w:r>
        <w:rPr>
          <w:rFonts w:eastAsia="Times New Roman"/>
          <w:i/>
          <w:iCs/>
          <w:color w:val="000000"/>
          <w:sz w:val="20"/>
          <w:szCs w:val="20"/>
        </w:rPr>
        <w:t>Cash and Cash Equivalents. </w:t>
      </w:r>
      <w:r>
        <w:rPr>
          <w:rFonts w:eastAsia="Times New Roman"/>
          <w:color w:val="000000"/>
          <w:sz w:val="20"/>
          <w:szCs w:val="20"/>
        </w:rPr>
        <w:t xml:space="preserve">As of June 30, 2021 and December 31, 2020, we had cash and cash equivalents of $742.7 million and $658.8 million, respectively. </w:t>
      </w:r>
    </w:p>
    <w:p w:rsidR="00000000" w:rsidRDefault="00967E53">
      <w:pPr>
        <w:ind w:firstLine="360"/>
        <w:jc w:val="both"/>
        <w:divId w:val="494489592"/>
        <w:rPr>
          <w:rFonts w:eastAsia="Times New Roman"/>
        </w:rPr>
      </w:pPr>
      <w:r>
        <w:rPr>
          <w:rFonts w:eastAsia="Times New Roman"/>
          <w:i/>
          <w:iCs/>
          <w:color w:val="000000"/>
          <w:sz w:val="20"/>
          <w:szCs w:val="20"/>
        </w:rPr>
        <w:t>Credit Facility and Term Loans.</w:t>
      </w:r>
      <w:r>
        <w:rPr>
          <w:rFonts w:eastAsia="Times New Roman"/>
          <w:color w:val="000000"/>
          <w:sz w:val="20"/>
          <w:szCs w:val="20"/>
        </w:rPr>
        <w:t xml:space="preserve"> W</w:t>
      </w:r>
      <w:r>
        <w:rPr>
          <w:rFonts w:eastAsia="Times New Roman"/>
          <w:color w:val="000000"/>
          <w:sz w:val="20"/>
          <w:szCs w:val="20"/>
        </w:rPr>
        <w:t>e had $497.0 million and $503.2 million in Term Loans outstanding as of June 30, 2021 and December 31, 2020, respectively. Our Credit Agreement, as amended, consists of a revolving loan under which up to $1.3 billion aggregate principal amount may be borro</w:t>
      </w:r>
      <w:r>
        <w:rPr>
          <w:rFonts w:eastAsia="Times New Roman"/>
          <w:color w:val="000000"/>
          <w:sz w:val="20"/>
          <w:szCs w:val="20"/>
        </w:rPr>
        <w:t>wed, repaid and redrawn, based upon specific financial ratios and subject to the satisfaction of other customary conditions to borrowing. Our Credit Facility includes a sublimit of $400.0 million for the issuance of letters of credit and bankers' acceptanc</w:t>
      </w:r>
      <w:r>
        <w:rPr>
          <w:rFonts w:eastAsia="Times New Roman"/>
          <w:color w:val="000000"/>
          <w:sz w:val="20"/>
          <w:szCs w:val="20"/>
        </w:rPr>
        <w:t xml:space="preserve">es. Under the Credit Facility, we have the right to request increases in available borrowings up to an additional $400.0 million, subject to the satisfaction of certain conditions and we have the right to request increases in available borrowings up to an </w:t>
      </w:r>
      <w:r>
        <w:rPr>
          <w:rFonts w:eastAsia="Times New Roman"/>
          <w:color w:val="000000"/>
          <w:sz w:val="20"/>
          <w:szCs w:val="20"/>
        </w:rPr>
        <w:t>additional $200.0 million, subject to the satisfaction of certain conditions. The Credit Facility matures July 2024.</w:t>
      </w:r>
    </w:p>
    <w:p w:rsidR="00000000" w:rsidRDefault="00967E53">
      <w:pPr>
        <w:ind w:firstLine="360"/>
        <w:jc w:val="both"/>
        <w:divId w:val="2133159994"/>
        <w:rPr>
          <w:rFonts w:eastAsia="Times New Roman"/>
        </w:rPr>
      </w:pPr>
      <w:r>
        <w:rPr>
          <w:rFonts w:eastAsia="Times New Roman"/>
          <w:color w:val="000000"/>
          <w:sz w:val="20"/>
          <w:szCs w:val="20"/>
        </w:rPr>
        <w:t>We had no outstanding borrowings under our Credit Facility as of June 30, 2021 and December 31, 2020. Our issued letters of credit under th</w:t>
      </w:r>
      <w:r>
        <w:rPr>
          <w:rFonts w:eastAsia="Times New Roman"/>
          <w:color w:val="000000"/>
          <w:sz w:val="20"/>
          <w:szCs w:val="20"/>
        </w:rPr>
        <w:t>e Credit Facility totaled $3.5 million and $3.4 million as of June 30, 2021 and December 31, 2020, respectively. The unused portion of our Credit Facility was $1.3 billion as of June 30, 2021 and December 31, 2020. The unused portion of our Credit Facility</w:t>
      </w:r>
      <w:r>
        <w:rPr>
          <w:rFonts w:eastAsia="Times New Roman"/>
          <w:color w:val="000000"/>
          <w:sz w:val="20"/>
          <w:szCs w:val="20"/>
        </w:rPr>
        <w:t xml:space="preserve"> is limited by, among other things, our financial leverage ratio, which limits the total amount of indebtedness we may incur, and may, therefore, fluctuate from period to period.</w:t>
      </w:r>
    </w:p>
    <w:p w:rsidR="00000000" w:rsidRDefault="00967E53">
      <w:pPr>
        <w:ind w:firstLine="360"/>
        <w:jc w:val="both"/>
        <w:divId w:val="264116908"/>
        <w:rPr>
          <w:rFonts w:eastAsia="Times New Roman"/>
        </w:rPr>
      </w:pPr>
      <w:r>
        <w:rPr>
          <w:rFonts w:eastAsia="Times New Roman"/>
          <w:color w:val="000000"/>
          <w:sz w:val="20"/>
          <w:szCs w:val="20"/>
        </w:rPr>
        <w:t>Our Credit Facility and Term Loans contain certain financial and other covena</w:t>
      </w:r>
      <w:r>
        <w:rPr>
          <w:rFonts w:eastAsia="Times New Roman"/>
          <w:color w:val="000000"/>
          <w:sz w:val="20"/>
          <w:szCs w:val="20"/>
        </w:rPr>
        <w:t>nts with which we are required to comply. Our failure to comply with the covenants contained in our Credit Facility and our Term Loans could result in an event of default. An event of default, if not cured or waived, would permit acceleration of any outsta</w:t>
      </w:r>
      <w:r>
        <w:rPr>
          <w:rFonts w:eastAsia="Times New Roman"/>
          <w:color w:val="000000"/>
          <w:sz w:val="20"/>
          <w:szCs w:val="20"/>
        </w:rPr>
        <w:t>nding indebtedness under the Credit Facility and our Term Loans, trigger cross-defaults under certain other agreements to which we are a party and impair our ability to obtain working capital advances and issue letters of credit, which would have a materia</w:t>
      </w:r>
      <w:r>
        <w:rPr>
          <w:rFonts w:eastAsia="Times New Roman"/>
          <w:color w:val="000000"/>
          <w:sz w:val="20"/>
          <w:szCs w:val="20"/>
        </w:rPr>
        <w:t>l adverse effect on our business, financial condition, results of operations and cash flows. As of June 30, 2021, we were in compliance with all financial covenants contained in our Credit Facility and our Term Loans.</w:t>
      </w:r>
    </w:p>
    <w:p w:rsidR="00000000" w:rsidRDefault="00967E53">
      <w:pPr>
        <w:ind w:firstLine="360"/>
        <w:jc w:val="both"/>
        <w:divId w:val="955452649"/>
        <w:rPr>
          <w:rFonts w:eastAsia="Times New Roman"/>
        </w:rPr>
      </w:pPr>
      <w:r>
        <w:rPr>
          <w:rFonts w:eastAsia="Times New Roman"/>
          <w:i/>
          <w:iCs/>
          <w:color w:val="000000"/>
          <w:sz w:val="20"/>
          <w:szCs w:val="20"/>
        </w:rPr>
        <w:t>Other Agreements</w:t>
      </w:r>
      <w:r>
        <w:rPr>
          <w:rFonts w:eastAsia="Times New Roman"/>
          <w:color w:val="000000"/>
          <w:sz w:val="20"/>
          <w:szCs w:val="20"/>
        </w:rPr>
        <w:t>. Additionally, we hav</w:t>
      </w:r>
      <w:r>
        <w:rPr>
          <w:rFonts w:eastAsia="Times New Roman"/>
          <w:color w:val="000000"/>
          <w:sz w:val="20"/>
          <w:szCs w:val="20"/>
        </w:rPr>
        <w:t>e other uncommitted credit lines primarily for the issuance of letters of credit, bank guarantees and bankers’ acceptances. These credit lines are renewable on an annual basis and are subject to fees at market rates. As of June 30, 2021 and December 31, 20</w:t>
      </w:r>
      <w:r>
        <w:rPr>
          <w:rFonts w:eastAsia="Times New Roman"/>
          <w:color w:val="000000"/>
          <w:sz w:val="20"/>
          <w:szCs w:val="20"/>
        </w:rPr>
        <w:t>20, our outstanding letters of credit and bank guarantees under these credit lines totaled $350.5 million and $328.4 million, respectively.</w:t>
      </w:r>
    </w:p>
    <w:p w:rsidR="00000000" w:rsidRDefault="00967E53">
      <w:pPr>
        <w:ind w:firstLine="360"/>
        <w:jc w:val="both"/>
        <w:divId w:val="1620523806"/>
        <w:rPr>
          <w:rFonts w:eastAsia="Times New Roman"/>
        </w:rPr>
      </w:pPr>
      <w:r>
        <w:rPr>
          <w:rFonts w:eastAsia="Times New Roman"/>
          <w:color w:val="000000"/>
          <w:sz w:val="20"/>
          <w:szCs w:val="20"/>
        </w:rPr>
        <w:t xml:space="preserve">We also have accounts receivable financing programs under receivables purchase agreements (“RPAs”) with Wells Fargo </w:t>
      </w:r>
      <w:r>
        <w:rPr>
          <w:rFonts w:eastAsia="Times New Roman"/>
          <w:color w:val="000000"/>
          <w:sz w:val="20"/>
          <w:szCs w:val="20"/>
        </w:rPr>
        <w:t>Bank, N.A. and Citibank, N.A. that allow for the sale of our accounts receivable in an amount up to 100% of our outstanding qualifying accounts receivable balances and receive cash consideration equal to the total balance, less a discount margin equal to L</w:t>
      </w:r>
      <w:r>
        <w:rPr>
          <w:rFonts w:eastAsia="Times New Roman"/>
          <w:color w:val="000000"/>
          <w:sz w:val="20"/>
          <w:szCs w:val="20"/>
        </w:rPr>
        <w:t>IBOR plus 1.00% to 3.25%, which varies based on the outstanding accounts receivable at any given time and assumes maximum utilization of the RPA facilities. The RPA agreements provide the banks with the ability to add or remove customers from these program</w:t>
      </w:r>
      <w:r>
        <w:rPr>
          <w:rFonts w:eastAsia="Times New Roman"/>
          <w:color w:val="000000"/>
          <w:sz w:val="20"/>
          <w:szCs w:val="20"/>
        </w:rPr>
        <w:t>s based on, among other things, the level of risk exposure the bank is willing to accept with respect to any customer. The fees the banks charge us to purchase the receivables from these customers can also be impacted for these reasons. During the six mont</w:t>
      </w:r>
      <w:r>
        <w:rPr>
          <w:rFonts w:eastAsia="Times New Roman"/>
          <w:color w:val="000000"/>
          <w:sz w:val="20"/>
          <w:szCs w:val="20"/>
        </w:rPr>
        <w:t>hs ended June 30, 2021 and 2020, we sold receivables under our RPAs with an aggregate face value of $4.3 billion and $2.2 billion, respectively, and paid fees and interest of $9.4 million and $5.5 million, respectively.</w:t>
      </w:r>
    </w:p>
    <w:p w:rsidR="00000000" w:rsidRDefault="00967E53">
      <w:pPr>
        <w:ind w:firstLine="360"/>
        <w:jc w:val="both"/>
        <w:divId w:val="15233884"/>
        <w:rPr>
          <w:rFonts w:eastAsia="Times New Roman"/>
        </w:rPr>
      </w:pPr>
      <w:r>
        <w:rPr>
          <w:rFonts w:eastAsia="Times New Roman"/>
          <w:i/>
          <w:iCs/>
          <w:color w:val="000000"/>
          <w:sz w:val="20"/>
          <w:szCs w:val="20"/>
        </w:rPr>
        <w:t>Short-Term Debt</w:t>
      </w:r>
      <w:r>
        <w:rPr>
          <w:rFonts w:eastAsia="Times New Roman"/>
          <w:color w:val="000000"/>
          <w:sz w:val="20"/>
          <w:szCs w:val="20"/>
        </w:rPr>
        <w:t>. As of June 30, 2021</w:t>
      </w:r>
      <w:r>
        <w:rPr>
          <w:rFonts w:eastAsia="Times New Roman"/>
          <w:color w:val="000000"/>
          <w:sz w:val="20"/>
          <w:szCs w:val="20"/>
        </w:rPr>
        <w:t>, our short-term debt of $30.1 million primarily represents the current maturities (within the next twelve months) of Term Loan borrowings and finance lease obligations.</w:t>
      </w:r>
    </w:p>
    <w:p w:rsidR="00000000" w:rsidRDefault="00967E53">
      <w:pPr>
        <w:ind w:firstLine="360"/>
        <w:divId w:val="993947750"/>
        <w:rPr>
          <w:rFonts w:eastAsia="Times New Roman"/>
        </w:rPr>
      </w:pPr>
      <w:r>
        <w:rPr>
          <w:rFonts w:eastAsia="Times New Roman"/>
          <w:b/>
          <w:bCs/>
          <w:color w:val="000000"/>
          <w:sz w:val="20"/>
          <w:szCs w:val="20"/>
        </w:rPr>
        <w:t>Contractual Obligations and Off-Balance Sheet Arrangements</w:t>
      </w:r>
    </w:p>
    <w:p w:rsidR="00000000" w:rsidRDefault="00967E53">
      <w:pPr>
        <w:ind w:firstLine="360"/>
        <w:jc w:val="both"/>
        <w:divId w:val="458301842"/>
        <w:rPr>
          <w:rFonts w:eastAsia="Times New Roman"/>
        </w:rPr>
      </w:pPr>
      <w:r>
        <w:rPr>
          <w:rFonts w:eastAsia="Times New Roman"/>
          <w:color w:val="000000"/>
          <w:sz w:val="20"/>
          <w:szCs w:val="20"/>
        </w:rPr>
        <w:t>Except for changes in the c</w:t>
      </w:r>
      <w:r>
        <w:rPr>
          <w:rFonts w:eastAsia="Times New Roman"/>
          <w:color w:val="000000"/>
          <w:sz w:val="20"/>
          <w:szCs w:val="20"/>
        </w:rPr>
        <w:t>ontractual obligations and off-balance sheet arrangements described below, there were no other material changes from December 31, 2020 to June 30, 2021. For a discussion of these matters, refer to Item 7 - Contractual Obligations and Off-Balance Sheet Arra</w:t>
      </w:r>
      <w:r>
        <w:rPr>
          <w:rFonts w:eastAsia="Times New Roman"/>
          <w:color w:val="000000"/>
          <w:sz w:val="20"/>
          <w:szCs w:val="20"/>
        </w:rPr>
        <w:t>ngements of our 2020 10-K Report.</w:t>
      </w:r>
    </w:p>
    <w:p w:rsidR="00000000" w:rsidRDefault="00967E53">
      <w:pPr>
        <w:ind w:firstLine="360"/>
        <w:jc w:val="center"/>
        <w:divId w:val="1804351028"/>
        <w:rPr>
          <w:rFonts w:eastAsia="Times New Roman"/>
        </w:rPr>
      </w:pPr>
      <w:r>
        <w:rPr>
          <w:rFonts w:eastAsia="Times New Roman"/>
          <w:color w:val="000000"/>
          <w:sz w:val="20"/>
          <w:szCs w:val="20"/>
        </w:rPr>
        <w:t>28</w:t>
      </w:r>
    </w:p>
    <w:p w:rsidR="00000000" w:rsidRDefault="00967E53">
      <w:pPr>
        <w:rPr>
          <w:rFonts w:eastAsia="Times New Roman"/>
        </w:rPr>
      </w:pPr>
      <w:r>
        <w:rPr>
          <w:rFonts w:eastAsia="Times New Roman"/>
        </w:rPr>
        <w:pict>
          <v:rect id="_x0000_i1056" style="width:0;height:1.5pt" o:hralign="center" o:hrstd="t" o:hr="t" fillcolor="#a0a0a0" stroked="f"/>
        </w:pict>
      </w:r>
    </w:p>
    <w:p w:rsidR="00000000" w:rsidRDefault="00967E53">
      <w:pPr>
        <w:ind w:firstLine="360"/>
        <w:jc w:val="both"/>
        <w:divId w:val="195898983"/>
        <w:rPr>
          <w:rFonts w:eastAsia="Times New Roman"/>
        </w:rPr>
      </w:pPr>
    </w:p>
    <w:p w:rsidR="00000000" w:rsidRDefault="00967E53">
      <w:pPr>
        <w:ind w:firstLine="360"/>
        <w:jc w:val="both"/>
        <w:divId w:val="1093668480"/>
        <w:rPr>
          <w:rFonts w:eastAsia="Times New Roman"/>
        </w:rPr>
      </w:pPr>
    </w:p>
    <w:p w:rsidR="00000000" w:rsidRDefault="00967E53">
      <w:pPr>
        <w:ind w:firstLine="360"/>
        <w:jc w:val="both"/>
        <w:divId w:val="1193375972"/>
        <w:rPr>
          <w:rFonts w:eastAsia="Times New Roman"/>
        </w:rPr>
      </w:pPr>
      <w:r>
        <w:rPr>
          <w:rFonts w:eastAsia="Times New Roman"/>
          <w:b/>
          <w:bCs/>
          <w:color w:val="000000"/>
          <w:sz w:val="20"/>
          <w:szCs w:val="20"/>
        </w:rPr>
        <w:t>Contractual Obligations</w:t>
      </w:r>
    </w:p>
    <w:p w:rsidR="00000000" w:rsidRDefault="00967E53">
      <w:pPr>
        <w:ind w:firstLine="360"/>
        <w:jc w:val="both"/>
        <w:divId w:val="1586574280"/>
        <w:rPr>
          <w:rFonts w:eastAsia="Times New Roman"/>
        </w:rPr>
      </w:pPr>
      <w:r>
        <w:rPr>
          <w:rFonts w:eastAsia="Times New Roman"/>
          <w:i/>
          <w:iCs/>
          <w:color w:val="000000"/>
          <w:sz w:val="20"/>
          <w:szCs w:val="20"/>
        </w:rPr>
        <w:t>Derivative Obligations.</w:t>
      </w:r>
      <w:r>
        <w:rPr>
          <w:rFonts w:eastAsia="Times New Roman"/>
          <w:color w:val="000000"/>
          <w:sz w:val="20"/>
          <w:szCs w:val="20"/>
        </w:rPr>
        <w:t xml:space="preserve"> As of June 30, 2021, our net derivative obligations were $133.9 million, principally due within one year.</w:t>
      </w:r>
    </w:p>
    <w:p w:rsidR="00000000" w:rsidRDefault="00967E53">
      <w:pPr>
        <w:ind w:firstLine="360"/>
        <w:jc w:val="both"/>
        <w:divId w:val="88548536"/>
        <w:rPr>
          <w:rFonts w:eastAsia="Times New Roman"/>
        </w:rPr>
      </w:pPr>
      <w:r>
        <w:rPr>
          <w:rFonts w:eastAsia="Times New Roman"/>
          <w:i/>
          <w:iCs/>
          <w:color w:val="000000"/>
          <w:sz w:val="20"/>
          <w:szCs w:val="20"/>
        </w:rPr>
        <w:t>Purchase Commitment Obli</w:t>
      </w:r>
      <w:r>
        <w:rPr>
          <w:rFonts w:eastAsia="Times New Roman"/>
          <w:i/>
          <w:iCs/>
          <w:color w:val="000000"/>
          <w:sz w:val="20"/>
          <w:szCs w:val="20"/>
        </w:rPr>
        <w:t>gations.</w:t>
      </w:r>
      <w:r>
        <w:rPr>
          <w:rFonts w:eastAsia="Times New Roman"/>
          <w:color w:val="000000"/>
          <w:sz w:val="20"/>
          <w:szCs w:val="20"/>
        </w:rPr>
        <w:t xml:space="preserve"> As of June 30, 2021, fixed purchase commitments under our derivative programs amounted to $76.2 million, of which $39.3 million is due within one year.</w:t>
      </w:r>
    </w:p>
    <w:p w:rsidR="00000000" w:rsidRDefault="00967E53">
      <w:pPr>
        <w:ind w:firstLine="360"/>
        <w:jc w:val="both"/>
        <w:divId w:val="1175614320"/>
        <w:rPr>
          <w:rFonts w:eastAsia="Times New Roman"/>
        </w:rPr>
      </w:pPr>
      <w:r>
        <w:rPr>
          <w:rFonts w:eastAsia="Times New Roman"/>
          <w:b/>
          <w:bCs/>
          <w:color w:val="000000"/>
          <w:sz w:val="20"/>
          <w:szCs w:val="20"/>
        </w:rPr>
        <w:t>Off-Balance Sheet Arrangements</w:t>
      </w:r>
    </w:p>
    <w:p w:rsidR="00000000" w:rsidRDefault="00967E53">
      <w:pPr>
        <w:ind w:firstLine="360"/>
        <w:jc w:val="both"/>
        <w:divId w:val="965546872"/>
        <w:rPr>
          <w:rFonts w:eastAsia="Times New Roman"/>
        </w:rPr>
      </w:pPr>
      <w:r>
        <w:rPr>
          <w:rFonts w:eastAsia="Times New Roman"/>
          <w:i/>
          <w:iCs/>
          <w:color w:val="000000"/>
          <w:sz w:val="20"/>
          <w:szCs w:val="20"/>
        </w:rPr>
        <w:t>Letters of Credit and Bank Guarantees.</w:t>
      </w:r>
      <w:r>
        <w:rPr>
          <w:rFonts w:eastAsia="Times New Roman"/>
          <w:color w:val="000000"/>
          <w:sz w:val="20"/>
          <w:szCs w:val="20"/>
        </w:rPr>
        <w:t xml:space="preserve"> In the normal course of b</w:t>
      </w:r>
      <w:r>
        <w:rPr>
          <w:rFonts w:eastAsia="Times New Roman"/>
          <w:color w:val="000000"/>
          <w:sz w:val="20"/>
          <w:szCs w:val="20"/>
        </w:rPr>
        <w:t>usiness, we are required to provide letters of credit to certain suppliers. A majority of these letters of credit expire within one year from their issuance and are renewed as needed. As of June 30, 2021, we had issued letters of credit and bank guarantees</w:t>
      </w:r>
      <w:r>
        <w:rPr>
          <w:rFonts w:eastAsia="Times New Roman"/>
          <w:color w:val="000000"/>
          <w:sz w:val="20"/>
          <w:szCs w:val="20"/>
        </w:rPr>
        <w:t xml:space="preserve"> totaling $354.0 million under our Credit Facility and other uncommitted credit lines. For additional information on our Credit Facility and other credit lines, see the discussion in Liquidity and Capital Resources above.</w:t>
      </w:r>
    </w:p>
    <w:p w:rsidR="00000000" w:rsidRDefault="00967E53">
      <w:pPr>
        <w:ind w:firstLine="360"/>
        <w:divId w:val="1609660530"/>
        <w:rPr>
          <w:rFonts w:eastAsia="Times New Roman"/>
        </w:rPr>
      </w:pPr>
      <w:r>
        <w:rPr>
          <w:rFonts w:eastAsia="Times New Roman"/>
          <w:b/>
          <w:bCs/>
          <w:color w:val="000000"/>
          <w:sz w:val="20"/>
          <w:szCs w:val="20"/>
        </w:rPr>
        <w:t xml:space="preserve">Critical Accounting Estimates </w:t>
      </w:r>
    </w:p>
    <w:p w:rsidR="00000000" w:rsidRDefault="00967E53">
      <w:pPr>
        <w:ind w:firstLine="360"/>
        <w:jc w:val="both"/>
        <w:divId w:val="1195657510"/>
        <w:rPr>
          <w:rFonts w:eastAsia="Times New Roman"/>
        </w:rPr>
      </w:pPr>
      <w:r>
        <w:rPr>
          <w:rFonts w:eastAsia="Times New Roman"/>
          <w:color w:val="000000"/>
          <w:sz w:val="20"/>
          <w:szCs w:val="20"/>
        </w:rPr>
        <w:t>The</w:t>
      </w:r>
      <w:r>
        <w:rPr>
          <w:rFonts w:eastAsia="Times New Roman"/>
          <w:color w:val="000000"/>
          <w:sz w:val="20"/>
          <w:szCs w:val="20"/>
        </w:rPr>
        <w:t xml:space="preserve"> unaudited Condensed Consolidated Financial Statements are prepared in accordance with accounting principles generally accepted in the United States of America (“U.S. GAAP”). The significant accounting policies used are disclosed in Item 15 - Financial Sta</w:t>
      </w:r>
      <w:r>
        <w:rPr>
          <w:rFonts w:eastAsia="Times New Roman"/>
          <w:color w:val="000000"/>
          <w:sz w:val="20"/>
          <w:szCs w:val="20"/>
        </w:rPr>
        <w:t>tement Schedules, Note 1. Basis of Presentation, New Accounting Standards and Significant Accounting Policies to the Consolidated Financial Statements in our 2020 10-K report.</w:t>
      </w:r>
    </w:p>
    <w:p w:rsidR="00000000" w:rsidRDefault="00967E53">
      <w:pPr>
        <w:ind w:firstLine="360"/>
        <w:jc w:val="both"/>
        <w:divId w:val="1116633307"/>
        <w:rPr>
          <w:rFonts w:eastAsia="Times New Roman"/>
        </w:rPr>
      </w:pPr>
      <w:r>
        <w:rPr>
          <w:rFonts w:eastAsia="Times New Roman"/>
          <w:color w:val="000000"/>
          <w:sz w:val="20"/>
          <w:szCs w:val="20"/>
        </w:rPr>
        <w:t>We make estimates and assumptions that affect the reported amounts on our unaudi</w:t>
      </w:r>
      <w:r>
        <w:rPr>
          <w:rFonts w:eastAsia="Times New Roman"/>
          <w:color w:val="000000"/>
          <w:sz w:val="20"/>
          <w:szCs w:val="20"/>
        </w:rPr>
        <w:t>ted Condensed Consolidated Financial Statements and accompanying Notes as of the date of the unaudited Condensed Consolidated Financial Statements.</w:t>
      </w:r>
    </w:p>
    <w:p w:rsidR="00000000" w:rsidRDefault="00967E53">
      <w:pPr>
        <w:ind w:firstLine="360"/>
        <w:jc w:val="both"/>
        <w:divId w:val="200828995"/>
        <w:rPr>
          <w:rFonts w:eastAsia="Times New Roman"/>
        </w:rPr>
      </w:pPr>
      <w:r>
        <w:rPr>
          <w:rFonts w:eastAsia="Times New Roman"/>
          <w:color w:val="000000"/>
          <w:sz w:val="20"/>
          <w:szCs w:val="20"/>
          <w:u w:val="single"/>
        </w:rPr>
        <w:t>Impairment Assessments of Goodwill, Long-Lived Assets and Equity Investments</w:t>
      </w:r>
    </w:p>
    <w:p w:rsidR="00000000" w:rsidRDefault="00967E53">
      <w:pPr>
        <w:ind w:firstLine="360"/>
        <w:jc w:val="both"/>
        <w:divId w:val="1891719686"/>
        <w:rPr>
          <w:rFonts w:eastAsia="Times New Roman"/>
        </w:rPr>
      </w:pPr>
      <w:r>
        <w:rPr>
          <w:rFonts w:eastAsia="Times New Roman"/>
          <w:color w:val="000000"/>
          <w:sz w:val="20"/>
          <w:szCs w:val="20"/>
        </w:rPr>
        <w:t>We assess accounting estimates that require consideration of forecasted financial information, including, but not limited to, the recoverability of the carrying value of our goodwill, long-lived assets and equity investments. Significant judgment is involv</w:t>
      </w:r>
      <w:r>
        <w:rPr>
          <w:rFonts w:eastAsia="Times New Roman"/>
          <w:color w:val="000000"/>
          <w:sz w:val="20"/>
          <w:szCs w:val="20"/>
        </w:rPr>
        <w:t xml:space="preserve">ed in performing these estimates as they are developed based on forecasted assumptions. As of June 30, 2021, the assumptions used were defined in the context of the current and future potential impact of COVID-19 on our business. However, at this time, we </w:t>
      </w:r>
      <w:r>
        <w:rPr>
          <w:rFonts w:eastAsia="Times New Roman"/>
          <w:color w:val="000000"/>
          <w:sz w:val="20"/>
          <w:szCs w:val="20"/>
        </w:rPr>
        <w:t>are unable to predict with specificity the ultimate impact of the pandemic, as it will depend on the magnitude, severity and duration, as well as how quickly, and to what extent, normal economic and operating conditions resume on a sustainable basis global</w:t>
      </w:r>
      <w:r>
        <w:rPr>
          <w:rFonts w:eastAsia="Times New Roman"/>
          <w:color w:val="000000"/>
          <w:sz w:val="20"/>
          <w:szCs w:val="20"/>
        </w:rPr>
        <w:t>ly. Other business factors such as the reduction of government-related activity in Afghanistan were considered.</w:t>
      </w:r>
    </w:p>
    <w:p w:rsidR="00000000" w:rsidRDefault="00967E53">
      <w:pPr>
        <w:ind w:firstLine="360"/>
        <w:jc w:val="both"/>
        <w:divId w:val="1237521666"/>
        <w:rPr>
          <w:rFonts w:eastAsia="Times New Roman"/>
        </w:rPr>
      </w:pPr>
      <w:r>
        <w:rPr>
          <w:rFonts w:eastAsia="Times New Roman"/>
          <w:color w:val="000000"/>
          <w:sz w:val="20"/>
          <w:szCs w:val="20"/>
        </w:rPr>
        <w:t xml:space="preserve">Based on the assessments performed, and supported by the available information as of June 30, 2021, we concluded that no material impairment of </w:t>
      </w:r>
      <w:r>
        <w:rPr>
          <w:rFonts w:eastAsia="Times New Roman"/>
          <w:color w:val="000000"/>
          <w:sz w:val="20"/>
          <w:szCs w:val="20"/>
        </w:rPr>
        <w:t>long-lived assets, intangibles and equity method investments should be recognized and it was not more likely than not that the fair value of our land and aviation reporting units were less than their respective carrying values. If the impact of the pandemi</w:t>
      </w:r>
      <w:r>
        <w:rPr>
          <w:rFonts w:eastAsia="Times New Roman"/>
          <w:color w:val="000000"/>
          <w:sz w:val="20"/>
          <w:szCs w:val="20"/>
        </w:rPr>
        <w:t>c is more severe or longer in duration than we have assumed, such impact could potentially result in impairments.</w:t>
      </w:r>
    </w:p>
    <w:p w:rsidR="00000000" w:rsidRDefault="00967E53">
      <w:pPr>
        <w:ind w:firstLine="360"/>
        <w:jc w:val="both"/>
        <w:divId w:val="2048329949"/>
        <w:rPr>
          <w:rFonts w:eastAsia="Times New Roman"/>
        </w:rPr>
      </w:pPr>
      <w:r>
        <w:rPr>
          <w:rFonts w:eastAsia="Times New Roman"/>
          <w:color w:val="000000"/>
          <w:sz w:val="20"/>
          <w:szCs w:val="20"/>
        </w:rPr>
        <w:t>For further information, see Note 6. Fair Value Measurements and Note 12. Restructuring.</w:t>
      </w:r>
    </w:p>
    <w:p w:rsidR="00000000" w:rsidRDefault="00967E53">
      <w:pPr>
        <w:ind w:firstLine="360"/>
        <w:jc w:val="both"/>
        <w:divId w:val="231156566"/>
        <w:rPr>
          <w:rFonts w:eastAsia="Times New Roman"/>
        </w:rPr>
      </w:pPr>
      <w:r>
        <w:rPr>
          <w:rFonts w:eastAsia="Times New Roman"/>
          <w:color w:val="000000"/>
          <w:sz w:val="20"/>
          <w:szCs w:val="20"/>
          <w:u w:val="single"/>
        </w:rPr>
        <w:t>Recent Accounting Pronouncements</w:t>
      </w:r>
    </w:p>
    <w:p w:rsidR="00000000" w:rsidRDefault="00967E53">
      <w:pPr>
        <w:ind w:firstLine="360"/>
        <w:jc w:val="both"/>
        <w:divId w:val="457189365"/>
        <w:rPr>
          <w:rFonts w:eastAsia="Times New Roman"/>
        </w:rPr>
      </w:pPr>
      <w:r>
        <w:rPr>
          <w:rFonts w:eastAsia="Times New Roman"/>
          <w:color w:val="000000"/>
          <w:sz w:val="20"/>
          <w:szCs w:val="20"/>
        </w:rPr>
        <w:t>Information regarding new accounting pronouncements is included in Note 1. Basis of Presentation, New Accounting Standards, and Significant Accounting Policies.</w:t>
      </w:r>
    </w:p>
    <w:p w:rsidR="00000000" w:rsidRDefault="00967E53">
      <w:pPr>
        <w:divId w:val="1981688767"/>
        <w:rPr>
          <w:rFonts w:eastAsia="Times New Roman"/>
        </w:rPr>
      </w:pPr>
      <w:r>
        <w:rPr>
          <w:rFonts w:eastAsia="Times New Roman"/>
          <w:b/>
          <w:bCs/>
          <w:color w:val="000000"/>
          <w:sz w:val="20"/>
          <w:szCs w:val="20"/>
        </w:rPr>
        <w:t>Item 3. Quantitative and Qualitative Disclosures About Market Risk</w:t>
      </w:r>
    </w:p>
    <w:p w:rsidR="00000000" w:rsidRDefault="00967E53">
      <w:pPr>
        <w:ind w:firstLine="360"/>
        <w:divId w:val="1275362406"/>
        <w:rPr>
          <w:rFonts w:eastAsia="Times New Roman"/>
        </w:rPr>
      </w:pPr>
      <w:r>
        <w:rPr>
          <w:rFonts w:eastAsia="Times New Roman"/>
          <w:b/>
          <w:bCs/>
          <w:color w:val="000000"/>
          <w:sz w:val="20"/>
          <w:szCs w:val="20"/>
        </w:rPr>
        <w:t>Derivative Instruments</w:t>
      </w:r>
    </w:p>
    <w:p w:rsidR="00000000" w:rsidRDefault="00967E53">
      <w:pPr>
        <w:ind w:firstLine="360"/>
        <w:jc w:val="both"/>
        <w:divId w:val="156696681"/>
        <w:rPr>
          <w:rFonts w:eastAsia="Times New Roman"/>
        </w:rPr>
      </w:pPr>
      <w:r>
        <w:rPr>
          <w:rFonts w:eastAsia="Times New Roman"/>
          <w:color w:val="000000"/>
          <w:sz w:val="20"/>
          <w:szCs w:val="20"/>
        </w:rPr>
        <w:t>There</w:t>
      </w:r>
      <w:r>
        <w:rPr>
          <w:rFonts w:eastAsia="Times New Roman"/>
          <w:color w:val="000000"/>
          <w:sz w:val="20"/>
          <w:szCs w:val="20"/>
        </w:rPr>
        <w:t xml:space="preserve"> have been no material changes to our exposures to commodity price, interest rate, or foreign currency risk since December 31, 2020. Please refer to our 2020 10-K Report for a complete discussion of our exposure to these risks.</w:t>
      </w:r>
    </w:p>
    <w:p w:rsidR="00000000" w:rsidRDefault="00967E53">
      <w:pPr>
        <w:ind w:firstLine="360"/>
        <w:jc w:val="both"/>
        <w:divId w:val="1404722905"/>
        <w:rPr>
          <w:rFonts w:eastAsia="Times New Roman"/>
        </w:rPr>
      </w:pPr>
      <w:r>
        <w:rPr>
          <w:rFonts w:eastAsia="Times New Roman"/>
          <w:color w:val="000000"/>
          <w:sz w:val="20"/>
          <w:szCs w:val="20"/>
        </w:rPr>
        <w:t>For information about our de</w:t>
      </w:r>
      <w:r>
        <w:rPr>
          <w:rFonts w:eastAsia="Times New Roman"/>
          <w:color w:val="000000"/>
          <w:sz w:val="20"/>
          <w:szCs w:val="20"/>
        </w:rPr>
        <w:t>rivative instruments at their respective fair value positions as of June 30, 2021, see Note 4. Derivative Instruments. </w:t>
      </w:r>
    </w:p>
    <w:p w:rsidR="00000000" w:rsidRDefault="00967E53">
      <w:pPr>
        <w:divId w:val="1119031502"/>
        <w:rPr>
          <w:rFonts w:eastAsia="Times New Roman"/>
        </w:rPr>
      </w:pPr>
      <w:r>
        <w:rPr>
          <w:rFonts w:eastAsia="Times New Roman"/>
          <w:b/>
          <w:bCs/>
          <w:color w:val="000000"/>
          <w:sz w:val="20"/>
          <w:szCs w:val="20"/>
        </w:rPr>
        <w:t>Item 4.    Controls and Procedures</w:t>
      </w:r>
    </w:p>
    <w:p w:rsidR="00000000" w:rsidRDefault="00967E53">
      <w:pPr>
        <w:ind w:firstLine="360"/>
        <w:divId w:val="976841516"/>
        <w:rPr>
          <w:rFonts w:eastAsia="Times New Roman"/>
        </w:rPr>
      </w:pPr>
      <w:r>
        <w:rPr>
          <w:rFonts w:eastAsia="Times New Roman"/>
          <w:b/>
          <w:bCs/>
          <w:color w:val="000000"/>
          <w:sz w:val="20"/>
          <w:szCs w:val="20"/>
        </w:rPr>
        <w:t>Management’s Evaluation of Disclosure Controls and Procedures</w:t>
      </w:r>
    </w:p>
    <w:p w:rsidR="00000000" w:rsidRDefault="00967E53">
      <w:pPr>
        <w:ind w:firstLine="360"/>
        <w:jc w:val="both"/>
        <w:divId w:val="570232624"/>
        <w:rPr>
          <w:rFonts w:eastAsia="Times New Roman"/>
        </w:rPr>
      </w:pPr>
      <w:r>
        <w:rPr>
          <w:rFonts w:eastAsia="Times New Roman"/>
          <w:color w:val="000000"/>
          <w:sz w:val="20"/>
          <w:szCs w:val="20"/>
        </w:rPr>
        <w:t>We maintain disclosure controls and pro</w:t>
      </w:r>
      <w:r>
        <w:rPr>
          <w:rFonts w:eastAsia="Times New Roman"/>
          <w:color w:val="000000"/>
          <w:sz w:val="20"/>
          <w:szCs w:val="20"/>
        </w:rPr>
        <w:t>cedures that are designed to ensure that information required to be disclosed in the reports that we file or submit under the Exchange Act is recorded, processed, summarized and reported within the time periods specified in the SEC’s rules and forms, and t</w:t>
      </w:r>
      <w:r>
        <w:rPr>
          <w:rFonts w:eastAsia="Times New Roman"/>
          <w:color w:val="000000"/>
          <w:sz w:val="20"/>
          <w:szCs w:val="20"/>
        </w:rPr>
        <w:t>hat such information is accumulated and communicated to our management, including our Chief Executive Officer (“CEO”) and our Chief Financial Officer (“CFO”), as appropriate, to allow timely decisions regarding required financial disclosure.</w:t>
      </w:r>
    </w:p>
    <w:p w:rsidR="00000000" w:rsidRDefault="00967E53">
      <w:pPr>
        <w:ind w:firstLine="360"/>
        <w:jc w:val="center"/>
        <w:divId w:val="858272192"/>
        <w:rPr>
          <w:rFonts w:eastAsia="Times New Roman"/>
        </w:rPr>
      </w:pPr>
      <w:r>
        <w:rPr>
          <w:rFonts w:eastAsia="Times New Roman"/>
          <w:color w:val="000000"/>
          <w:sz w:val="20"/>
          <w:szCs w:val="20"/>
        </w:rPr>
        <w:t>29</w:t>
      </w:r>
    </w:p>
    <w:p w:rsidR="00000000" w:rsidRDefault="00967E53">
      <w:pPr>
        <w:rPr>
          <w:rFonts w:eastAsia="Times New Roman"/>
        </w:rPr>
      </w:pPr>
      <w:r>
        <w:rPr>
          <w:rFonts w:eastAsia="Times New Roman"/>
        </w:rPr>
        <w:pict>
          <v:rect id="_x0000_i1057" style="width:0;height:1.5pt" o:hralign="center" o:hrstd="t" o:hr="t" fillcolor="#a0a0a0" stroked="f"/>
        </w:pict>
      </w:r>
    </w:p>
    <w:p w:rsidR="00000000" w:rsidRDefault="00967E53">
      <w:pPr>
        <w:ind w:firstLine="360"/>
        <w:jc w:val="both"/>
        <w:divId w:val="148404716"/>
        <w:rPr>
          <w:rFonts w:eastAsia="Times New Roman"/>
        </w:rPr>
      </w:pPr>
    </w:p>
    <w:p w:rsidR="00000000" w:rsidRDefault="00967E53">
      <w:pPr>
        <w:ind w:firstLine="360"/>
        <w:jc w:val="both"/>
        <w:divId w:val="22950981"/>
        <w:rPr>
          <w:rFonts w:eastAsia="Times New Roman"/>
        </w:rPr>
      </w:pPr>
    </w:p>
    <w:p w:rsidR="00000000" w:rsidRDefault="00967E53">
      <w:pPr>
        <w:ind w:firstLine="360"/>
        <w:jc w:val="both"/>
        <w:divId w:val="779105890"/>
        <w:rPr>
          <w:rFonts w:eastAsia="Times New Roman"/>
        </w:rPr>
      </w:pPr>
      <w:r>
        <w:rPr>
          <w:rFonts w:eastAsia="Times New Roman"/>
          <w:color w:val="000000"/>
          <w:sz w:val="20"/>
          <w:szCs w:val="20"/>
        </w:rPr>
        <w:t>As of the end of the period covered by this 10-Q Report, we evaluated, under the supervision and with the participation of our CEO and CFO, the effectiveness of the design and operation of our disclosure controls and procedure</w:t>
      </w:r>
      <w:r>
        <w:rPr>
          <w:rFonts w:eastAsia="Times New Roman"/>
          <w:color w:val="000000"/>
          <w:sz w:val="20"/>
          <w:szCs w:val="20"/>
        </w:rPr>
        <w:t>s pursuant to Exchange Act Rule 13a-15(e). Based upon this evaluation, the CEO and CFO concluded that our disclosure controls and procedures were effective at a reasonable assurance level as of June 30, 2021.</w:t>
      </w:r>
    </w:p>
    <w:p w:rsidR="00000000" w:rsidRDefault="00967E53">
      <w:pPr>
        <w:ind w:firstLine="360"/>
        <w:jc w:val="both"/>
        <w:divId w:val="1501847822"/>
        <w:rPr>
          <w:rFonts w:eastAsia="Times New Roman"/>
        </w:rPr>
      </w:pPr>
      <w:r>
        <w:rPr>
          <w:rFonts w:eastAsia="Times New Roman"/>
          <w:b/>
          <w:bCs/>
          <w:color w:val="000000"/>
          <w:sz w:val="20"/>
          <w:szCs w:val="20"/>
        </w:rPr>
        <w:t>Changes in Internal Control over Financial Repo</w:t>
      </w:r>
      <w:r>
        <w:rPr>
          <w:rFonts w:eastAsia="Times New Roman"/>
          <w:b/>
          <w:bCs/>
          <w:color w:val="000000"/>
          <w:sz w:val="20"/>
          <w:szCs w:val="20"/>
        </w:rPr>
        <w:t>rting</w:t>
      </w:r>
    </w:p>
    <w:p w:rsidR="00000000" w:rsidRDefault="00967E53">
      <w:pPr>
        <w:ind w:firstLine="360"/>
        <w:jc w:val="both"/>
        <w:divId w:val="1977100098"/>
        <w:rPr>
          <w:rFonts w:eastAsia="Times New Roman"/>
        </w:rPr>
      </w:pPr>
      <w:r>
        <w:rPr>
          <w:rFonts w:eastAsia="Times New Roman"/>
          <w:color w:val="000000"/>
          <w:sz w:val="20"/>
          <w:szCs w:val="20"/>
        </w:rPr>
        <w:t>There were no changes in our internal control over financial reporting that materially affected, or are reasonably likely to materially affect, our internal control over financial reporting during the three months ended June 30, 2021.</w:t>
      </w:r>
    </w:p>
    <w:p w:rsidR="00000000" w:rsidRDefault="00967E53">
      <w:pPr>
        <w:ind w:firstLine="360"/>
        <w:jc w:val="both"/>
        <w:divId w:val="480343695"/>
        <w:rPr>
          <w:rFonts w:eastAsia="Times New Roman"/>
        </w:rPr>
      </w:pPr>
      <w:r>
        <w:rPr>
          <w:rFonts w:eastAsia="Times New Roman"/>
          <w:color w:val="000000"/>
          <w:sz w:val="20"/>
          <w:szCs w:val="20"/>
        </w:rPr>
        <w:t>It should be no</w:t>
      </w:r>
      <w:r>
        <w:rPr>
          <w:rFonts w:eastAsia="Times New Roman"/>
          <w:color w:val="000000"/>
          <w:sz w:val="20"/>
          <w:szCs w:val="20"/>
        </w:rPr>
        <w:t>ted that any system of controls, however well designed and operated, can provide only reasonable, and not absolute, assurance that the objectives of the system will be met. In addition, the design of any control system is based in part upon certain assumpt</w:t>
      </w:r>
      <w:r>
        <w:rPr>
          <w:rFonts w:eastAsia="Times New Roman"/>
          <w:color w:val="000000"/>
          <w:sz w:val="20"/>
          <w:szCs w:val="20"/>
        </w:rPr>
        <w:t>ions about the likelihood of future events. Because of these and other inherent limitations of control systems, there is only the reasonable assurance that our controls will succeed in achieving their goals under all potential future conditions.</w:t>
      </w:r>
    </w:p>
    <w:p w:rsidR="00000000" w:rsidRDefault="00967E53">
      <w:pPr>
        <w:ind w:firstLine="360"/>
        <w:jc w:val="center"/>
        <w:divId w:val="2114782125"/>
        <w:rPr>
          <w:rFonts w:eastAsia="Times New Roman"/>
        </w:rPr>
      </w:pPr>
      <w:r>
        <w:rPr>
          <w:rFonts w:eastAsia="Times New Roman"/>
          <w:color w:val="000000"/>
          <w:sz w:val="20"/>
          <w:szCs w:val="20"/>
        </w:rPr>
        <w:t>30</w:t>
      </w:r>
    </w:p>
    <w:p w:rsidR="00000000" w:rsidRDefault="00967E53">
      <w:pPr>
        <w:rPr>
          <w:rFonts w:eastAsia="Times New Roman"/>
        </w:rPr>
      </w:pPr>
      <w:r>
        <w:rPr>
          <w:rFonts w:eastAsia="Times New Roman"/>
        </w:rPr>
        <w:pict>
          <v:rect id="_x0000_i1058" style="width:0;height:1.5pt" o:hralign="center" o:hrstd="t" o:hr="t" fillcolor="#a0a0a0" stroked="f"/>
        </w:pict>
      </w:r>
    </w:p>
    <w:p w:rsidR="00000000" w:rsidRDefault="00967E53">
      <w:pPr>
        <w:ind w:firstLine="360"/>
        <w:jc w:val="both"/>
        <w:divId w:val="1287615705"/>
        <w:rPr>
          <w:rFonts w:eastAsia="Times New Roman"/>
        </w:rPr>
      </w:pPr>
    </w:p>
    <w:p w:rsidR="00000000" w:rsidRDefault="00967E53">
      <w:pPr>
        <w:ind w:firstLine="360"/>
        <w:jc w:val="both"/>
        <w:divId w:val="1263564041"/>
        <w:rPr>
          <w:rFonts w:eastAsia="Times New Roman"/>
        </w:rPr>
      </w:pPr>
    </w:p>
    <w:p w:rsidR="00000000" w:rsidRDefault="00967E53">
      <w:pPr>
        <w:ind w:firstLine="360"/>
        <w:jc w:val="both"/>
        <w:divId w:val="627467720"/>
        <w:rPr>
          <w:rFonts w:eastAsia="Times New Roman"/>
        </w:rPr>
      </w:pPr>
    </w:p>
    <w:p w:rsidR="00000000" w:rsidRDefault="00967E53">
      <w:pPr>
        <w:jc w:val="center"/>
        <w:divId w:val="1142620383"/>
        <w:rPr>
          <w:rFonts w:eastAsia="Times New Roman"/>
        </w:rPr>
      </w:pPr>
      <w:r>
        <w:rPr>
          <w:rFonts w:eastAsia="Times New Roman"/>
          <w:b/>
          <w:bCs/>
          <w:color w:val="000000"/>
          <w:sz w:val="20"/>
          <w:szCs w:val="20"/>
        </w:rPr>
        <w:t>Part II — Other Information</w:t>
      </w:r>
    </w:p>
    <w:p w:rsidR="00000000" w:rsidRDefault="00967E53">
      <w:pPr>
        <w:divId w:val="1899049070"/>
        <w:rPr>
          <w:rFonts w:eastAsia="Times New Roman"/>
        </w:rPr>
      </w:pPr>
      <w:r>
        <w:rPr>
          <w:rFonts w:eastAsia="Times New Roman"/>
          <w:b/>
          <w:bCs/>
          <w:color w:val="000000"/>
          <w:sz w:val="20"/>
          <w:szCs w:val="20"/>
        </w:rPr>
        <w:t>Item 1.     Legal Proceedings</w:t>
      </w:r>
    </w:p>
    <w:p w:rsidR="00000000" w:rsidRDefault="00967E53">
      <w:pPr>
        <w:ind w:firstLine="360"/>
        <w:jc w:val="both"/>
        <w:divId w:val="66343853"/>
        <w:rPr>
          <w:rFonts w:eastAsia="Times New Roman"/>
        </w:rPr>
      </w:pPr>
      <w:r>
        <w:rPr>
          <w:rFonts w:eastAsia="Times New Roman"/>
          <w:color w:val="000000"/>
          <w:sz w:val="20"/>
          <w:szCs w:val="20"/>
        </w:rPr>
        <w:t xml:space="preserve">From time to time, we are under review by the IRS and various other domestic and foreign tax authorities with regards to income tax and indirect tax matters and are involved in various inquiries, audits, challenges and litigation in a number of countries, </w:t>
      </w:r>
      <w:r>
        <w:rPr>
          <w:rFonts w:eastAsia="Times New Roman"/>
          <w:color w:val="000000"/>
          <w:sz w:val="20"/>
          <w:szCs w:val="20"/>
        </w:rPr>
        <w:t>including, in particular, Brazil, Denmark, South Korea and the U.S. where the amounts under controversy may be material. See Note 8. Income Taxes and Note 11. Commitments and Contingencies within this 10-Q Report as well as Note 9. Commitments and Continge</w:t>
      </w:r>
      <w:r>
        <w:rPr>
          <w:rFonts w:eastAsia="Times New Roman"/>
          <w:color w:val="000000"/>
          <w:sz w:val="20"/>
          <w:szCs w:val="20"/>
        </w:rPr>
        <w:t>ncies and Note 11. Income Taxes within Part IV. Item 15 - Notes to the Consolidated Financial Statements in our 2020 10-K Report for additional details regarding certain tax matters.</w:t>
      </w:r>
    </w:p>
    <w:p w:rsidR="00000000" w:rsidRDefault="00967E53">
      <w:pPr>
        <w:ind w:firstLine="360"/>
        <w:jc w:val="both"/>
        <w:divId w:val="981812500"/>
        <w:rPr>
          <w:rFonts w:eastAsia="Times New Roman"/>
        </w:rPr>
      </w:pPr>
      <w:r>
        <w:rPr>
          <w:rFonts w:eastAsia="Times New Roman"/>
          <w:color w:val="000000"/>
          <w:sz w:val="20"/>
          <w:szCs w:val="20"/>
        </w:rPr>
        <w:t>We are also a party to various claims, complaints and proceedings arising</w:t>
      </w:r>
      <w:r>
        <w:rPr>
          <w:rFonts w:eastAsia="Times New Roman"/>
          <w:color w:val="000000"/>
          <w:sz w:val="20"/>
          <w:szCs w:val="20"/>
        </w:rPr>
        <w:t xml:space="preserve"> in the ordinary course of our business including, but not limited to, environmental claims, commercial and governmental contract claims, such as property damage, demurrage, personal injury, billing and fuel quality claims, as well as bankruptcy preference</w:t>
      </w:r>
      <w:r>
        <w:rPr>
          <w:rFonts w:eastAsia="Times New Roman"/>
          <w:color w:val="000000"/>
          <w:sz w:val="20"/>
          <w:szCs w:val="20"/>
        </w:rPr>
        <w:t xml:space="preserve"> claims and administrative claims. We are not currently a party to any such claim, complaint or proceeding that we expect to have a material adverse effect on our business or financial condition. However, any adverse resolution of one or more such claims, </w:t>
      </w:r>
      <w:r>
        <w:rPr>
          <w:rFonts w:eastAsia="Times New Roman"/>
          <w:color w:val="000000"/>
          <w:sz w:val="20"/>
          <w:szCs w:val="20"/>
        </w:rPr>
        <w:t>complaints or proceedings during a particular reporting period could have a material adverse effect on our Consolidated Financial Statements or disclosures for that period.</w:t>
      </w:r>
    </w:p>
    <w:p w:rsidR="00000000" w:rsidRDefault="00967E53">
      <w:pPr>
        <w:divId w:val="501623672"/>
        <w:rPr>
          <w:rFonts w:eastAsia="Times New Roman"/>
        </w:rPr>
      </w:pPr>
      <w:r>
        <w:rPr>
          <w:rFonts w:eastAsia="Times New Roman"/>
          <w:b/>
          <w:bCs/>
          <w:color w:val="000000"/>
          <w:sz w:val="20"/>
          <w:szCs w:val="20"/>
        </w:rPr>
        <w:t>Item 2.     Unregistered Sales of Equity Securities and Use of Proceeds</w:t>
      </w:r>
    </w:p>
    <w:p w:rsidR="00000000" w:rsidRDefault="00967E53">
      <w:pPr>
        <w:ind w:firstLine="360"/>
        <w:divId w:val="1024211982"/>
        <w:rPr>
          <w:rFonts w:eastAsia="Times New Roman"/>
        </w:rPr>
      </w:pPr>
      <w:r>
        <w:rPr>
          <w:rFonts w:eastAsia="Times New Roman"/>
          <w:b/>
          <w:bCs/>
          <w:color w:val="000000"/>
          <w:sz w:val="20"/>
          <w:szCs w:val="20"/>
        </w:rPr>
        <w:t>Issuer Purc</w:t>
      </w:r>
      <w:r>
        <w:rPr>
          <w:rFonts w:eastAsia="Times New Roman"/>
          <w:b/>
          <w:bCs/>
          <w:color w:val="000000"/>
          <w:sz w:val="20"/>
          <w:szCs w:val="20"/>
        </w:rPr>
        <w:t>hases of Equity Securities</w:t>
      </w:r>
    </w:p>
    <w:p w:rsidR="00000000" w:rsidRDefault="00967E53">
      <w:pPr>
        <w:ind w:firstLine="360"/>
        <w:jc w:val="both"/>
        <w:divId w:val="91171168"/>
        <w:rPr>
          <w:rFonts w:eastAsia="Times New Roman"/>
        </w:rPr>
      </w:pPr>
      <w:r>
        <w:rPr>
          <w:rFonts w:eastAsia="Times New Roman"/>
          <w:color w:val="000000"/>
          <w:sz w:val="20"/>
          <w:szCs w:val="20"/>
        </w:rPr>
        <w:t>The following table presents information with respect to repurchases of common stock made by us during the three months ended June 30, 2021 (in thousands, except average price paid per share):</w:t>
      </w:r>
    </w:p>
    <w:tbl>
      <w:tblPr>
        <w:tblW w:w="5000" w:type="pct"/>
        <w:tblCellMar>
          <w:top w:w="15" w:type="dxa"/>
          <w:left w:w="15" w:type="dxa"/>
          <w:bottom w:w="15" w:type="dxa"/>
          <w:right w:w="15" w:type="dxa"/>
        </w:tblCellMar>
        <w:tblLook w:val="04A0" w:firstRow="1" w:lastRow="0" w:firstColumn="1" w:lastColumn="0" w:noHBand="0" w:noVBand="1"/>
      </w:tblPr>
      <w:tblGrid>
        <w:gridCol w:w="38"/>
        <w:gridCol w:w="1263"/>
        <w:gridCol w:w="36"/>
        <w:gridCol w:w="36"/>
        <w:gridCol w:w="36"/>
        <w:gridCol w:w="36"/>
        <w:gridCol w:w="87"/>
        <w:gridCol w:w="1162"/>
        <w:gridCol w:w="36"/>
        <w:gridCol w:w="36"/>
        <w:gridCol w:w="36"/>
        <w:gridCol w:w="36"/>
        <w:gridCol w:w="121"/>
        <w:gridCol w:w="1228"/>
        <w:gridCol w:w="36"/>
        <w:gridCol w:w="36"/>
        <w:gridCol w:w="36"/>
        <w:gridCol w:w="36"/>
        <w:gridCol w:w="97"/>
        <w:gridCol w:w="1679"/>
        <w:gridCol w:w="36"/>
        <w:gridCol w:w="36"/>
        <w:gridCol w:w="36"/>
        <w:gridCol w:w="36"/>
        <w:gridCol w:w="121"/>
        <w:gridCol w:w="1898"/>
        <w:gridCol w:w="36"/>
      </w:tblGrid>
      <w:tr w:rsidR="00000000">
        <w:trPr>
          <w:divId w:val="1685016529"/>
        </w:trPr>
        <w:tc>
          <w:tcPr>
            <w:tcW w:w="50" w:type="pct"/>
            <w:vAlign w:val="center"/>
            <w:hideMark/>
          </w:tcPr>
          <w:p w:rsidR="00000000" w:rsidRDefault="00967E53">
            <w:pPr>
              <w:ind w:firstLine="360"/>
              <w:jc w:val="both"/>
              <w:rPr>
                <w:rFonts w:eastAsia="Times New Roman"/>
              </w:rPr>
            </w:pPr>
          </w:p>
        </w:tc>
        <w:tc>
          <w:tcPr>
            <w:tcW w:w="127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67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873"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1019"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1685016529"/>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Total Number</w:t>
            </w:r>
          </w:p>
          <w:p w:rsidR="00000000" w:rsidRDefault="00967E53">
            <w:pPr>
              <w:spacing w:after="100"/>
              <w:jc w:val="center"/>
              <w:rPr>
                <w:rFonts w:eastAsia="Times New Roman"/>
              </w:rPr>
            </w:pPr>
            <w:r>
              <w:rPr>
                <w:rFonts w:eastAsia="Times New Roman"/>
                <w:b/>
                <w:bCs/>
                <w:color w:val="000000"/>
                <w:sz w:val="20"/>
                <w:szCs w:val="20"/>
              </w:rPr>
              <w:t>of Shares</w:t>
            </w:r>
          </w:p>
          <w:p w:rsidR="00000000" w:rsidRDefault="00967E53">
            <w:pPr>
              <w:spacing w:after="100"/>
              <w:jc w:val="center"/>
              <w:rPr>
                <w:rFonts w:eastAsia="Times New Roman"/>
              </w:rPr>
            </w:pPr>
            <w:r>
              <w:rPr>
                <w:rFonts w:eastAsia="Times New Roman"/>
                <w:b/>
                <w:bCs/>
                <w:color w:val="000000"/>
                <w:sz w:val="20"/>
                <w:szCs w:val="20"/>
              </w:rPr>
              <w:t>Purchased</w:t>
            </w:r>
            <w:r>
              <w:rPr>
                <w:rFonts w:eastAsia="Times New Roman"/>
                <w:color w:val="000000"/>
                <w:sz w:val="20"/>
                <w:szCs w:val="20"/>
              </w:rPr>
              <w:t xml:space="preserve"> </w:t>
            </w:r>
            <w:r>
              <w:rPr>
                <w:rFonts w:eastAsia="Times New Roman"/>
                <w:b/>
                <w:bCs/>
                <w:color w:val="000000"/>
                <w:sz w:val="20"/>
                <w:szCs w:val="20"/>
              </w:rPr>
              <w:t>(1)</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Average Price</w:t>
            </w:r>
            <w:r>
              <w:rPr>
                <w:rFonts w:eastAsia="Times New Roman"/>
                <w:b/>
                <w:bCs/>
                <w:color w:val="000000"/>
                <w:sz w:val="20"/>
                <w:szCs w:val="20"/>
              </w:rPr>
              <w:br/>
              <w:t>Paid Per Share</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Total Number</w:t>
            </w:r>
            <w:r>
              <w:rPr>
                <w:rFonts w:eastAsia="Times New Roman"/>
                <w:b/>
                <w:bCs/>
                <w:color w:val="000000"/>
                <w:sz w:val="20"/>
                <w:szCs w:val="20"/>
              </w:rPr>
              <w:br/>
              <w:t>of Shares Purchased</w:t>
            </w:r>
            <w:r>
              <w:rPr>
                <w:rFonts w:eastAsia="Times New Roman"/>
                <w:b/>
                <w:bCs/>
                <w:color w:val="000000"/>
                <w:sz w:val="20"/>
                <w:szCs w:val="20"/>
              </w:rPr>
              <w:br/>
              <w:t>as Part of Publicly</w:t>
            </w:r>
            <w:r>
              <w:rPr>
                <w:rFonts w:eastAsia="Times New Roman"/>
                <w:b/>
                <w:bCs/>
                <w:color w:val="000000"/>
                <w:sz w:val="20"/>
                <w:szCs w:val="20"/>
              </w:rPr>
              <w:br/>
              <w:t>Announced Plans</w:t>
            </w:r>
            <w:r>
              <w:rPr>
                <w:rFonts w:eastAsia="Times New Roman"/>
                <w:b/>
                <w:bCs/>
                <w:color w:val="000000"/>
                <w:sz w:val="20"/>
                <w:szCs w:val="20"/>
              </w:rPr>
              <w:br/>
              <w:t>or Programs</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Approximate Dollar</w:t>
            </w:r>
          </w:p>
          <w:p w:rsidR="00000000" w:rsidRDefault="00967E53">
            <w:pPr>
              <w:spacing w:after="100"/>
              <w:jc w:val="center"/>
              <w:rPr>
                <w:rFonts w:eastAsia="Times New Roman"/>
              </w:rPr>
            </w:pPr>
            <w:r>
              <w:rPr>
                <w:rFonts w:eastAsia="Times New Roman"/>
                <w:b/>
                <w:bCs/>
                <w:color w:val="000000"/>
                <w:sz w:val="20"/>
                <w:szCs w:val="20"/>
              </w:rPr>
              <w:t>Value of Shares that</w:t>
            </w:r>
          </w:p>
          <w:p w:rsidR="00000000" w:rsidRDefault="00967E53">
            <w:pPr>
              <w:spacing w:after="100"/>
              <w:jc w:val="center"/>
              <w:rPr>
                <w:rFonts w:eastAsia="Times New Roman"/>
              </w:rPr>
            </w:pPr>
            <w:r>
              <w:rPr>
                <w:rFonts w:eastAsia="Times New Roman"/>
                <w:b/>
                <w:bCs/>
                <w:color w:val="000000"/>
                <w:sz w:val="20"/>
                <w:szCs w:val="20"/>
              </w:rPr>
              <w:t>May Yet Be Purchased</w:t>
            </w:r>
          </w:p>
          <w:p w:rsidR="00000000" w:rsidRDefault="00967E53">
            <w:pPr>
              <w:spacing w:after="100"/>
              <w:jc w:val="center"/>
              <w:rPr>
                <w:rFonts w:eastAsia="Times New Roman"/>
              </w:rPr>
            </w:pPr>
            <w:r>
              <w:rPr>
                <w:rFonts w:eastAsia="Times New Roman"/>
                <w:b/>
                <w:bCs/>
                <w:color w:val="000000"/>
                <w:sz w:val="20"/>
                <w:szCs w:val="20"/>
              </w:rPr>
              <w:t>Under the Plans or</w:t>
            </w:r>
          </w:p>
          <w:p w:rsidR="00000000" w:rsidRDefault="00967E53">
            <w:pPr>
              <w:spacing w:after="100"/>
              <w:jc w:val="center"/>
              <w:rPr>
                <w:rFonts w:eastAsia="Times New Roman"/>
              </w:rPr>
            </w:pPr>
            <w:r>
              <w:rPr>
                <w:rFonts w:eastAsia="Times New Roman"/>
                <w:b/>
                <w:bCs/>
                <w:color w:val="000000"/>
                <w:sz w:val="20"/>
                <w:szCs w:val="20"/>
              </w:rPr>
              <w:t>Programs</w:t>
            </w:r>
            <w:r>
              <w:rPr>
                <w:rFonts w:eastAsia="Times New Roman"/>
                <w:color w:val="000000"/>
                <w:sz w:val="20"/>
                <w:szCs w:val="20"/>
              </w:rPr>
              <w:t xml:space="preserve"> </w:t>
            </w:r>
            <w:r>
              <w:rPr>
                <w:rFonts w:eastAsia="Times New Roman"/>
                <w:b/>
                <w:bCs/>
                <w:color w:val="000000"/>
                <w:sz w:val="20"/>
                <w:szCs w:val="20"/>
              </w:rPr>
              <w:t>(2)</w:t>
            </w:r>
          </w:p>
        </w:tc>
      </w:tr>
      <w:tr w:rsidR="00000000">
        <w:trPr>
          <w:divId w:val="168501652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4/1/2021 - 4/30/2021</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246,258 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685016529"/>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5/1/2021 - 5/31/2021</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246,258 </w:t>
            </w:r>
          </w:p>
        </w:tc>
        <w:tc>
          <w:tcPr>
            <w:tcW w:w="0" w:type="auto"/>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685016529"/>
        </w:trPr>
        <w:tc>
          <w:tcPr>
            <w:tcW w:w="0" w:type="auto"/>
            <w:gridSpan w:val="3"/>
            <w:shd w:val="clear" w:color="auto" w:fill="CCEEFF"/>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6/1/2021 - 6/30/2021</w:t>
            </w: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246,258 </w:t>
            </w:r>
          </w:p>
        </w:tc>
        <w:tc>
          <w:tcPr>
            <w:tcW w:w="0" w:type="auto"/>
            <w:shd w:val="clear" w:color="auto" w:fill="CCEEFF"/>
            <w:tcMar>
              <w:top w:w="30" w:type="dxa"/>
              <w:left w:w="0" w:type="dxa"/>
              <w:bottom w:w="30" w:type="dxa"/>
              <w:right w:w="20" w:type="dxa"/>
            </w:tcMar>
            <w:vAlign w:val="bottom"/>
            <w:hideMark/>
          </w:tcPr>
          <w:p w:rsidR="00000000" w:rsidRDefault="00967E53">
            <w:pPr>
              <w:spacing w:after="100"/>
              <w:jc w:val="right"/>
              <w:rPr>
                <w:rFonts w:eastAsia="Times New Roman"/>
              </w:rPr>
            </w:pPr>
          </w:p>
        </w:tc>
      </w:tr>
      <w:tr w:rsidR="00000000">
        <w:trPr>
          <w:divId w:val="1685016529"/>
        </w:trPr>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67E5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67E5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67E53">
            <w:pPr>
              <w:spacing w:after="100"/>
              <w:jc w:val="right"/>
              <w:rPr>
                <w:rFonts w:eastAsia="Times New Roman"/>
              </w:rPr>
            </w:pPr>
            <w:r>
              <w:rPr>
                <w:rFonts w:eastAsia="Times New Roman"/>
                <w:color w:val="000000"/>
                <w:sz w:val="20"/>
                <w:szCs w:val="20"/>
              </w:rPr>
              <w:t>246,258 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67E53">
            <w:pPr>
              <w:spacing w:after="100"/>
              <w:jc w:val="right"/>
              <w:rPr>
                <w:rFonts w:eastAsia="Times New Roman"/>
              </w:rPr>
            </w:pPr>
          </w:p>
        </w:tc>
      </w:tr>
    </w:tbl>
    <w:p w:rsidR="00000000" w:rsidRDefault="00967E53">
      <w:pPr>
        <w:ind w:hanging="360"/>
        <w:jc w:val="both"/>
        <w:divId w:val="500313250"/>
        <w:rPr>
          <w:rFonts w:eastAsia="Times New Roman"/>
        </w:rPr>
      </w:pPr>
      <w:r>
        <w:rPr>
          <w:rFonts w:eastAsia="Times New Roman"/>
          <w:color w:val="000000"/>
          <w:sz w:val="20"/>
          <w:szCs w:val="20"/>
        </w:rPr>
        <w:t>(1)    These amounts include shares purchased as part of our publicly announced programs and shares owned and tendered by employees to satisfy the required withholding taxes related to share-based payment awards, which are not</w:t>
      </w:r>
      <w:r>
        <w:rPr>
          <w:rFonts w:eastAsia="Times New Roman"/>
          <w:color w:val="000000"/>
          <w:sz w:val="20"/>
          <w:szCs w:val="20"/>
        </w:rPr>
        <w:t xml:space="preserve"> deducted from shares available to be purchased under publicly announced programs.</w:t>
      </w:r>
    </w:p>
    <w:p w:rsidR="00000000" w:rsidRDefault="00967E53">
      <w:pPr>
        <w:ind w:hanging="360"/>
        <w:jc w:val="both"/>
        <w:divId w:val="1578126444"/>
        <w:rPr>
          <w:rFonts w:eastAsia="Times New Roman"/>
        </w:rPr>
      </w:pPr>
      <w:r>
        <w:rPr>
          <w:rFonts w:eastAsia="Times New Roman"/>
          <w:color w:val="000000"/>
          <w:sz w:val="20"/>
          <w:szCs w:val="20"/>
        </w:rPr>
        <w:t>(2)    In October 2017, our Board of Directors (the "Board") approved a new common stock repurchase program (the “Repurchase Program”), which replaced the program in place a</w:t>
      </w:r>
      <w:r>
        <w:rPr>
          <w:rFonts w:eastAsia="Times New Roman"/>
          <w:color w:val="000000"/>
          <w:sz w:val="20"/>
          <w:szCs w:val="20"/>
        </w:rPr>
        <w:t xml:space="preserve">t that time, authorizing $100.0 million in common stock repurchases. In May 2019, the Board authorized an increase to the October 2017 repurchase authorization by $100.0 million, bringing the authorized repurchases at that time to $200.0 million. In March </w:t>
      </w:r>
      <w:r>
        <w:rPr>
          <w:rFonts w:eastAsia="Times New Roman"/>
          <w:color w:val="000000"/>
          <w:sz w:val="20"/>
          <w:szCs w:val="20"/>
        </w:rPr>
        <w:t xml:space="preserve">2020, the Board approved a new stock repurchase program authorizing $200.0 million in common stock repurchases to begin upon the completion of the October 2017 Repurchase Program. Our repurchase programs do not require a minimum number of shares of common </w:t>
      </w:r>
      <w:r>
        <w:rPr>
          <w:rFonts w:eastAsia="Times New Roman"/>
          <w:color w:val="000000"/>
          <w:sz w:val="20"/>
          <w:szCs w:val="20"/>
        </w:rPr>
        <w:t>stock to be purchased, have no expiration date and may be suspended or discontinued at any time. As of June 30, 2021, approximately $246.3 million remains available for purchase under our repurchase programs. The timing and amount of shares of common stock</w:t>
      </w:r>
      <w:r>
        <w:rPr>
          <w:rFonts w:eastAsia="Times New Roman"/>
          <w:color w:val="000000"/>
          <w:sz w:val="20"/>
          <w:szCs w:val="20"/>
        </w:rPr>
        <w:t xml:space="preserve"> to be repurchased under the repurchase programs will depend on market conditions, share price, securities law and other legal requirements and factors.</w:t>
      </w:r>
    </w:p>
    <w:p w:rsidR="00000000" w:rsidRDefault="00967E53">
      <w:pPr>
        <w:ind w:firstLine="360"/>
        <w:jc w:val="center"/>
        <w:divId w:val="1897692654"/>
        <w:rPr>
          <w:rFonts w:eastAsia="Times New Roman"/>
        </w:rPr>
      </w:pPr>
      <w:r>
        <w:rPr>
          <w:rFonts w:eastAsia="Times New Roman"/>
          <w:color w:val="000000"/>
          <w:sz w:val="20"/>
          <w:szCs w:val="20"/>
        </w:rPr>
        <w:t>31</w:t>
      </w:r>
    </w:p>
    <w:p w:rsidR="00000000" w:rsidRDefault="00967E53">
      <w:pPr>
        <w:rPr>
          <w:rFonts w:eastAsia="Times New Roman"/>
        </w:rPr>
      </w:pPr>
      <w:r>
        <w:rPr>
          <w:rFonts w:eastAsia="Times New Roman"/>
        </w:rPr>
        <w:pict>
          <v:rect id="_x0000_i1059" style="width:0;height:1.5pt" o:hralign="center" o:hrstd="t" o:hr="t" fillcolor="#a0a0a0" stroked="f"/>
        </w:pict>
      </w:r>
    </w:p>
    <w:p w:rsidR="00000000" w:rsidRDefault="00967E53">
      <w:pPr>
        <w:ind w:firstLine="360"/>
        <w:jc w:val="both"/>
        <w:divId w:val="34234029"/>
        <w:rPr>
          <w:rFonts w:eastAsia="Times New Roman"/>
        </w:rPr>
      </w:pPr>
    </w:p>
    <w:p w:rsidR="00000000" w:rsidRDefault="00967E53">
      <w:pPr>
        <w:ind w:firstLine="360"/>
        <w:jc w:val="both"/>
        <w:divId w:val="742683027"/>
        <w:rPr>
          <w:rFonts w:eastAsia="Times New Roman"/>
        </w:rPr>
      </w:pPr>
    </w:p>
    <w:p w:rsidR="00000000" w:rsidRDefault="00967E53">
      <w:pPr>
        <w:divId w:val="1955598487"/>
        <w:rPr>
          <w:rFonts w:eastAsia="Times New Roman"/>
        </w:rPr>
      </w:pPr>
      <w:r>
        <w:rPr>
          <w:rFonts w:eastAsia="Times New Roman"/>
          <w:b/>
          <w:bCs/>
          <w:color w:val="000000"/>
          <w:sz w:val="20"/>
          <w:szCs w:val="20"/>
        </w:rPr>
        <w:t>Item 6.     Exhibits</w:t>
      </w:r>
      <w:r>
        <w:rPr>
          <w:rFonts w:eastAsia="Times New Roman"/>
          <w:color w:val="000000"/>
          <w:sz w:val="16"/>
          <w:szCs w:val="16"/>
        </w:rPr>
        <w:t> </w:t>
      </w:r>
    </w:p>
    <w:p w:rsidR="00000000" w:rsidRDefault="00967E53">
      <w:pPr>
        <w:ind w:firstLine="360"/>
        <w:jc w:val="both"/>
        <w:divId w:val="173885183"/>
        <w:rPr>
          <w:rFonts w:eastAsia="Times New Roman"/>
        </w:rPr>
      </w:pPr>
      <w:r>
        <w:rPr>
          <w:rFonts w:eastAsia="Times New Roman"/>
          <w:color w:val="000000"/>
          <w:sz w:val="20"/>
          <w:szCs w:val="20"/>
        </w:rPr>
        <w:t>The exhibits set forth in the following index of exhibits are filed as part of this 10-Q Report:</w:t>
      </w:r>
    </w:p>
    <w:tbl>
      <w:tblPr>
        <w:tblW w:w="5000" w:type="pct"/>
        <w:tblCellMar>
          <w:top w:w="15" w:type="dxa"/>
          <w:left w:w="15" w:type="dxa"/>
          <w:bottom w:w="15" w:type="dxa"/>
          <w:right w:w="15" w:type="dxa"/>
        </w:tblCellMar>
        <w:tblLook w:val="04A0" w:firstRow="1" w:lastRow="0" w:firstColumn="1" w:lastColumn="0" w:noHBand="0" w:noVBand="1"/>
      </w:tblPr>
      <w:tblGrid>
        <w:gridCol w:w="89"/>
        <w:gridCol w:w="922"/>
        <w:gridCol w:w="36"/>
        <w:gridCol w:w="36"/>
        <w:gridCol w:w="36"/>
        <w:gridCol w:w="36"/>
        <w:gridCol w:w="38"/>
        <w:gridCol w:w="7076"/>
        <w:gridCol w:w="37"/>
      </w:tblGrid>
      <w:tr w:rsidR="00000000">
        <w:trPr>
          <w:divId w:val="688602453"/>
        </w:trPr>
        <w:tc>
          <w:tcPr>
            <w:tcW w:w="50" w:type="pct"/>
            <w:vAlign w:val="center"/>
            <w:hideMark/>
          </w:tcPr>
          <w:p w:rsidR="00000000" w:rsidRDefault="00967E53">
            <w:pPr>
              <w:ind w:firstLine="360"/>
              <w:jc w:val="both"/>
              <w:rPr>
                <w:rFonts w:eastAsia="Times New Roman"/>
              </w:rPr>
            </w:pPr>
          </w:p>
        </w:tc>
        <w:tc>
          <w:tcPr>
            <w:tcW w:w="522"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41"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4316"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688602453"/>
        </w:trPr>
        <w:tc>
          <w:tcPr>
            <w:tcW w:w="0" w:type="auto"/>
            <w:gridSpan w:val="3"/>
            <w:tcMar>
              <w:top w:w="30" w:type="dxa"/>
              <w:left w:w="20" w:type="dxa"/>
              <w:bottom w:w="30" w:type="dxa"/>
              <w:right w:w="20" w:type="dxa"/>
            </w:tcMar>
            <w:vAlign w:val="bottom"/>
            <w:hideMark/>
          </w:tcPr>
          <w:p w:rsidR="00000000" w:rsidRDefault="00967E53">
            <w:pPr>
              <w:spacing w:after="100"/>
              <w:jc w:val="center"/>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67E53">
            <w:pPr>
              <w:spacing w:after="100"/>
              <w:rPr>
                <w:rFonts w:eastAsia="Times New Roman"/>
              </w:rPr>
            </w:pPr>
            <w:r>
              <w:rPr>
                <w:rFonts w:eastAsia="Times New Roman"/>
                <w:b/>
                <w:bCs/>
                <w:color w:val="000000"/>
                <w:sz w:val="20"/>
                <w:szCs w:val="20"/>
              </w:rPr>
              <w:t>Description</w:t>
            </w:r>
          </w:p>
        </w:tc>
      </w:tr>
      <w:tr w:rsidR="00000000">
        <w:trPr>
          <w:divId w:val="688602453"/>
        </w:trPr>
        <w:tc>
          <w:tcPr>
            <w:tcW w:w="0" w:type="auto"/>
            <w:gridSpan w:val="3"/>
            <w:tcBorders>
              <w:top w:val="single" w:sz="8" w:space="0" w:color="000000"/>
            </w:tcBorders>
            <w:tcMar>
              <w:top w:w="30" w:type="dxa"/>
              <w:left w:w="20" w:type="dxa"/>
              <w:bottom w:w="30" w:type="dxa"/>
              <w:right w:w="20" w:type="dxa"/>
            </w:tcMar>
            <w:hideMark/>
          </w:tcPr>
          <w:p w:rsidR="00000000" w:rsidRDefault="00967E53">
            <w:pPr>
              <w:spacing w:after="100"/>
              <w:jc w:val="center"/>
              <w:rPr>
                <w:rFonts w:eastAsia="Times New Roman"/>
              </w:rPr>
            </w:pPr>
            <w:hyperlink r:id="rId5"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Form of Named Executive Officer Restricted Stock Unit Grant Agreement under the 2020 Omnibus Plan.</w:t>
            </w:r>
          </w:p>
        </w:tc>
      </w:tr>
      <w:tr w:rsidR="00000000">
        <w:trPr>
          <w:divId w:val="688602453"/>
          <w:trHeight w:val="100"/>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688602453"/>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88602453"/>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88602453"/>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88602453"/>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88602453"/>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88602453"/>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88602453"/>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88602453"/>
        </w:trPr>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r w:rsidR="00000000">
        <w:trPr>
          <w:divId w:val="688602453"/>
        </w:trPr>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hyperlink r:id="rId6"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Certification of the Chief Executive Officer pursuant to Rule 13a-14(a) or Rule 15d — 14(a).</w:t>
            </w:r>
          </w:p>
        </w:tc>
      </w:tr>
      <w:tr w:rsidR="00000000">
        <w:trPr>
          <w:divId w:val="688602453"/>
          <w:trHeight w:val="100"/>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688602453"/>
        </w:trPr>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hyperlink r:id="rId7"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Certification of the Chief Financial Officer pursuant to Rule 13a-14(a) or Rule 15d — 14(a).</w:t>
            </w:r>
          </w:p>
        </w:tc>
      </w:tr>
      <w:tr w:rsidR="00000000">
        <w:trPr>
          <w:divId w:val="688602453"/>
          <w:trHeight w:val="100"/>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688602453"/>
        </w:trPr>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hyperlink r:id="rId8"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Certification of Chief Executive Officer and Chief Financial Officer under Section 906 of the Sarbanes-Oxley Act of 2002.</w:t>
            </w:r>
          </w:p>
        </w:tc>
      </w:tr>
      <w:tr w:rsidR="00000000">
        <w:trPr>
          <w:divId w:val="688602453"/>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67E53">
            <w:pPr>
              <w:spacing w:after="100"/>
              <w:jc w:val="right"/>
              <w:rPr>
                <w:rFonts w:eastAsia="Times New Roman"/>
              </w:rPr>
            </w:pPr>
            <w:r>
              <w:rPr>
                <w:rFonts w:eastAsia="Times New Roman"/>
                <w:color w:val="000000"/>
                <w:sz w:val="20"/>
                <w:szCs w:val="20"/>
              </w:rPr>
              <w:t> </w:t>
            </w:r>
          </w:p>
        </w:tc>
      </w:tr>
      <w:tr w:rsidR="00000000">
        <w:trPr>
          <w:divId w:val="688602453"/>
        </w:trPr>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67E53">
            <w:pPr>
              <w:spacing w:after="100"/>
              <w:jc w:val="both"/>
              <w:rPr>
                <w:rFonts w:eastAsia="Times New Roman"/>
              </w:rPr>
            </w:pPr>
            <w:r>
              <w:rPr>
                <w:rFonts w:eastAsia="Times New Roman"/>
                <w:color w:val="000000"/>
                <w:sz w:val="20"/>
                <w:szCs w:val="20"/>
              </w:rPr>
              <w:t>The following materials from World Fuel Services Corporation’s Quarterly Report on Form 10-Q for the quarter ended June 30, 2021, formatted in XBRL (Extensible Business Reporting Language); (i) Condensed Consolidated Balance Sheets, (ii) Condensed Consolid</w:t>
            </w:r>
            <w:r>
              <w:rPr>
                <w:rFonts w:eastAsia="Times New Roman"/>
                <w:color w:val="000000"/>
                <w:sz w:val="20"/>
                <w:szCs w:val="20"/>
              </w:rPr>
              <w:t>ated Statements of Income and Comprehensive Income, (iii) Condensed Consolidated Statements of Shareholders’ Equity, (iv) Condensed Consolidated Statements of Cash Flows, and (v) Notes to the Condensed Consolidated Financial Statements.</w:t>
            </w:r>
          </w:p>
        </w:tc>
      </w:tr>
      <w:tr w:rsidR="00000000">
        <w:trPr>
          <w:divId w:val="688602453"/>
          <w:trHeight w:val="100"/>
        </w:trPr>
        <w:tc>
          <w:tcPr>
            <w:tcW w:w="0" w:type="auto"/>
            <w:gridSpan w:val="3"/>
            <w:tcMar>
              <w:top w:w="0" w:type="dxa"/>
              <w:left w:w="20" w:type="dxa"/>
              <w:bottom w:w="0" w:type="dxa"/>
              <w:right w:w="20" w:type="dxa"/>
            </w:tcMar>
            <w:vAlign w:val="center"/>
            <w:hideMark/>
          </w:tcPr>
          <w:p w:rsidR="00000000" w:rsidRDefault="00967E5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688602453"/>
        </w:trPr>
        <w:tc>
          <w:tcPr>
            <w:tcW w:w="0" w:type="auto"/>
            <w:gridSpan w:val="3"/>
            <w:tcMar>
              <w:top w:w="30" w:type="dxa"/>
              <w:left w:w="20" w:type="dxa"/>
              <w:bottom w:w="30" w:type="dxa"/>
              <w:right w:w="20" w:type="dxa"/>
            </w:tcMar>
            <w:hideMark/>
          </w:tcPr>
          <w:p w:rsidR="00000000" w:rsidRDefault="00967E53">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967E5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Cover page interactive file (formatted in Inline XBRL and contained in Exhibit 101).</w:t>
            </w:r>
          </w:p>
        </w:tc>
      </w:tr>
      <w:tr w:rsidR="00000000">
        <w:trPr>
          <w:divId w:val="688602453"/>
        </w:trPr>
        <w:tc>
          <w:tcPr>
            <w:tcW w:w="0" w:type="auto"/>
            <w:gridSpan w:val="3"/>
            <w:vAlign w:val="center"/>
            <w:hideMark/>
          </w:tcPr>
          <w:p w:rsidR="00000000" w:rsidRDefault="00967E53">
            <w:pPr>
              <w:spacing w:after="100"/>
              <w:rPr>
                <w:rFonts w:eastAsia="Times New Roman"/>
              </w:rPr>
            </w:pPr>
          </w:p>
        </w:tc>
        <w:tc>
          <w:tcPr>
            <w:tcW w:w="0" w:type="auto"/>
            <w:gridSpan w:val="3"/>
            <w:vAlign w:val="center"/>
            <w:hideMark/>
          </w:tcPr>
          <w:p w:rsidR="00000000" w:rsidRDefault="00967E53">
            <w:pPr>
              <w:spacing w:after="100"/>
              <w:rPr>
                <w:rFonts w:eastAsia="Times New Roman"/>
                <w:sz w:val="20"/>
                <w:szCs w:val="20"/>
              </w:rPr>
            </w:pPr>
          </w:p>
        </w:tc>
        <w:tc>
          <w:tcPr>
            <w:tcW w:w="0" w:type="auto"/>
            <w:gridSpan w:val="3"/>
            <w:vAlign w:val="center"/>
            <w:hideMark/>
          </w:tcPr>
          <w:p w:rsidR="00000000" w:rsidRDefault="00967E53">
            <w:pPr>
              <w:spacing w:after="100"/>
              <w:rPr>
                <w:rFonts w:eastAsia="Times New Roman"/>
                <w:sz w:val="20"/>
                <w:szCs w:val="20"/>
              </w:rPr>
            </w:pPr>
          </w:p>
        </w:tc>
      </w:tr>
    </w:tbl>
    <w:p w:rsidR="00000000" w:rsidRDefault="00967E53">
      <w:pPr>
        <w:ind w:firstLine="360"/>
        <w:jc w:val="center"/>
        <w:divId w:val="2100253231"/>
        <w:rPr>
          <w:rFonts w:eastAsia="Times New Roman"/>
        </w:rPr>
      </w:pPr>
      <w:r>
        <w:rPr>
          <w:rFonts w:eastAsia="Times New Roman"/>
          <w:color w:val="000000"/>
          <w:sz w:val="20"/>
          <w:szCs w:val="20"/>
        </w:rPr>
        <w:t>32</w:t>
      </w:r>
    </w:p>
    <w:p w:rsidR="00000000" w:rsidRDefault="00967E53">
      <w:pPr>
        <w:rPr>
          <w:rFonts w:eastAsia="Times New Roman"/>
        </w:rPr>
      </w:pPr>
      <w:r>
        <w:rPr>
          <w:rFonts w:eastAsia="Times New Roman"/>
        </w:rPr>
        <w:pict>
          <v:rect id="_x0000_i1060" style="width:0;height:1.5pt" o:hralign="center" o:hrstd="t" o:hr="t" fillcolor="#a0a0a0" stroked="f"/>
        </w:pict>
      </w:r>
    </w:p>
    <w:p w:rsidR="00000000" w:rsidRDefault="00967E53">
      <w:pPr>
        <w:ind w:firstLine="360"/>
        <w:jc w:val="both"/>
        <w:divId w:val="253826067"/>
        <w:rPr>
          <w:rFonts w:eastAsia="Times New Roman"/>
        </w:rPr>
      </w:pPr>
    </w:p>
    <w:p w:rsidR="00000000" w:rsidRDefault="00967E53">
      <w:pPr>
        <w:ind w:firstLine="360"/>
        <w:jc w:val="both"/>
        <w:divId w:val="471217176"/>
        <w:rPr>
          <w:rFonts w:eastAsia="Times New Roman"/>
        </w:rPr>
      </w:pPr>
    </w:p>
    <w:p w:rsidR="00000000" w:rsidRDefault="00967E53">
      <w:pPr>
        <w:jc w:val="center"/>
        <w:divId w:val="342130290"/>
        <w:rPr>
          <w:rFonts w:eastAsia="Times New Roman"/>
        </w:rPr>
      </w:pPr>
      <w:r>
        <w:rPr>
          <w:rFonts w:eastAsia="Times New Roman"/>
          <w:b/>
          <w:bCs/>
          <w:color w:val="000000"/>
          <w:sz w:val="20"/>
          <w:szCs w:val="20"/>
        </w:rPr>
        <w:t>Signatures</w:t>
      </w:r>
    </w:p>
    <w:p w:rsidR="00000000" w:rsidRDefault="00967E53">
      <w:pPr>
        <w:ind w:firstLine="720"/>
        <w:jc w:val="center"/>
        <w:divId w:val="463619640"/>
        <w:rPr>
          <w:rFonts w:eastAsia="Times New Roman"/>
        </w:rPr>
      </w:pPr>
      <w:r>
        <w:rPr>
          <w:rFonts w:eastAsia="Times New Roman"/>
          <w:color w:val="000000"/>
          <w:sz w:val="20"/>
          <w:szCs w:val="20"/>
        </w:rPr>
        <w:t> </w:t>
      </w:r>
    </w:p>
    <w:p w:rsidR="00000000" w:rsidRDefault="00967E53">
      <w:pPr>
        <w:ind w:firstLine="360"/>
        <w:jc w:val="both"/>
        <w:divId w:val="1712151673"/>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rsidR="00000000" w:rsidRDefault="00967E53">
      <w:pPr>
        <w:ind w:firstLine="720"/>
        <w:jc w:val="both"/>
        <w:divId w:val="1137260375"/>
        <w:rPr>
          <w:rFonts w:eastAsia="Times New Roman"/>
        </w:rPr>
      </w:pPr>
      <w:r>
        <w:rPr>
          <w:rFonts w:eastAsia="Times New Roman"/>
          <w:color w:val="000000"/>
          <w:sz w:val="20"/>
          <w:szCs w:val="20"/>
        </w:rPr>
        <w:t> </w:t>
      </w:r>
    </w:p>
    <w:tbl>
      <w:tblPr>
        <w:tblW w:w="4985" w:type="pct"/>
        <w:tblCellMar>
          <w:top w:w="15" w:type="dxa"/>
          <w:left w:w="15" w:type="dxa"/>
          <w:bottom w:w="15" w:type="dxa"/>
          <w:right w:w="15" w:type="dxa"/>
        </w:tblCellMar>
        <w:tblLook w:val="04A0" w:firstRow="1" w:lastRow="0" w:firstColumn="1" w:lastColumn="0" w:noHBand="0" w:noVBand="1"/>
      </w:tblPr>
      <w:tblGrid>
        <w:gridCol w:w="69"/>
        <w:gridCol w:w="4035"/>
        <w:gridCol w:w="36"/>
        <w:gridCol w:w="69"/>
        <w:gridCol w:w="4036"/>
        <w:gridCol w:w="36"/>
      </w:tblGrid>
      <w:tr w:rsidR="00000000">
        <w:trPr>
          <w:divId w:val="627467402"/>
        </w:trPr>
        <w:tc>
          <w:tcPr>
            <w:tcW w:w="50" w:type="pct"/>
            <w:vAlign w:val="center"/>
            <w:hideMark/>
          </w:tcPr>
          <w:p w:rsidR="00000000" w:rsidRDefault="00967E53">
            <w:pPr>
              <w:ind w:firstLine="720"/>
              <w:jc w:val="both"/>
              <w:rPr>
                <w:rFonts w:eastAsia="Times New Roman"/>
              </w:rPr>
            </w:pPr>
          </w:p>
        </w:tc>
        <w:tc>
          <w:tcPr>
            <w:tcW w:w="244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c>
          <w:tcPr>
            <w:tcW w:w="50" w:type="pct"/>
            <w:vAlign w:val="center"/>
            <w:hideMark/>
          </w:tcPr>
          <w:p w:rsidR="00000000" w:rsidRDefault="00967E53">
            <w:pPr>
              <w:spacing w:after="100"/>
              <w:rPr>
                <w:rFonts w:eastAsia="Times New Roman"/>
                <w:sz w:val="20"/>
                <w:szCs w:val="20"/>
              </w:rPr>
            </w:pPr>
          </w:p>
        </w:tc>
        <w:tc>
          <w:tcPr>
            <w:tcW w:w="2445" w:type="pct"/>
            <w:vAlign w:val="center"/>
            <w:hideMark/>
          </w:tcPr>
          <w:p w:rsidR="00000000" w:rsidRDefault="00967E53">
            <w:pPr>
              <w:spacing w:after="100"/>
              <w:rPr>
                <w:rFonts w:eastAsia="Times New Roman"/>
                <w:sz w:val="20"/>
                <w:szCs w:val="20"/>
              </w:rPr>
            </w:pPr>
          </w:p>
        </w:tc>
        <w:tc>
          <w:tcPr>
            <w:tcW w:w="5" w:type="pct"/>
            <w:vAlign w:val="center"/>
            <w:hideMark/>
          </w:tcPr>
          <w:p w:rsidR="00000000" w:rsidRDefault="00967E53">
            <w:pPr>
              <w:spacing w:after="100"/>
              <w:rPr>
                <w:rFonts w:eastAsia="Times New Roman"/>
                <w:sz w:val="20"/>
                <w:szCs w:val="20"/>
              </w:rPr>
            </w:pPr>
          </w:p>
        </w:tc>
      </w:tr>
      <w:tr w:rsidR="00000000">
        <w:trPr>
          <w:divId w:val="627467402"/>
          <w:trHeight w:val="300"/>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627467402"/>
        </w:trPr>
        <w:tc>
          <w:tcPr>
            <w:tcW w:w="0" w:type="auto"/>
            <w:gridSpan w:val="3"/>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Date: July 30, 2021</w:t>
            </w:r>
          </w:p>
        </w:tc>
        <w:tc>
          <w:tcPr>
            <w:tcW w:w="0" w:type="auto"/>
            <w:gridSpan w:val="3"/>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World Fuel Services Corporation</w:t>
            </w:r>
          </w:p>
        </w:tc>
      </w:tr>
      <w:tr w:rsidR="00000000">
        <w:trPr>
          <w:divId w:val="627467402"/>
          <w:trHeight w:val="280"/>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627467402"/>
          <w:trHeight w:val="280"/>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627467402"/>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/s/ Michael J. Kasbar</w:t>
            </w:r>
          </w:p>
        </w:tc>
      </w:tr>
      <w:tr w:rsidR="00000000">
        <w:trPr>
          <w:divId w:val="627467402"/>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Michael J. Kasbar</w:t>
            </w:r>
          </w:p>
        </w:tc>
      </w:tr>
      <w:tr w:rsidR="00000000">
        <w:trPr>
          <w:divId w:val="627467402"/>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Chairman, President and Chief Executive Officer</w:t>
            </w:r>
          </w:p>
        </w:tc>
      </w:tr>
      <w:tr w:rsidR="00000000">
        <w:trPr>
          <w:divId w:val="627467402"/>
          <w:trHeight w:val="280"/>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627467402"/>
          <w:trHeight w:val="280"/>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r>
      <w:tr w:rsidR="00000000">
        <w:trPr>
          <w:divId w:val="627467402"/>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/s/ Ira M. Birns</w:t>
            </w:r>
          </w:p>
        </w:tc>
      </w:tr>
      <w:tr w:rsidR="00000000">
        <w:trPr>
          <w:divId w:val="627467402"/>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Ira M. Birns</w:t>
            </w:r>
          </w:p>
        </w:tc>
      </w:tr>
      <w:tr w:rsidR="00000000">
        <w:trPr>
          <w:divId w:val="627467402"/>
        </w:trPr>
        <w:tc>
          <w:tcPr>
            <w:tcW w:w="0" w:type="auto"/>
            <w:gridSpan w:val="3"/>
            <w:tcMar>
              <w:top w:w="0" w:type="dxa"/>
              <w:left w:w="20" w:type="dxa"/>
              <w:bottom w:w="0" w:type="dxa"/>
              <w:right w:w="20" w:type="dxa"/>
            </w:tcMar>
            <w:vAlign w:val="center"/>
            <w:hideMark/>
          </w:tcPr>
          <w:p w:rsidR="00000000" w:rsidRDefault="00967E53">
            <w:pPr>
              <w:spacing w:after="100"/>
              <w:rPr>
                <w:rFonts w:eastAsia="Times New Roman"/>
              </w:rPr>
            </w:pPr>
          </w:p>
        </w:tc>
        <w:tc>
          <w:tcPr>
            <w:tcW w:w="0" w:type="auto"/>
            <w:gridSpan w:val="3"/>
            <w:tcMar>
              <w:top w:w="30" w:type="dxa"/>
              <w:left w:w="20" w:type="dxa"/>
              <w:bottom w:w="30" w:type="dxa"/>
              <w:right w:w="20" w:type="dxa"/>
            </w:tcMar>
            <w:hideMark/>
          </w:tcPr>
          <w:p w:rsidR="00000000" w:rsidRDefault="00967E53">
            <w:pPr>
              <w:spacing w:after="100"/>
              <w:rPr>
                <w:rFonts w:eastAsia="Times New Roman"/>
              </w:rPr>
            </w:pPr>
            <w:r>
              <w:rPr>
                <w:rFonts w:eastAsia="Times New Roman"/>
                <w:color w:val="000000"/>
                <w:sz w:val="20"/>
                <w:szCs w:val="20"/>
              </w:rPr>
              <w:t>Executive Vice President and Chief Financial Officer</w:t>
            </w:r>
          </w:p>
        </w:tc>
      </w:tr>
    </w:tbl>
    <w:p w:rsidR="00967E53" w:rsidRDefault="00967E53">
      <w:pPr>
        <w:ind w:firstLine="360"/>
        <w:jc w:val="center"/>
        <w:divId w:val="721759486"/>
        <w:rPr>
          <w:rFonts w:eastAsia="Times New Roman"/>
        </w:rPr>
      </w:pPr>
      <w:r>
        <w:rPr>
          <w:rFonts w:eastAsia="Times New Roman"/>
          <w:color w:val="000000"/>
          <w:sz w:val="20"/>
          <w:szCs w:val="20"/>
        </w:rPr>
        <w:t>33</w:t>
      </w:r>
    </w:p>
    <w:sectPr w:rsidR="00967E5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67E53"/>
    <w:rsid w:val="00967E53"/>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inlineXBRL/transformation/2015-02-26"/>
  <w:attachedSchema w:val="http://xbrl.org/2006/xbrldi"/>
  <w:attachedSchema w:val="http://www.sec.gov/inlineXBRL/transformation/2015-08-31"/>
  <w:attachedSchema w:val="http://fasb.org/us-gaap/2021-01-31"/>
  <w:attachedSchema w:val="http://xbrl.sec.gov/currency/2021"/>
  <w:attachedSchema w:val="http://www.xbrl.org/2003/linkbase"/>
  <w:attachedSchema w:val="http://fasb.org/srt/2021-01-31"/>
  <w:attachedSchema w:val="http://www.xbrl.org/2003/iso4217"/>
  <w:attachedSchema w:val="http://xbrl.sec.gov/dei/2021"/>
  <w:attachedSchema w:val="http://www.xbrl.org/2003/instance"/>
  <w:attachedSchema w:val="http://www.wfscorp.com/20210630"/>
  <w:attachedSchema w:val="http://www.xbrl.org/2009/utr"/>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414">
      <w:marLeft w:val="0"/>
      <w:marRight w:val="0"/>
      <w:marTop w:val="0"/>
      <w:marBottom w:val="0"/>
      <w:divBdr>
        <w:top w:val="none" w:sz="0" w:space="0" w:color="auto"/>
        <w:left w:val="none" w:sz="0" w:space="0" w:color="auto"/>
        <w:bottom w:val="none" w:sz="0" w:space="0" w:color="auto"/>
        <w:right w:val="none" w:sz="0" w:space="0" w:color="auto"/>
      </w:divBdr>
      <w:divsChild>
        <w:div w:id="1501432048">
          <w:marLeft w:val="0"/>
          <w:marRight w:val="0"/>
          <w:marTop w:val="120"/>
          <w:marBottom w:val="120"/>
          <w:divBdr>
            <w:top w:val="none" w:sz="0" w:space="0" w:color="auto"/>
            <w:left w:val="none" w:sz="0" w:space="0" w:color="auto"/>
            <w:bottom w:val="none" w:sz="0" w:space="0" w:color="auto"/>
            <w:right w:val="none" w:sz="0" w:space="0" w:color="auto"/>
          </w:divBdr>
        </w:div>
        <w:div w:id="1852866102">
          <w:marLeft w:val="0"/>
          <w:marRight w:val="0"/>
          <w:marTop w:val="120"/>
          <w:marBottom w:val="120"/>
          <w:divBdr>
            <w:top w:val="none" w:sz="0" w:space="0" w:color="auto"/>
            <w:left w:val="none" w:sz="0" w:space="0" w:color="auto"/>
            <w:bottom w:val="none" w:sz="0" w:space="0" w:color="auto"/>
            <w:right w:val="none" w:sz="0" w:space="0" w:color="auto"/>
          </w:divBdr>
        </w:div>
      </w:divsChild>
    </w:div>
    <w:div w:id="13963301">
      <w:marLeft w:val="0"/>
      <w:marRight w:val="0"/>
      <w:marTop w:val="120"/>
      <w:marBottom w:val="120"/>
      <w:divBdr>
        <w:top w:val="none" w:sz="0" w:space="0" w:color="auto"/>
        <w:left w:val="none" w:sz="0" w:space="0" w:color="auto"/>
        <w:bottom w:val="none" w:sz="0" w:space="0" w:color="auto"/>
        <w:right w:val="none" w:sz="0" w:space="0" w:color="auto"/>
      </w:divBdr>
    </w:div>
    <w:div w:id="15233884">
      <w:marLeft w:val="0"/>
      <w:marRight w:val="0"/>
      <w:marTop w:val="120"/>
      <w:marBottom w:val="120"/>
      <w:divBdr>
        <w:top w:val="none" w:sz="0" w:space="0" w:color="auto"/>
        <w:left w:val="none" w:sz="0" w:space="0" w:color="auto"/>
        <w:bottom w:val="none" w:sz="0" w:space="0" w:color="auto"/>
        <w:right w:val="none" w:sz="0" w:space="0" w:color="auto"/>
      </w:divBdr>
    </w:div>
    <w:div w:id="15889091">
      <w:marLeft w:val="0"/>
      <w:marRight w:val="0"/>
      <w:marTop w:val="120"/>
      <w:marBottom w:val="120"/>
      <w:divBdr>
        <w:top w:val="none" w:sz="0" w:space="0" w:color="auto"/>
        <w:left w:val="none" w:sz="0" w:space="0" w:color="auto"/>
        <w:bottom w:val="none" w:sz="0" w:space="0" w:color="auto"/>
        <w:right w:val="none" w:sz="0" w:space="0" w:color="auto"/>
      </w:divBdr>
    </w:div>
    <w:div w:id="54008975">
      <w:marLeft w:val="0"/>
      <w:marRight w:val="0"/>
      <w:marTop w:val="0"/>
      <w:marBottom w:val="0"/>
      <w:divBdr>
        <w:top w:val="none" w:sz="0" w:space="0" w:color="auto"/>
        <w:left w:val="none" w:sz="0" w:space="0" w:color="auto"/>
        <w:bottom w:val="none" w:sz="0" w:space="0" w:color="auto"/>
        <w:right w:val="none" w:sz="0" w:space="0" w:color="auto"/>
      </w:divBdr>
      <w:divsChild>
        <w:div w:id="278266223">
          <w:marLeft w:val="0"/>
          <w:marRight w:val="0"/>
          <w:marTop w:val="120"/>
          <w:marBottom w:val="120"/>
          <w:divBdr>
            <w:top w:val="none" w:sz="0" w:space="0" w:color="auto"/>
            <w:left w:val="none" w:sz="0" w:space="0" w:color="auto"/>
            <w:bottom w:val="none" w:sz="0" w:space="0" w:color="auto"/>
            <w:right w:val="none" w:sz="0" w:space="0" w:color="auto"/>
          </w:divBdr>
        </w:div>
        <w:div w:id="288977197">
          <w:marLeft w:val="0"/>
          <w:marRight w:val="0"/>
          <w:marTop w:val="120"/>
          <w:marBottom w:val="120"/>
          <w:divBdr>
            <w:top w:val="none" w:sz="0" w:space="0" w:color="auto"/>
            <w:left w:val="none" w:sz="0" w:space="0" w:color="auto"/>
            <w:bottom w:val="none" w:sz="0" w:space="0" w:color="auto"/>
            <w:right w:val="none" w:sz="0" w:space="0" w:color="auto"/>
          </w:divBdr>
        </w:div>
      </w:divsChild>
    </w:div>
    <w:div w:id="62338971">
      <w:marLeft w:val="0"/>
      <w:marRight w:val="0"/>
      <w:marTop w:val="0"/>
      <w:marBottom w:val="0"/>
      <w:divBdr>
        <w:top w:val="none" w:sz="0" w:space="0" w:color="auto"/>
        <w:left w:val="none" w:sz="0" w:space="0" w:color="auto"/>
        <w:bottom w:val="none" w:sz="0" w:space="0" w:color="auto"/>
        <w:right w:val="none" w:sz="0" w:space="0" w:color="auto"/>
      </w:divBdr>
      <w:divsChild>
        <w:div w:id="118182310">
          <w:marLeft w:val="0"/>
          <w:marRight w:val="0"/>
          <w:marTop w:val="120"/>
          <w:marBottom w:val="120"/>
          <w:divBdr>
            <w:top w:val="none" w:sz="0" w:space="0" w:color="auto"/>
            <w:left w:val="none" w:sz="0" w:space="0" w:color="auto"/>
            <w:bottom w:val="none" w:sz="0" w:space="0" w:color="auto"/>
            <w:right w:val="none" w:sz="0" w:space="0" w:color="auto"/>
          </w:divBdr>
        </w:div>
        <w:div w:id="1944337782">
          <w:marLeft w:val="0"/>
          <w:marRight w:val="0"/>
          <w:marTop w:val="120"/>
          <w:marBottom w:val="120"/>
          <w:divBdr>
            <w:top w:val="none" w:sz="0" w:space="0" w:color="auto"/>
            <w:left w:val="none" w:sz="0" w:space="0" w:color="auto"/>
            <w:bottom w:val="none" w:sz="0" w:space="0" w:color="auto"/>
            <w:right w:val="none" w:sz="0" w:space="0" w:color="auto"/>
          </w:divBdr>
        </w:div>
      </w:divsChild>
    </w:div>
    <w:div w:id="62918291">
      <w:marLeft w:val="0"/>
      <w:marRight w:val="0"/>
      <w:marTop w:val="120"/>
      <w:marBottom w:val="120"/>
      <w:divBdr>
        <w:top w:val="none" w:sz="0" w:space="0" w:color="auto"/>
        <w:left w:val="none" w:sz="0" w:space="0" w:color="auto"/>
        <w:bottom w:val="none" w:sz="0" w:space="0" w:color="auto"/>
        <w:right w:val="none" w:sz="0" w:space="0" w:color="auto"/>
      </w:divBdr>
    </w:div>
    <w:div w:id="66343853">
      <w:marLeft w:val="0"/>
      <w:marRight w:val="0"/>
      <w:marTop w:val="120"/>
      <w:marBottom w:val="120"/>
      <w:divBdr>
        <w:top w:val="none" w:sz="0" w:space="0" w:color="auto"/>
        <w:left w:val="none" w:sz="0" w:space="0" w:color="auto"/>
        <w:bottom w:val="none" w:sz="0" w:space="0" w:color="auto"/>
        <w:right w:val="none" w:sz="0" w:space="0" w:color="auto"/>
      </w:divBdr>
    </w:div>
    <w:div w:id="71780829">
      <w:marLeft w:val="0"/>
      <w:marRight w:val="0"/>
      <w:marTop w:val="120"/>
      <w:marBottom w:val="120"/>
      <w:divBdr>
        <w:top w:val="none" w:sz="0" w:space="0" w:color="auto"/>
        <w:left w:val="none" w:sz="0" w:space="0" w:color="auto"/>
        <w:bottom w:val="none" w:sz="0" w:space="0" w:color="auto"/>
        <w:right w:val="none" w:sz="0" w:space="0" w:color="auto"/>
      </w:divBdr>
    </w:div>
    <w:div w:id="84424916">
      <w:marLeft w:val="0"/>
      <w:marRight w:val="0"/>
      <w:marTop w:val="120"/>
      <w:marBottom w:val="120"/>
      <w:divBdr>
        <w:top w:val="none" w:sz="0" w:space="0" w:color="auto"/>
        <w:left w:val="none" w:sz="0" w:space="0" w:color="auto"/>
        <w:bottom w:val="none" w:sz="0" w:space="0" w:color="auto"/>
        <w:right w:val="none" w:sz="0" w:space="0" w:color="auto"/>
      </w:divBdr>
    </w:div>
    <w:div w:id="84810395">
      <w:marLeft w:val="0"/>
      <w:marRight w:val="0"/>
      <w:marTop w:val="120"/>
      <w:marBottom w:val="120"/>
      <w:divBdr>
        <w:top w:val="none" w:sz="0" w:space="0" w:color="auto"/>
        <w:left w:val="none" w:sz="0" w:space="0" w:color="auto"/>
        <w:bottom w:val="none" w:sz="0" w:space="0" w:color="auto"/>
        <w:right w:val="none" w:sz="0" w:space="0" w:color="auto"/>
      </w:divBdr>
    </w:div>
    <w:div w:id="87579623">
      <w:marLeft w:val="0"/>
      <w:marRight w:val="0"/>
      <w:marTop w:val="120"/>
      <w:marBottom w:val="120"/>
      <w:divBdr>
        <w:top w:val="none" w:sz="0" w:space="0" w:color="auto"/>
        <w:left w:val="none" w:sz="0" w:space="0" w:color="auto"/>
        <w:bottom w:val="none" w:sz="0" w:space="0" w:color="auto"/>
        <w:right w:val="none" w:sz="0" w:space="0" w:color="auto"/>
      </w:divBdr>
    </w:div>
    <w:div w:id="88548536">
      <w:marLeft w:val="0"/>
      <w:marRight w:val="0"/>
      <w:marTop w:val="120"/>
      <w:marBottom w:val="120"/>
      <w:divBdr>
        <w:top w:val="none" w:sz="0" w:space="0" w:color="auto"/>
        <w:left w:val="none" w:sz="0" w:space="0" w:color="auto"/>
        <w:bottom w:val="none" w:sz="0" w:space="0" w:color="auto"/>
        <w:right w:val="none" w:sz="0" w:space="0" w:color="auto"/>
      </w:divBdr>
    </w:div>
    <w:div w:id="91171168">
      <w:marLeft w:val="0"/>
      <w:marRight w:val="0"/>
      <w:marTop w:val="120"/>
      <w:marBottom w:val="120"/>
      <w:divBdr>
        <w:top w:val="none" w:sz="0" w:space="0" w:color="auto"/>
        <w:left w:val="none" w:sz="0" w:space="0" w:color="auto"/>
        <w:bottom w:val="none" w:sz="0" w:space="0" w:color="auto"/>
        <w:right w:val="none" w:sz="0" w:space="0" w:color="auto"/>
      </w:divBdr>
    </w:div>
    <w:div w:id="91360082">
      <w:marLeft w:val="0"/>
      <w:marRight w:val="0"/>
      <w:marTop w:val="120"/>
      <w:marBottom w:val="120"/>
      <w:divBdr>
        <w:top w:val="none" w:sz="0" w:space="0" w:color="auto"/>
        <w:left w:val="none" w:sz="0" w:space="0" w:color="auto"/>
        <w:bottom w:val="none" w:sz="0" w:space="0" w:color="auto"/>
        <w:right w:val="none" w:sz="0" w:space="0" w:color="auto"/>
      </w:divBdr>
    </w:div>
    <w:div w:id="129369708">
      <w:marLeft w:val="0"/>
      <w:marRight w:val="0"/>
      <w:marTop w:val="120"/>
      <w:marBottom w:val="120"/>
      <w:divBdr>
        <w:top w:val="none" w:sz="0" w:space="0" w:color="auto"/>
        <w:left w:val="none" w:sz="0" w:space="0" w:color="auto"/>
        <w:bottom w:val="none" w:sz="0" w:space="0" w:color="auto"/>
        <w:right w:val="none" w:sz="0" w:space="0" w:color="auto"/>
      </w:divBdr>
    </w:div>
    <w:div w:id="138621129">
      <w:marLeft w:val="0"/>
      <w:marRight w:val="0"/>
      <w:marTop w:val="120"/>
      <w:marBottom w:val="120"/>
      <w:divBdr>
        <w:top w:val="none" w:sz="0" w:space="0" w:color="auto"/>
        <w:left w:val="none" w:sz="0" w:space="0" w:color="auto"/>
        <w:bottom w:val="none" w:sz="0" w:space="0" w:color="auto"/>
        <w:right w:val="none" w:sz="0" w:space="0" w:color="auto"/>
      </w:divBdr>
    </w:div>
    <w:div w:id="146367252">
      <w:marLeft w:val="0"/>
      <w:marRight w:val="0"/>
      <w:marTop w:val="0"/>
      <w:marBottom w:val="0"/>
      <w:divBdr>
        <w:top w:val="none" w:sz="0" w:space="0" w:color="auto"/>
        <w:left w:val="none" w:sz="0" w:space="0" w:color="auto"/>
        <w:bottom w:val="none" w:sz="0" w:space="0" w:color="auto"/>
        <w:right w:val="none" w:sz="0" w:space="0" w:color="auto"/>
      </w:divBdr>
      <w:divsChild>
        <w:div w:id="710224439">
          <w:marLeft w:val="0"/>
          <w:marRight w:val="0"/>
          <w:marTop w:val="0"/>
          <w:marBottom w:val="0"/>
          <w:divBdr>
            <w:top w:val="none" w:sz="0" w:space="0" w:color="auto"/>
            <w:left w:val="none" w:sz="0" w:space="0" w:color="auto"/>
            <w:bottom w:val="none" w:sz="0" w:space="0" w:color="auto"/>
            <w:right w:val="none" w:sz="0" w:space="0" w:color="auto"/>
          </w:divBdr>
          <w:divsChild>
            <w:div w:id="16350149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696681">
      <w:marLeft w:val="0"/>
      <w:marRight w:val="0"/>
      <w:marTop w:val="120"/>
      <w:marBottom w:val="120"/>
      <w:divBdr>
        <w:top w:val="none" w:sz="0" w:space="0" w:color="auto"/>
        <w:left w:val="none" w:sz="0" w:space="0" w:color="auto"/>
        <w:bottom w:val="none" w:sz="0" w:space="0" w:color="auto"/>
        <w:right w:val="none" w:sz="0" w:space="0" w:color="auto"/>
      </w:divBdr>
    </w:div>
    <w:div w:id="156696825">
      <w:marLeft w:val="0"/>
      <w:marRight w:val="0"/>
      <w:marTop w:val="120"/>
      <w:marBottom w:val="120"/>
      <w:divBdr>
        <w:top w:val="none" w:sz="0" w:space="0" w:color="auto"/>
        <w:left w:val="none" w:sz="0" w:space="0" w:color="auto"/>
        <w:bottom w:val="none" w:sz="0" w:space="0" w:color="auto"/>
        <w:right w:val="none" w:sz="0" w:space="0" w:color="auto"/>
      </w:divBdr>
    </w:div>
    <w:div w:id="156768401">
      <w:marLeft w:val="0"/>
      <w:marRight w:val="0"/>
      <w:marTop w:val="120"/>
      <w:marBottom w:val="120"/>
      <w:divBdr>
        <w:top w:val="none" w:sz="0" w:space="0" w:color="auto"/>
        <w:left w:val="none" w:sz="0" w:space="0" w:color="auto"/>
        <w:bottom w:val="none" w:sz="0" w:space="0" w:color="auto"/>
        <w:right w:val="none" w:sz="0" w:space="0" w:color="auto"/>
      </w:divBdr>
    </w:div>
    <w:div w:id="158737828">
      <w:marLeft w:val="0"/>
      <w:marRight w:val="0"/>
      <w:marTop w:val="120"/>
      <w:marBottom w:val="120"/>
      <w:divBdr>
        <w:top w:val="none" w:sz="0" w:space="0" w:color="auto"/>
        <w:left w:val="none" w:sz="0" w:space="0" w:color="auto"/>
        <w:bottom w:val="none" w:sz="0" w:space="0" w:color="auto"/>
        <w:right w:val="none" w:sz="0" w:space="0" w:color="auto"/>
      </w:divBdr>
    </w:div>
    <w:div w:id="163932453">
      <w:marLeft w:val="0"/>
      <w:marRight w:val="0"/>
      <w:marTop w:val="120"/>
      <w:marBottom w:val="120"/>
      <w:divBdr>
        <w:top w:val="none" w:sz="0" w:space="0" w:color="auto"/>
        <w:left w:val="none" w:sz="0" w:space="0" w:color="auto"/>
        <w:bottom w:val="none" w:sz="0" w:space="0" w:color="auto"/>
        <w:right w:val="none" w:sz="0" w:space="0" w:color="auto"/>
      </w:divBdr>
    </w:div>
    <w:div w:id="165247928">
      <w:marLeft w:val="0"/>
      <w:marRight w:val="0"/>
      <w:marTop w:val="0"/>
      <w:marBottom w:val="0"/>
      <w:divBdr>
        <w:top w:val="none" w:sz="0" w:space="0" w:color="auto"/>
        <w:left w:val="none" w:sz="0" w:space="0" w:color="auto"/>
        <w:bottom w:val="none" w:sz="0" w:space="0" w:color="auto"/>
        <w:right w:val="none" w:sz="0" w:space="0" w:color="auto"/>
      </w:divBdr>
      <w:divsChild>
        <w:div w:id="922494075">
          <w:marLeft w:val="0"/>
          <w:marRight w:val="0"/>
          <w:marTop w:val="0"/>
          <w:marBottom w:val="0"/>
          <w:divBdr>
            <w:top w:val="none" w:sz="0" w:space="0" w:color="auto"/>
            <w:left w:val="none" w:sz="0" w:space="0" w:color="auto"/>
            <w:bottom w:val="none" w:sz="0" w:space="0" w:color="auto"/>
            <w:right w:val="none" w:sz="0" w:space="0" w:color="auto"/>
          </w:divBdr>
          <w:divsChild>
            <w:div w:id="951284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500880">
      <w:marLeft w:val="0"/>
      <w:marRight w:val="0"/>
      <w:marTop w:val="120"/>
      <w:marBottom w:val="120"/>
      <w:divBdr>
        <w:top w:val="none" w:sz="0" w:space="0" w:color="auto"/>
        <w:left w:val="none" w:sz="0" w:space="0" w:color="auto"/>
        <w:bottom w:val="none" w:sz="0" w:space="0" w:color="auto"/>
        <w:right w:val="none" w:sz="0" w:space="0" w:color="auto"/>
      </w:divBdr>
    </w:div>
    <w:div w:id="173885183">
      <w:marLeft w:val="0"/>
      <w:marRight w:val="0"/>
      <w:marTop w:val="120"/>
      <w:marBottom w:val="120"/>
      <w:divBdr>
        <w:top w:val="none" w:sz="0" w:space="0" w:color="auto"/>
        <w:left w:val="none" w:sz="0" w:space="0" w:color="auto"/>
        <w:bottom w:val="none" w:sz="0" w:space="0" w:color="auto"/>
        <w:right w:val="none" w:sz="0" w:space="0" w:color="auto"/>
      </w:divBdr>
    </w:div>
    <w:div w:id="175314226">
      <w:marLeft w:val="0"/>
      <w:marRight w:val="0"/>
      <w:marTop w:val="120"/>
      <w:marBottom w:val="60"/>
      <w:divBdr>
        <w:top w:val="none" w:sz="0" w:space="0" w:color="auto"/>
        <w:left w:val="none" w:sz="0" w:space="0" w:color="auto"/>
        <w:bottom w:val="none" w:sz="0" w:space="0" w:color="auto"/>
        <w:right w:val="none" w:sz="0" w:space="0" w:color="auto"/>
      </w:divBdr>
    </w:div>
    <w:div w:id="176044265">
      <w:marLeft w:val="0"/>
      <w:marRight w:val="0"/>
      <w:marTop w:val="0"/>
      <w:marBottom w:val="0"/>
      <w:divBdr>
        <w:top w:val="none" w:sz="0" w:space="0" w:color="auto"/>
        <w:left w:val="none" w:sz="0" w:space="0" w:color="auto"/>
        <w:bottom w:val="none" w:sz="0" w:space="0" w:color="auto"/>
        <w:right w:val="none" w:sz="0" w:space="0" w:color="auto"/>
      </w:divBdr>
      <w:divsChild>
        <w:div w:id="1391228463">
          <w:marLeft w:val="0"/>
          <w:marRight w:val="0"/>
          <w:marTop w:val="0"/>
          <w:marBottom w:val="0"/>
          <w:divBdr>
            <w:top w:val="none" w:sz="0" w:space="0" w:color="auto"/>
            <w:left w:val="none" w:sz="0" w:space="0" w:color="auto"/>
            <w:bottom w:val="none" w:sz="0" w:space="0" w:color="auto"/>
            <w:right w:val="none" w:sz="0" w:space="0" w:color="auto"/>
          </w:divBdr>
          <w:divsChild>
            <w:div w:id="6175642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045543">
      <w:marLeft w:val="0"/>
      <w:marRight w:val="0"/>
      <w:marTop w:val="120"/>
      <w:marBottom w:val="120"/>
      <w:divBdr>
        <w:top w:val="none" w:sz="0" w:space="0" w:color="auto"/>
        <w:left w:val="none" w:sz="0" w:space="0" w:color="auto"/>
        <w:bottom w:val="none" w:sz="0" w:space="0" w:color="auto"/>
        <w:right w:val="none" w:sz="0" w:space="0" w:color="auto"/>
      </w:divBdr>
    </w:div>
    <w:div w:id="181474561">
      <w:marLeft w:val="0"/>
      <w:marRight w:val="0"/>
      <w:marTop w:val="120"/>
      <w:marBottom w:val="120"/>
      <w:divBdr>
        <w:top w:val="none" w:sz="0" w:space="0" w:color="auto"/>
        <w:left w:val="none" w:sz="0" w:space="0" w:color="auto"/>
        <w:bottom w:val="none" w:sz="0" w:space="0" w:color="auto"/>
        <w:right w:val="none" w:sz="0" w:space="0" w:color="auto"/>
      </w:divBdr>
    </w:div>
    <w:div w:id="184904126">
      <w:marLeft w:val="0"/>
      <w:marRight w:val="0"/>
      <w:marTop w:val="0"/>
      <w:marBottom w:val="0"/>
      <w:divBdr>
        <w:top w:val="none" w:sz="0" w:space="0" w:color="auto"/>
        <w:left w:val="none" w:sz="0" w:space="0" w:color="auto"/>
        <w:bottom w:val="none" w:sz="0" w:space="0" w:color="auto"/>
        <w:right w:val="none" w:sz="0" w:space="0" w:color="auto"/>
      </w:divBdr>
      <w:divsChild>
        <w:div w:id="546646780">
          <w:marLeft w:val="0"/>
          <w:marRight w:val="0"/>
          <w:marTop w:val="0"/>
          <w:marBottom w:val="0"/>
          <w:divBdr>
            <w:top w:val="none" w:sz="0" w:space="0" w:color="auto"/>
            <w:left w:val="none" w:sz="0" w:space="0" w:color="auto"/>
            <w:bottom w:val="none" w:sz="0" w:space="0" w:color="auto"/>
            <w:right w:val="none" w:sz="0" w:space="0" w:color="auto"/>
          </w:divBdr>
          <w:divsChild>
            <w:div w:id="1114117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9150371">
      <w:marLeft w:val="0"/>
      <w:marRight w:val="0"/>
      <w:marTop w:val="120"/>
      <w:marBottom w:val="120"/>
      <w:divBdr>
        <w:top w:val="none" w:sz="0" w:space="0" w:color="auto"/>
        <w:left w:val="none" w:sz="0" w:space="0" w:color="auto"/>
        <w:bottom w:val="none" w:sz="0" w:space="0" w:color="auto"/>
        <w:right w:val="none" w:sz="0" w:space="0" w:color="auto"/>
      </w:divBdr>
    </w:div>
    <w:div w:id="200018650">
      <w:marLeft w:val="0"/>
      <w:marRight w:val="0"/>
      <w:marTop w:val="120"/>
      <w:marBottom w:val="120"/>
      <w:divBdr>
        <w:top w:val="none" w:sz="0" w:space="0" w:color="auto"/>
        <w:left w:val="none" w:sz="0" w:space="0" w:color="auto"/>
        <w:bottom w:val="none" w:sz="0" w:space="0" w:color="auto"/>
        <w:right w:val="none" w:sz="0" w:space="0" w:color="auto"/>
      </w:divBdr>
    </w:div>
    <w:div w:id="200828995">
      <w:marLeft w:val="0"/>
      <w:marRight w:val="0"/>
      <w:marTop w:val="120"/>
      <w:marBottom w:val="120"/>
      <w:divBdr>
        <w:top w:val="none" w:sz="0" w:space="0" w:color="auto"/>
        <w:left w:val="none" w:sz="0" w:space="0" w:color="auto"/>
        <w:bottom w:val="none" w:sz="0" w:space="0" w:color="auto"/>
        <w:right w:val="none" w:sz="0" w:space="0" w:color="auto"/>
      </w:divBdr>
    </w:div>
    <w:div w:id="214122788">
      <w:marLeft w:val="0"/>
      <w:marRight w:val="0"/>
      <w:marTop w:val="0"/>
      <w:marBottom w:val="0"/>
      <w:divBdr>
        <w:top w:val="none" w:sz="0" w:space="0" w:color="auto"/>
        <w:left w:val="none" w:sz="0" w:space="0" w:color="auto"/>
        <w:bottom w:val="none" w:sz="0" w:space="0" w:color="auto"/>
        <w:right w:val="none" w:sz="0" w:space="0" w:color="auto"/>
      </w:divBdr>
      <w:divsChild>
        <w:div w:id="649137006">
          <w:marLeft w:val="0"/>
          <w:marRight w:val="0"/>
          <w:marTop w:val="0"/>
          <w:marBottom w:val="0"/>
          <w:divBdr>
            <w:top w:val="none" w:sz="0" w:space="0" w:color="auto"/>
            <w:left w:val="none" w:sz="0" w:space="0" w:color="auto"/>
            <w:bottom w:val="none" w:sz="0" w:space="0" w:color="auto"/>
            <w:right w:val="none" w:sz="0" w:space="0" w:color="auto"/>
          </w:divBdr>
          <w:divsChild>
            <w:div w:id="8001463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317240">
      <w:marLeft w:val="0"/>
      <w:marRight w:val="0"/>
      <w:marTop w:val="0"/>
      <w:marBottom w:val="0"/>
      <w:divBdr>
        <w:top w:val="none" w:sz="0" w:space="0" w:color="auto"/>
        <w:left w:val="none" w:sz="0" w:space="0" w:color="auto"/>
        <w:bottom w:val="none" w:sz="0" w:space="0" w:color="auto"/>
        <w:right w:val="none" w:sz="0" w:space="0" w:color="auto"/>
      </w:divBdr>
    </w:div>
    <w:div w:id="214976547">
      <w:marLeft w:val="0"/>
      <w:marRight w:val="0"/>
      <w:marTop w:val="180"/>
      <w:marBottom w:val="60"/>
      <w:divBdr>
        <w:top w:val="none" w:sz="0" w:space="0" w:color="auto"/>
        <w:left w:val="none" w:sz="0" w:space="0" w:color="auto"/>
        <w:bottom w:val="none" w:sz="0" w:space="0" w:color="auto"/>
        <w:right w:val="none" w:sz="0" w:space="0" w:color="auto"/>
      </w:divBdr>
    </w:div>
    <w:div w:id="216937299">
      <w:marLeft w:val="0"/>
      <w:marRight w:val="0"/>
      <w:marTop w:val="120"/>
      <w:marBottom w:val="120"/>
      <w:divBdr>
        <w:top w:val="none" w:sz="0" w:space="0" w:color="auto"/>
        <w:left w:val="none" w:sz="0" w:space="0" w:color="auto"/>
        <w:bottom w:val="none" w:sz="0" w:space="0" w:color="auto"/>
        <w:right w:val="none" w:sz="0" w:space="0" w:color="auto"/>
      </w:divBdr>
    </w:div>
    <w:div w:id="223566173">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120"/>
          <w:marBottom w:val="120"/>
          <w:divBdr>
            <w:top w:val="none" w:sz="0" w:space="0" w:color="auto"/>
            <w:left w:val="none" w:sz="0" w:space="0" w:color="auto"/>
            <w:bottom w:val="none" w:sz="0" w:space="0" w:color="auto"/>
            <w:right w:val="none" w:sz="0" w:space="0" w:color="auto"/>
          </w:divBdr>
        </w:div>
        <w:div w:id="977950816">
          <w:marLeft w:val="0"/>
          <w:marRight w:val="0"/>
          <w:marTop w:val="120"/>
          <w:marBottom w:val="120"/>
          <w:divBdr>
            <w:top w:val="none" w:sz="0" w:space="0" w:color="auto"/>
            <w:left w:val="none" w:sz="0" w:space="0" w:color="auto"/>
            <w:bottom w:val="none" w:sz="0" w:space="0" w:color="auto"/>
            <w:right w:val="none" w:sz="0" w:space="0" w:color="auto"/>
          </w:divBdr>
        </w:div>
      </w:divsChild>
    </w:div>
    <w:div w:id="231156566">
      <w:marLeft w:val="0"/>
      <w:marRight w:val="0"/>
      <w:marTop w:val="120"/>
      <w:marBottom w:val="120"/>
      <w:divBdr>
        <w:top w:val="none" w:sz="0" w:space="0" w:color="auto"/>
        <w:left w:val="none" w:sz="0" w:space="0" w:color="auto"/>
        <w:bottom w:val="none" w:sz="0" w:space="0" w:color="auto"/>
        <w:right w:val="none" w:sz="0" w:space="0" w:color="auto"/>
      </w:divBdr>
    </w:div>
    <w:div w:id="257060479">
      <w:marLeft w:val="0"/>
      <w:marRight w:val="0"/>
      <w:marTop w:val="180"/>
      <w:marBottom w:val="180"/>
      <w:divBdr>
        <w:top w:val="none" w:sz="0" w:space="0" w:color="auto"/>
        <w:left w:val="none" w:sz="0" w:space="0" w:color="auto"/>
        <w:bottom w:val="none" w:sz="0" w:space="0" w:color="auto"/>
        <w:right w:val="none" w:sz="0" w:space="0" w:color="auto"/>
      </w:divBdr>
    </w:div>
    <w:div w:id="264116908">
      <w:marLeft w:val="0"/>
      <w:marRight w:val="0"/>
      <w:marTop w:val="120"/>
      <w:marBottom w:val="120"/>
      <w:divBdr>
        <w:top w:val="none" w:sz="0" w:space="0" w:color="auto"/>
        <w:left w:val="none" w:sz="0" w:space="0" w:color="auto"/>
        <w:bottom w:val="none" w:sz="0" w:space="0" w:color="auto"/>
        <w:right w:val="none" w:sz="0" w:space="0" w:color="auto"/>
      </w:divBdr>
    </w:div>
    <w:div w:id="265893525">
      <w:marLeft w:val="0"/>
      <w:marRight w:val="0"/>
      <w:marTop w:val="120"/>
      <w:marBottom w:val="60"/>
      <w:divBdr>
        <w:top w:val="none" w:sz="0" w:space="0" w:color="auto"/>
        <w:left w:val="none" w:sz="0" w:space="0" w:color="auto"/>
        <w:bottom w:val="none" w:sz="0" w:space="0" w:color="auto"/>
        <w:right w:val="none" w:sz="0" w:space="0" w:color="auto"/>
      </w:divBdr>
    </w:div>
    <w:div w:id="266160947">
      <w:marLeft w:val="0"/>
      <w:marRight w:val="0"/>
      <w:marTop w:val="120"/>
      <w:marBottom w:val="120"/>
      <w:divBdr>
        <w:top w:val="none" w:sz="0" w:space="0" w:color="auto"/>
        <w:left w:val="none" w:sz="0" w:space="0" w:color="auto"/>
        <w:bottom w:val="none" w:sz="0" w:space="0" w:color="auto"/>
        <w:right w:val="none" w:sz="0" w:space="0" w:color="auto"/>
      </w:divBdr>
    </w:div>
    <w:div w:id="266426152">
      <w:marLeft w:val="0"/>
      <w:marRight w:val="0"/>
      <w:marTop w:val="0"/>
      <w:marBottom w:val="0"/>
      <w:divBdr>
        <w:top w:val="none" w:sz="0" w:space="0" w:color="auto"/>
        <w:left w:val="none" w:sz="0" w:space="0" w:color="auto"/>
        <w:bottom w:val="none" w:sz="0" w:space="0" w:color="auto"/>
        <w:right w:val="none" w:sz="0" w:space="0" w:color="auto"/>
      </w:divBdr>
      <w:divsChild>
        <w:div w:id="1174613803">
          <w:marLeft w:val="0"/>
          <w:marRight w:val="0"/>
          <w:marTop w:val="120"/>
          <w:marBottom w:val="120"/>
          <w:divBdr>
            <w:top w:val="none" w:sz="0" w:space="0" w:color="auto"/>
            <w:left w:val="none" w:sz="0" w:space="0" w:color="auto"/>
            <w:bottom w:val="none" w:sz="0" w:space="0" w:color="auto"/>
            <w:right w:val="none" w:sz="0" w:space="0" w:color="auto"/>
          </w:divBdr>
        </w:div>
        <w:div w:id="376709279">
          <w:marLeft w:val="0"/>
          <w:marRight w:val="0"/>
          <w:marTop w:val="120"/>
          <w:marBottom w:val="120"/>
          <w:divBdr>
            <w:top w:val="none" w:sz="0" w:space="0" w:color="auto"/>
            <w:left w:val="none" w:sz="0" w:space="0" w:color="auto"/>
            <w:bottom w:val="none" w:sz="0" w:space="0" w:color="auto"/>
            <w:right w:val="none" w:sz="0" w:space="0" w:color="auto"/>
          </w:divBdr>
        </w:div>
      </w:divsChild>
    </w:div>
    <w:div w:id="267780106">
      <w:marLeft w:val="0"/>
      <w:marRight w:val="0"/>
      <w:marTop w:val="0"/>
      <w:marBottom w:val="0"/>
      <w:divBdr>
        <w:top w:val="none" w:sz="0" w:space="0" w:color="auto"/>
        <w:left w:val="none" w:sz="0" w:space="0" w:color="auto"/>
        <w:bottom w:val="none" w:sz="0" w:space="0" w:color="auto"/>
        <w:right w:val="none" w:sz="0" w:space="0" w:color="auto"/>
      </w:divBdr>
      <w:divsChild>
        <w:div w:id="725034804">
          <w:marLeft w:val="0"/>
          <w:marRight w:val="0"/>
          <w:marTop w:val="0"/>
          <w:marBottom w:val="0"/>
          <w:divBdr>
            <w:top w:val="none" w:sz="0" w:space="0" w:color="auto"/>
            <w:left w:val="none" w:sz="0" w:space="0" w:color="auto"/>
            <w:bottom w:val="none" w:sz="0" w:space="0" w:color="auto"/>
            <w:right w:val="none" w:sz="0" w:space="0" w:color="auto"/>
          </w:divBdr>
          <w:divsChild>
            <w:div w:id="8582721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8682028">
      <w:marLeft w:val="0"/>
      <w:marRight w:val="0"/>
      <w:marTop w:val="120"/>
      <w:marBottom w:val="120"/>
      <w:divBdr>
        <w:top w:val="none" w:sz="0" w:space="0" w:color="auto"/>
        <w:left w:val="none" w:sz="0" w:space="0" w:color="auto"/>
        <w:bottom w:val="none" w:sz="0" w:space="0" w:color="auto"/>
        <w:right w:val="none" w:sz="0" w:space="0" w:color="auto"/>
      </w:divBdr>
    </w:div>
    <w:div w:id="285939724">
      <w:marLeft w:val="0"/>
      <w:marRight w:val="0"/>
      <w:marTop w:val="180"/>
      <w:marBottom w:val="180"/>
      <w:divBdr>
        <w:top w:val="none" w:sz="0" w:space="0" w:color="auto"/>
        <w:left w:val="none" w:sz="0" w:space="0" w:color="auto"/>
        <w:bottom w:val="none" w:sz="0" w:space="0" w:color="auto"/>
        <w:right w:val="none" w:sz="0" w:space="0" w:color="auto"/>
      </w:divBdr>
    </w:div>
    <w:div w:id="298535731">
      <w:marLeft w:val="0"/>
      <w:marRight w:val="0"/>
      <w:marTop w:val="120"/>
      <w:marBottom w:val="120"/>
      <w:divBdr>
        <w:top w:val="none" w:sz="0" w:space="0" w:color="auto"/>
        <w:left w:val="none" w:sz="0" w:space="0" w:color="auto"/>
        <w:bottom w:val="none" w:sz="0" w:space="0" w:color="auto"/>
        <w:right w:val="none" w:sz="0" w:space="0" w:color="auto"/>
      </w:divBdr>
    </w:div>
    <w:div w:id="300842646">
      <w:marLeft w:val="0"/>
      <w:marRight w:val="0"/>
      <w:marTop w:val="120"/>
      <w:marBottom w:val="60"/>
      <w:divBdr>
        <w:top w:val="none" w:sz="0" w:space="0" w:color="auto"/>
        <w:left w:val="none" w:sz="0" w:space="0" w:color="auto"/>
        <w:bottom w:val="none" w:sz="0" w:space="0" w:color="auto"/>
        <w:right w:val="none" w:sz="0" w:space="0" w:color="auto"/>
      </w:divBdr>
    </w:div>
    <w:div w:id="315109388">
      <w:marLeft w:val="0"/>
      <w:marRight w:val="0"/>
      <w:marTop w:val="120"/>
      <w:marBottom w:val="120"/>
      <w:divBdr>
        <w:top w:val="none" w:sz="0" w:space="0" w:color="auto"/>
        <w:left w:val="none" w:sz="0" w:space="0" w:color="auto"/>
        <w:bottom w:val="none" w:sz="0" w:space="0" w:color="auto"/>
        <w:right w:val="none" w:sz="0" w:space="0" w:color="auto"/>
      </w:divBdr>
    </w:div>
    <w:div w:id="317536486">
      <w:marLeft w:val="0"/>
      <w:marRight w:val="0"/>
      <w:marTop w:val="120"/>
      <w:marBottom w:val="120"/>
      <w:divBdr>
        <w:top w:val="none" w:sz="0" w:space="0" w:color="auto"/>
        <w:left w:val="none" w:sz="0" w:space="0" w:color="auto"/>
        <w:bottom w:val="none" w:sz="0" w:space="0" w:color="auto"/>
        <w:right w:val="none" w:sz="0" w:space="0" w:color="auto"/>
      </w:divBdr>
    </w:div>
    <w:div w:id="325935027">
      <w:marLeft w:val="0"/>
      <w:marRight w:val="0"/>
      <w:marTop w:val="120"/>
      <w:marBottom w:val="120"/>
      <w:divBdr>
        <w:top w:val="none" w:sz="0" w:space="0" w:color="auto"/>
        <w:left w:val="none" w:sz="0" w:space="0" w:color="auto"/>
        <w:bottom w:val="none" w:sz="0" w:space="0" w:color="auto"/>
        <w:right w:val="none" w:sz="0" w:space="0" w:color="auto"/>
      </w:divBdr>
    </w:div>
    <w:div w:id="327484459">
      <w:marLeft w:val="0"/>
      <w:marRight w:val="0"/>
      <w:marTop w:val="120"/>
      <w:marBottom w:val="120"/>
      <w:divBdr>
        <w:top w:val="none" w:sz="0" w:space="0" w:color="auto"/>
        <w:left w:val="none" w:sz="0" w:space="0" w:color="auto"/>
        <w:bottom w:val="none" w:sz="0" w:space="0" w:color="auto"/>
        <w:right w:val="none" w:sz="0" w:space="0" w:color="auto"/>
      </w:divBdr>
    </w:div>
    <w:div w:id="334572052">
      <w:marLeft w:val="0"/>
      <w:marRight w:val="0"/>
      <w:marTop w:val="120"/>
      <w:marBottom w:val="120"/>
      <w:divBdr>
        <w:top w:val="none" w:sz="0" w:space="0" w:color="auto"/>
        <w:left w:val="none" w:sz="0" w:space="0" w:color="auto"/>
        <w:bottom w:val="none" w:sz="0" w:space="0" w:color="auto"/>
        <w:right w:val="none" w:sz="0" w:space="0" w:color="auto"/>
      </w:divBdr>
    </w:div>
    <w:div w:id="341246373">
      <w:marLeft w:val="0"/>
      <w:marRight w:val="0"/>
      <w:marTop w:val="120"/>
      <w:marBottom w:val="120"/>
      <w:divBdr>
        <w:top w:val="none" w:sz="0" w:space="0" w:color="auto"/>
        <w:left w:val="none" w:sz="0" w:space="0" w:color="auto"/>
        <w:bottom w:val="none" w:sz="0" w:space="0" w:color="auto"/>
        <w:right w:val="none" w:sz="0" w:space="0" w:color="auto"/>
      </w:divBdr>
    </w:div>
    <w:div w:id="342130290">
      <w:marLeft w:val="0"/>
      <w:marRight w:val="0"/>
      <w:marTop w:val="120"/>
      <w:marBottom w:val="120"/>
      <w:divBdr>
        <w:top w:val="none" w:sz="0" w:space="0" w:color="auto"/>
        <w:left w:val="none" w:sz="0" w:space="0" w:color="auto"/>
        <w:bottom w:val="none" w:sz="0" w:space="0" w:color="auto"/>
        <w:right w:val="none" w:sz="0" w:space="0" w:color="auto"/>
      </w:divBdr>
    </w:div>
    <w:div w:id="348457398">
      <w:marLeft w:val="0"/>
      <w:marRight w:val="0"/>
      <w:marTop w:val="120"/>
      <w:marBottom w:val="60"/>
      <w:divBdr>
        <w:top w:val="none" w:sz="0" w:space="0" w:color="auto"/>
        <w:left w:val="none" w:sz="0" w:space="0" w:color="auto"/>
        <w:bottom w:val="none" w:sz="0" w:space="0" w:color="auto"/>
        <w:right w:val="none" w:sz="0" w:space="0" w:color="auto"/>
      </w:divBdr>
    </w:div>
    <w:div w:id="349374634">
      <w:marLeft w:val="0"/>
      <w:marRight w:val="0"/>
      <w:marTop w:val="120"/>
      <w:marBottom w:val="120"/>
      <w:divBdr>
        <w:top w:val="none" w:sz="0" w:space="0" w:color="auto"/>
        <w:left w:val="none" w:sz="0" w:space="0" w:color="auto"/>
        <w:bottom w:val="none" w:sz="0" w:space="0" w:color="auto"/>
        <w:right w:val="none" w:sz="0" w:space="0" w:color="auto"/>
      </w:divBdr>
    </w:div>
    <w:div w:id="352918609">
      <w:marLeft w:val="0"/>
      <w:marRight w:val="0"/>
      <w:marTop w:val="180"/>
      <w:marBottom w:val="180"/>
      <w:divBdr>
        <w:top w:val="none" w:sz="0" w:space="0" w:color="auto"/>
        <w:left w:val="none" w:sz="0" w:space="0" w:color="auto"/>
        <w:bottom w:val="none" w:sz="0" w:space="0" w:color="auto"/>
        <w:right w:val="none" w:sz="0" w:space="0" w:color="auto"/>
      </w:divBdr>
    </w:div>
    <w:div w:id="353657340">
      <w:marLeft w:val="0"/>
      <w:marRight w:val="0"/>
      <w:marTop w:val="120"/>
      <w:marBottom w:val="120"/>
      <w:divBdr>
        <w:top w:val="none" w:sz="0" w:space="0" w:color="auto"/>
        <w:left w:val="none" w:sz="0" w:space="0" w:color="auto"/>
        <w:bottom w:val="none" w:sz="0" w:space="0" w:color="auto"/>
        <w:right w:val="none" w:sz="0" w:space="0" w:color="auto"/>
      </w:divBdr>
    </w:div>
    <w:div w:id="358971613">
      <w:marLeft w:val="0"/>
      <w:marRight w:val="0"/>
      <w:marTop w:val="0"/>
      <w:marBottom w:val="0"/>
      <w:divBdr>
        <w:top w:val="none" w:sz="0" w:space="0" w:color="auto"/>
        <w:left w:val="none" w:sz="0" w:space="0" w:color="auto"/>
        <w:bottom w:val="none" w:sz="0" w:space="0" w:color="auto"/>
        <w:right w:val="none" w:sz="0" w:space="0" w:color="auto"/>
      </w:divBdr>
      <w:divsChild>
        <w:div w:id="1407339906">
          <w:marLeft w:val="0"/>
          <w:marRight w:val="0"/>
          <w:marTop w:val="0"/>
          <w:marBottom w:val="0"/>
          <w:divBdr>
            <w:top w:val="none" w:sz="0" w:space="0" w:color="auto"/>
            <w:left w:val="none" w:sz="0" w:space="0" w:color="auto"/>
            <w:bottom w:val="none" w:sz="0" w:space="0" w:color="auto"/>
            <w:right w:val="none" w:sz="0" w:space="0" w:color="auto"/>
          </w:divBdr>
          <w:divsChild>
            <w:div w:id="841571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61169766">
      <w:marLeft w:val="0"/>
      <w:marRight w:val="0"/>
      <w:marTop w:val="120"/>
      <w:marBottom w:val="120"/>
      <w:divBdr>
        <w:top w:val="none" w:sz="0" w:space="0" w:color="auto"/>
        <w:left w:val="none" w:sz="0" w:space="0" w:color="auto"/>
        <w:bottom w:val="none" w:sz="0" w:space="0" w:color="auto"/>
        <w:right w:val="none" w:sz="0" w:space="0" w:color="auto"/>
      </w:divBdr>
    </w:div>
    <w:div w:id="369261456">
      <w:marLeft w:val="0"/>
      <w:marRight w:val="0"/>
      <w:marTop w:val="120"/>
      <w:marBottom w:val="120"/>
      <w:divBdr>
        <w:top w:val="none" w:sz="0" w:space="0" w:color="auto"/>
        <w:left w:val="none" w:sz="0" w:space="0" w:color="auto"/>
        <w:bottom w:val="none" w:sz="0" w:space="0" w:color="auto"/>
        <w:right w:val="none" w:sz="0" w:space="0" w:color="auto"/>
      </w:divBdr>
    </w:div>
    <w:div w:id="380325039">
      <w:marLeft w:val="0"/>
      <w:marRight w:val="0"/>
      <w:marTop w:val="120"/>
      <w:marBottom w:val="60"/>
      <w:divBdr>
        <w:top w:val="none" w:sz="0" w:space="0" w:color="auto"/>
        <w:left w:val="none" w:sz="0" w:space="0" w:color="auto"/>
        <w:bottom w:val="none" w:sz="0" w:space="0" w:color="auto"/>
        <w:right w:val="none" w:sz="0" w:space="0" w:color="auto"/>
      </w:divBdr>
    </w:div>
    <w:div w:id="387195000">
      <w:marLeft w:val="0"/>
      <w:marRight w:val="0"/>
      <w:marTop w:val="0"/>
      <w:marBottom w:val="0"/>
      <w:divBdr>
        <w:top w:val="none" w:sz="0" w:space="0" w:color="auto"/>
        <w:left w:val="none" w:sz="0" w:space="0" w:color="auto"/>
        <w:bottom w:val="none" w:sz="0" w:space="0" w:color="auto"/>
        <w:right w:val="none" w:sz="0" w:space="0" w:color="auto"/>
      </w:divBdr>
      <w:divsChild>
        <w:div w:id="1072001899">
          <w:marLeft w:val="0"/>
          <w:marRight w:val="0"/>
          <w:marTop w:val="120"/>
          <w:marBottom w:val="120"/>
          <w:divBdr>
            <w:top w:val="none" w:sz="0" w:space="0" w:color="auto"/>
            <w:left w:val="none" w:sz="0" w:space="0" w:color="auto"/>
            <w:bottom w:val="none" w:sz="0" w:space="0" w:color="auto"/>
            <w:right w:val="none" w:sz="0" w:space="0" w:color="auto"/>
          </w:divBdr>
        </w:div>
        <w:div w:id="161966561">
          <w:marLeft w:val="0"/>
          <w:marRight w:val="0"/>
          <w:marTop w:val="120"/>
          <w:marBottom w:val="120"/>
          <w:divBdr>
            <w:top w:val="none" w:sz="0" w:space="0" w:color="auto"/>
            <w:left w:val="none" w:sz="0" w:space="0" w:color="auto"/>
            <w:bottom w:val="none" w:sz="0" w:space="0" w:color="auto"/>
            <w:right w:val="none" w:sz="0" w:space="0" w:color="auto"/>
          </w:divBdr>
        </w:div>
      </w:divsChild>
    </w:div>
    <w:div w:id="395511511">
      <w:marLeft w:val="0"/>
      <w:marRight w:val="0"/>
      <w:marTop w:val="0"/>
      <w:marBottom w:val="0"/>
      <w:divBdr>
        <w:top w:val="none" w:sz="0" w:space="0" w:color="auto"/>
        <w:left w:val="none" w:sz="0" w:space="0" w:color="auto"/>
        <w:bottom w:val="none" w:sz="0" w:space="0" w:color="auto"/>
        <w:right w:val="none" w:sz="0" w:space="0" w:color="auto"/>
      </w:divBdr>
      <w:divsChild>
        <w:div w:id="1510438813">
          <w:marLeft w:val="0"/>
          <w:marRight w:val="0"/>
          <w:marTop w:val="120"/>
          <w:marBottom w:val="120"/>
          <w:divBdr>
            <w:top w:val="none" w:sz="0" w:space="0" w:color="auto"/>
            <w:left w:val="none" w:sz="0" w:space="0" w:color="auto"/>
            <w:bottom w:val="none" w:sz="0" w:space="0" w:color="auto"/>
            <w:right w:val="none" w:sz="0" w:space="0" w:color="auto"/>
          </w:divBdr>
        </w:div>
        <w:div w:id="1861964056">
          <w:marLeft w:val="0"/>
          <w:marRight w:val="0"/>
          <w:marTop w:val="120"/>
          <w:marBottom w:val="120"/>
          <w:divBdr>
            <w:top w:val="none" w:sz="0" w:space="0" w:color="auto"/>
            <w:left w:val="none" w:sz="0" w:space="0" w:color="auto"/>
            <w:bottom w:val="none" w:sz="0" w:space="0" w:color="auto"/>
            <w:right w:val="none" w:sz="0" w:space="0" w:color="auto"/>
          </w:divBdr>
        </w:div>
      </w:divsChild>
    </w:div>
    <w:div w:id="409543176">
      <w:marLeft w:val="0"/>
      <w:marRight w:val="0"/>
      <w:marTop w:val="120"/>
      <w:marBottom w:val="120"/>
      <w:divBdr>
        <w:top w:val="none" w:sz="0" w:space="0" w:color="auto"/>
        <w:left w:val="none" w:sz="0" w:space="0" w:color="auto"/>
        <w:bottom w:val="none" w:sz="0" w:space="0" w:color="auto"/>
        <w:right w:val="none" w:sz="0" w:space="0" w:color="auto"/>
      </w:divBdr>
    </w:div>
    <w:div w:id="410784848">
      <w:marLeft w:val="0"/>
      <w:marRight w:val="0"/>
      <w:marTop w:val="120"/>
      <w:marBottom w:val="120"/>
      <w:divBdr>
        <w:top w:val="none" w:sz="0" w:space="0" w:color="auto"/>
        <w:left w:val="none" w:sz="0" w:space="0" w:color="auto"/>
        <w:bottom w:val="none" w:sz="0" w:space="0" w:color="auto"/>
        <w:right w:val="none" w:sz="0" w:space="0" w:color="auto"/>
      </w:divBdr>
    </w:div>
    <w:div w:id="422726273">
      <w:marLeft w:val="0"/>
      <w:marRight w:val="0"/>
      <w:marTop w:val="120"/>
      <w:marBottom w:val="120"/>
      <w:divBdr>
        <w:top w:val="none" w:sz="0" w:space="0" w:color="auto"/>
        <w:left w:val="none" w:sz="0" w:space="0" w:color="auto"/>
        <w:bottom w:val="none" w:sz="0" w:space="0" w:color="auto"/>
        <w:right w:val="none" w:sz="0" w:space="0" w:color="auto"/>
      </w:divBdr>
    </w:div>
    <w:div w:id="422803985">
      <w:marLeft w:val="0"/>
      <w:marRight w:val="0"/>
      <w:marTop w:val="0"/>
      <w:marBottom w:val="0"/>
      <w:divBdr>
        <w:top w:val="none" w:sz="0" w:space="0" w:color="auto"/>
        <w:left w:val="none" w:sz="0" w:space="0" w:color="auto"/>
        <w:bottom w:val="none" w:sz="0" w:space="0" w:color="auto"/>
        <w:right w:val="none" w:sz="0" w:space="0" w:color="auto"/>
      </w:divBdr>
      <w:divsChild>
        <w:div w:id="1873809281">
          <w:marLeft w:val="0"/>
          <w:marRight w:val="0"/>
          <w:marTop w:val="120"/>
          <w:marBottom w:val="120"/>
          <w:divBdr>
            <w:top w:val="none" w:sz="0" w:space="0" w:color="auto"/>
            <w:left w:val="none" w:sz="0" w:space="0" w:color="auto"/>
            <w:bottom w:val="none" w:sz="0" w:space="0" w:color="auto"/>
            <w:right w:val="none" w:sz="0" w:space="0" w:color="auto"/>
          </w:divBdr>
        </w:div>
        <w:div w:id="1474979654">
          <w:marLeft w:val="0"/>
          <w:marRight w:val="0"/>
          <w:marTop w:val="120"/>
          <w:marBottom w:val="120"/>
          <w:divBdr>
            <w:top w:val="none" w:sz="0" w:space="0" w:color="auto"/>
            <w:left w:val="none" w:sz="0" w:space="0" w:color="auto"/>
            <w:bottom w:val="none" w:sz="0" w:space="0" w:color="auto"/>
            <w:right w:val="none" w:sz="0" w:space="0" w:color="auto"/>
          </w:divBdr>
        </w:div>
      </w:divsChild>
    </w:div>
    <w:div w:id="432241398">
      <w:marLeft w:val="0"/>
      <w:marRight w:val="0"/>
      <w:marTop w:val="120"/>
      <w:marBottom w:val="120"/>
      <w:divBdr>
        <w:top w:val="none" w:sz="0" w:space="0" w:color="auto"/>
        <w:left w:val="none" w:sz="0" w:space="0" w:color="auto"/>
        <w:bottom w:val="none" w:sz="0" w:space="0" w:color="auto"/>
        <w:right w:val="none" w:sz="0" w:space="0" w:color="auto"/>
      </w:divBdr>
    </w:div>
    <w:div w:id="433718091">
      <w:marLeft w:val="0"/>
      <w:marRight w:val="0"/>
      <w:marTop w:val="0"/>
      <w:marBottom w:val="0"/>
      <w:divBdr>
        <w:top w:val="none" w:sz="0" w:space="0" w:color="auto"/>
        <w:left w:val="none" w:sz="0" w:space="0" w:color="auto"/>
        <w:bottom w:val="none" w:sz="0" w:space="0" w:color="auto"/>
        <w:right w:val="none" w:sz="0" w:space="0" w:color="auto"/>
      </w:divBdr>
      <w:divsChild>
        <w:div w:id="487749447">
          <w:marLeft w:val="0"/>
          <w:marRight w:val="0"/>
          <w:marTop w:val="0"/>
          <w:marBottom w:val="0"/>
          <w:divBdr>
            <w:top w:val="none" w:sz="0" w:space="0" w:color="auto"/>
            <w:left w:val="none" w:sz="0" w:space="0" w:color="auto"/>
            <w:bottom w:val="none" w:sz="0" w:space="0" w:color="auto"/>
            <w:right w:val="none" w:sz="0" w:space="0" w:color="auto"/>
          </w:divBdr>
          <w:divsChild>
            <w:div w:id="5286414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4890015">
      <w:marLeft w:val="0"/>
      <w:marRight w:val="0"/>
      <w:marTop w:val="120"/>
      <w:marBottom w:val="120"/>
      <w:divBdr>
        <w:top w:val="none" w:sz="0" w:space="0" w:color="auto"/>
        <w:left w:val="none" w:sz="0" w:space="0" w:color="auto"/>
        <w:bottom w:val="none" w:sz="0" w:space="0" w:color="auto"/>
        <w:right w:val="none" w:sz="0" w:space="0" w:color="auto"/>
      </w:divBdr>
    </w:div>
    <w:div w:id="457189365">
      <w:marLeft w:val="0"/>
      <w:marRight w:val="0"/>
      <w:marTop w:val="120"/>
      <w:marBottom w:val="120"/>
      <w:divBdr>
        <w:top w:val="none" w:sz="0" w:space="0" w:color="auto"/>
        <w:left w:val="none" w:sz="0" w:space="0" w:color="auto"/>
        <w:bottom w:val="none" w:sz="0" w:space="0" w:color="auto"/>
        <w:right w:val="none" w:sz="0" w:space="0" w:color="auto"/>
      </w:divBdr>
    </w:div>
    <w:div w:id="458301842">
      <w:marLeft w:val="0"/>
      <w:marRight w:val="0"/>
      <w:marTop w:val="120"/>
      <w:marBottom w:val="120"/>
      <w:divBdr>
        <w:top w:val="none" w:sz="0" w:space="0" w:color="auto"/>
        <w:left w:val="none" w:sz="0" w:space="0" w:color="auto"/>
        <w:bottom w:val="none" w:sz="0" w:space="0" w:color="auto"/>
        <w:right w:val="none" w:sz="0" w:space="0" w:color="auto"/>
      </w:divBdr>
    </w:div>
    <w:div w:id="463619640">
      <w:marLeft w:val="0"/>
      <w:marRight w:val="0"/>
      <w:marTop w:val="120"/>
      <w:marBottom w:val="120"/>
      <w:divBdr>
        <w:top w:val="none" w:sz="0" w:space="0" w:color="auto"/>
        <w:left w:val="none" w:sz="0" w:space="0" w:color="auto"/>
        <w:bottom w:val="none" w:sz="0" w:space="0" w:color="auto"/>
        <w:right w:val="none" w:sz="0" w:space="0" w:color="auto"/>
      </w:divBdr>
    </w:div>
    <w:div w:id="467095049">
      <w:marLeft w:val="0"/>
      <w:marRight w:val="0"/>
      <w:marTop w:val="120"/>
      <w:marBottom w:val="120"/>
      <w:divBdr>
        <w:top w:val="none" w:sz="0" w:space="0" w:color="auto"/>
        <w:left w:val="none" w:sz="0" w:space="0" w:color="auto"/>
        <w:bottom w:val="none" w:sz="0" w:space="0" w:color="auto"/>
        <w:right w:val="none" w:sz="0" w:space="0" w:color="auto"/>
      </w:divBdr>
    </w:div>
    <w:div w:id="467433555">
      <w:marLeft w:val="0"/>
      <w:marRight w:val="0"/>
      <w:marTop w:val="120"/>
      <w:marBottom w:val="20"/>
      <w:divBdr>
        <w:top w:val="none" w:sz="0" w:space="0" w:color="auto"/>
        <w:left w:val="none" w:sz="0" w:space="0" w:color="auto"/>
        <w:bottom w:val="none" w:sz="0" w:space="0" w:color="auto"/>
        <w:right w:val="none" w:sz="0" w:space="0" w:color="auto"/>
      </w:divBdr>
    </w:div>
    <w:div w:id="469859429">
      <w:marLeft w:val="0"/>
      <w:marRight w:val="0"/>
      <w:marTop w:val="120"/>
      <w:marBottom w:val="120"/>
      <w:divBdr>
        <w:top w:val="none" w:sz="0" w:space="0" w:color="auto"/>
        <w:left w:val="none" w:sz="0" w:space="0" w:color="auto"/>
        <w:bottom w:val="none" w:sz="0" w:space="0" w:color="auto"/>
        <w:right w:val="none" w:sz="0" w:space="0" w:color="auto"/>
      </w:divBdr>
    </w:div>
    <w:div w:id="479809740">
      <w:marLeft w:val="0"/>
      <w:marRight w:val="0"/>
      <w:marTop w:val="0"/>
      <w:marBottom w:val="0"/>
      <w:divBdr>
        <w:top w:val="none" w:sz="0" w:space="0" w:color="auto"/>
        <w:left w:val="none" w:sz="0" w:space="0" w:color="auto"/>
        <w:bottom w:val="none" w:sz="0" w:space="0" w:color="auto"/>
        <w:right w:val="none" w:sz="0" w:space="0" w:color="auto"/>
      </w:divBdr>
      <w:divsChild>
        <w:div w:id="57290789">
          <w:marLeft w:val="0"/>
          <w:marRight w:val="0"/>
          <w:marTop w:val="0"/>
          <w:marBottom w:val="0"/>
          <w:divBdr>
            <w:top w:val="none" w:sz="0" w:space="0" w:color="auto"/>
            <w:left w:val="none" w:sz="0" w:space="0" w:color="auto"/>
            <w:bottom w:val="none" w:sz="0" w:space="0" w:color="auto"/>
            <w:right w:val="none" w:sz="0" w:space="0" w:color="auto"/>
          </w:divBdr>
          <w:divsChild>
            <w:div w:id="1917473255">
              <w:marLeft w:val="0"/>
              <w:marRight w:val="0"/>
              <w:marTop w:val="120"/>
              <w:marBottom w:val="120"/>
              <w:divBdr>
                <w:top w:val="none" w:sz="0" w:space="0" w:color="auto"/>
                <w:left w:val="none" w:sz="0" w:space="0" w:color="auto"/>
                <w:bottom w:val="none" w:sz="0" w:space="0" w:color="auto"/>
                <w:right w:val="none" w:sz="0" w:space="0" w:color="auto"/>
              </w:divBdr>
            </w:div>
            <w:div w:id="8791231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0124810">
      <w:marLeft w:val="0"/>
      <w:marRight w:val="0"/>
      <w:marTop w:val="0"/>
      <w:marBottom w:val="0"/>
      <w:divBdr>
        <w:top w:val="none" w:sz="0" w:space="0" w:color="auto"/>
        <w:left w:val="none" w:sz="0" w:space="0" w:color="auto"/>
        <w:bottom w:val="none" w:sz="0" w:space="0" w:color="auto"/>
        <w:right w:val="none" w:sz="0" w:space="0" w:color="auto"/>
      </w:divBdr>
      <w:divsChild>
        <w:div w:id="253826067">
          <w:marLeft w:val="0"/>
          <w:marRight w:val="0"/>
          <w:marTop w:val="120"/>
          <w:marBottom w:val="120"/>
          <w:divBdr>
            <w:top w:val="none" w:sz="0" w:space="0" w:color="auto"/>
            <w:left w:val="none" w:sz="0" w:space="0" w:color="auto"/>
            <w:bottom w:val="none" w:sz="0" w:space="0" w:color="auto"/>
            <w:right w:val="none" w:sz="0" w:space="0" w:color="auto"/>
          </w:divBdr>
        </w:div>
        <w:div w:id="471217176">
          <w:marLeft w:val="0"/>
          <w:marRight w:val="0"/>
          <w:marTop w:val="120"/>
          <w:marBottom w:val="120"/>
          <w:divBdr>
            <w:top w:val="none" w:sz="0" w:space="0" w:color="auto"/>
            <w:left w:val="none" w:sz="0" w:space="0" w:color="auto"/>
            <w:bottom w:val="none" w:sz="0" w:space="0" w:color="auto"/>
            <w:right w:val="none" w:sz="0" w:space="0" w:color="auto"/>
          </w:divBdr>
        </w:div>
      </w:divsChild>
    </w:div>
    <w:div w:id="480343695">
      <w:marLeft w:val="0"/>
      <w:marRight w:val="0"/>
      <w:marTop w:val="120"/>
      <w:marBottom w:val="120"/>
      <w:divBdr>
        <w:top w:val="none" w:sz="0" w:space="0" w:color="auto"/>
        <w:left w:val="none" w:sz="0" w:space="0" w:color="auto"/>
        <w:bottom w:val="none" w:sz="0" w:space="0" w:color="auto"/>
        <w:right w:val="none" w:sz="0" w:space="0" w:color="auto"/>
      </w:divBdr>
    </w:div>
    <w:div w:id="481699937">
      <w:marLeft w:val="0"/>
      <w:marRight w:val="0"/>
      <w:marTop w:val="120"/>
      <w:marBottom w:val="120"/>
      <w:divBdr>
        <w:top w:val="none" w:sz="0" w:space="0" w:color="auto"/>
        <w:left w:val="none" w:sz="0" w:space="0" w:color="auto"/>
        <w:bottom w:val="none" w:sz="0" w:space="0" w:color="auto"/>
        <w:right w:val="none" w:sz="0" w:space="0" w:color="auto"/>
      </w:divBdr>
    </w:div>
    <w:div w:id="484050458">
      <w:marLeft w:val="0"/>
      <w:marRight w:val="0"/>
      <w:marTop w:val="120"/>
      <w:marBottom w:val="120"/>
      <w:divBdr>
        <w:top w:val="none" w:sz="0" w:space="0" w:color="auto"/>
        <w:left w:val="none" w:sz="0" w:space="0" w:color="auto"/>
        <w:bottom w:val="none" w:sz="0" w:space="0" w:color="auto"/>
        <w:right w:val="none" w:sz="0" w:space="0" w:color="auto"/>
      </w:divBdr>
    </w:div>
    <w:div w:id="493570709">
      <w:marLeft w:val="0"/>
      <w:marRight w:val="0"/>
      <w:marTop w:val="180"/>
      <w:marBottom w:val="180"/>
      <w:divBdr>
        <w:top w:val="none" w:sz="0" w:space="0" w:color="auto"/>
        <w:left w:val="none" w:sz="0" w:space="0" w:color="auto"/>
        <w:bottom w:val="none" w:sz="0" w:space="0" w:color="auto"/>
        <w:right w:val="none" w:sz="0" w:space="0" w:color="auto"/>
      </w:divBdr>
    </w:div>
    <w:div w:id="494489592">
      <w:marLeft w:val="0"/>
      <w:marRight w:val="0"/>
      <w:marTop w:val="120"/>
      <w:marBottom w:val="120"/>
      <w:divBdr>
        <w:top w:val="none" w:sz="0" w:space="0" w:color="auto"/>
        <w:left w:val="none" w:sz="0" w:space="0" w:color="auto"/>
        <w:bottom w:val="none" w:sz="0" w:space="0" w:color="auto"/>
        <w:right w:val="none" w:sz="0" w:space="0" w:color="auto"/>
      </w:divBdr>
    </w:div>
    <w:div w:id="495849939">
      <w:marLeft w:val="0"/>
      <w:marRight w:val="0"/>
      <w:marTop w:val="120"/>
      <w:marBottom w:val="120"/>
      <w:divBdr>
        <w:top w:val="none" w:sz="0" w:space="0" w:color="auto"/>
        <w:left w:val="none" w:sz="0" w:space="0" w:color="auto"/>
        <w:bottom w:val="none" w:sz="0" w:space="0" w:color="auto"/>
        <w:right w:val="none" w:sz="0" w:space="0" w:color="auto"/>
      </w:divBdr>
    </w:div>
    <w:div w:id="500313250">
      <w:marLeft w:val="0"/>
      <w:marRight w:val="0"/>
      <w:marTop w:val="120"/>
      <w:marBottom w:val="120"/>
      <w:divBdr>
        <w:top w:val="none" w:sz="0" w:space="0" w:color="auto"/>
        <w:left w:val="none" w:sz="0" w:space="0" w:color="auto"/>
        <w:bottom w:val="none" w:sz="0" w:space="0" w:color="auto"/>
        <w:right w:val="none" w:sz="0" w:space="0" w:color="auto"/>
      </w:divBdr>
    </w:div>
    <w:div w:id="500706188">
      <w:marLeft w:val="0"/>
      <w:marRight w:val="0"/>
      <w:marTop w:val="180"/>
      <w:marBottom w:val="180"/>
      <w:divBdr>
        <w:top w:val="none" w:sz="0" w:space="0" w:color="auto"/>
        <w:left w:val="none" w:sz="0" w:space="0" w:color="auto"/>
        <w:bottom w:val="none" w:sz="0" w:space="0" w:color="auto"/>
        <w:right w:val="none" w:sz="0" w:space="0" w:color="auto"/>
      </w:divBdr>
    </w:div>
    <w:div w:id="501623672">
      <w:marLeft w:val="0"/>
      <w:marRight w:val="0"/>
      <w:marTop w:val="120"/>
      <w:marBottom w:val="120"/>
      <w:divBdr>
        <w:top w:val="none" w:sz="0" w:space="0" w:color="auto"/>
        <w:left w:val="none" w:sz="0" w:space="0" w:color="auto"/>
        <w:bottom w:val="none" w:sz="0" w:space="0" w:color="auto"/>
        <w:right w:val="none" w:sz="0" w:space="0" w:color="auto"/>
      </w:divBdr>
    </w:div>
    <w:div w:id="508985051">
      <w:marLeft w:val="0"/>
      <w:marRight w:val="0"/>
      <w:marTop w:val="0"/>
      <w:marBottom w:val="0"/>
      <w:divBdr>
        <w:top w:val="none" w:sz="0" w:space="0" w:color="auto"/>
        <w:left w:val="none" w:sz="0" w:space="0" w:color="auto"/>
        <w:bottom w:val="none" w:sz="0" w:space="0" w:color="auto"/>
        <w:right w:val="none" w:sz="0" w:space="0" w:color="auto"/>
      </w:divBdr>
      <w:divsChild>
        <w:div w:id="1460294279">
          <w:marLeft w:val="0"/>
          <w:marRight w:val="0"/>
          <w:marTop w:val="0"/>
          <w:marBottom w:val="0"/>
          <w:divBdr>
            <w:top w:val="none" w:sz="0" w:space="0" w:color="auto"/>
            <w:left w:val="none" w:sz="0" w:space="0" w:color="auto"/>
            <w:bottom w:val="none" w:sz="0" w:space="0" w:color="auto"/>
            <w:right w:val="none" w:sz="0" w:space="0" w:color="auto"/>
          </w:divBdr>
          <w:divsChild>
            <w:div w:id="1234701819">
              <w:marLeft w:val="0"/>
              <w:marRight w:val="0"/>
              <w:marTop w:val="120"/>
              <w:marBottom w:val="120"/>
              <w:divBdr>
                <w:top w:val="none" w:sz="0" w:space="0" w:color="auto"/>
                <w:left w:val="none" w:sz="0" w:space="0" w:color="auto"/>
                <w:bottom w:val="none" w:sz="0" w:space="0" w:color="auto"/>
                <w:right w:val="none" w:sz="0" w:space="0" w:color="auto"/>
              </w:divBdr>
            </w:div>
            <w:div w:id="13457405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6190246">
      <w:marLeft w:val="0"/>
      <w:marRight w:val="0"/>
      <w:marTop w:val="120"/>
      <w:marBottom w:val="120"/>
      <w:divBdr>
        <w:top w:val="none" w:sz="0" w:space="0" w:color="auto"/>
        <w:left w:val="none" w:sz="0" w:space="0" w:color="auto"/>
        <w:bottom w:val="none" w:sz="0" w:space="0" w:color="auto"/>
        <w:right w:val="none" w:sz="0" w:space="0" w:color="auto"/>
      </w:divBdr>
    </w:div>
    <w:div w:id="516621082">
      <w:marLeft w:val="0"/>
      <w:marRight w:val="0"/>
      <w:marTop w:val="120"/>
      <w:marBottom w:val="120"/>
      <w:divBdr>
        <w:top w:val="none" w:sz="0" w:space="0" w:color="auto"/>
        <w:left w:val="none" w:sz="0" w:space="0" w:color="auto"/>
        <w:bottom w:val="none" w:sz="0" w:space="0" w:color="auto"/>
        <w:right w:val="none" w:sz="0" w:space="0" w:color="auto"/>
      </w:divBdr>
    </w:div>
    <w:div w:id="518277115">
      <w:marLeft w:val="0"/>
      <w:marRight w:val="0"/>
      <w:marTop w:val="0"/>
      <w:marBottom w:val="0"/>
      <w:divBdr>
        <w:top w:val="none" w:sz="0" w:space="0" w:color="auto"/>
        <w:left w:val="none" w:sz="0" w:space="0" w:color="auto"/>
        <w:bottom w:val="none" w:sz="0" w:space="0" w:color="auto"/>
        <w:right w:val="none" w:sz="0" w:space="0" w:color="auto"/>
      </w:divBdr>
      <w:divsChild>
        <w:div w:id="1754207202">
          <w:marLeft w:val="0"/>
          <w:marRight w:val="0"/>
          <w:marTop w:val="120"/>
          <w:marBottom w:val="120"/>
          <w:divBdr>
            <w:top w:val="none" w:sz="0" w:space="0" w:color="auto"/>
            <w:left w:val="none" w:sz="0" w:space="0" w:color="auto"/>
            <w:bottom w:val="none" w:sz="0" w:space="0" w:color="auto"/>
            <w:right w:val="none" w:sz="0" w:space="0" w:color="auto"/>
          </w:divBdr>
        </w:div>
        <w:div w:id="1145243999">
          <w:marLeft w:val="0"/>
          <w:marRight w:val="0"/>
          <w:marTop w:val="120"/>
          <w:marBottom w:val="120"/>
          <w:divBdr>
            <w:top w:val="none" w:sz="0" w:space="0" w:color="auto"/>
            <w:left w:val="none" w:sz="0" w:space="0" w:color="auto"/>
            <w:bottom w:val="none" w:sz="0" w:space="0" w:color="auto"/>
            <w:right w:val="none" w:sz="0" w:space="0" w:color="auto"/>
          </w:divBdr>
        </w:div>
      </w:divsChild>
    </w:div>
    <w:div w:id="521436955">
      <w:marLeft w:val="0"/>
      <w:marRight w:val="0"/>
      <w:marTop w:val="0"/>
      <w:marBottom w:val="0"/>
      <w:divBdr>
        <w:top w:val="none" w:sz="0" w:space="0" w:color="auto"/>
        <w:left w:val="none" w:sz="0" w:space="0" w:color="auto"/>
        <w:bottom w:val="none" w:sz="0" w:space="0" w:color="auto"/>
        <w:right w:val="none" w:sz="0" w:space="0" w:color="auto"/>
      </w:divBdr>
      <w:divsChild>
        <w:div w:id="594172088">
          <w:marLeft w:val="0"/>
          <w:marRight w:val="0"/>
          <w:marTop w:val="0"/>
          <w:marBottom w:val="0"/>
          <w:divBdr>
            <w:top w:val="none" w:sz="0" w:space="0" w:color="auto"/>
            <w:left w:val="none" w:sz="0" w:space="0" w:color="auto"/>
            <w:bottom w:val="none" w:sz="0" w:space="0" w:color="auto"/>
            <w:right w:val="none" w:sz="0" w:space="0" w:color="auto"/>
          </w:divBdr>
          <w:divsChild>
            <w:div w:id="69620001">
              <w:marLeft w:val="0"/>
              <w:marRight w:val="0"/>
              <w:marTop w:val="120"/>
              <w:marBottom w:val="120"/>
              <w:divBdr>
                <w:top w:val="none" w:sz="0" w:space="0" w:color="auto"/>
                <w:left w:val="none" w:sz="0" w:space="0" w:color="auto"/>
                <w:bottom w:val="none" w:sz="0" w:space="0" w:color="auto"/>
                <w:right w:val="none" w:sz="0" w:space="0" w:color="auto"/>
              </w:divBdr>
            </w:div>
            <w:div w:id="18372660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4950546">
      <w:marLeft w:val="0"/>
      <w:marRight w:val="0"/>
      <w:marTop w:val="120"/>
      <w:marBottom w:val="120"/>
      <w:divBdr>
        <w:top w:val="none" w:sz="0" w:space="0" w:color="auto"/>
        <w:left w:val="none" w:sz="0" w:space="0" w:color="auto"/>
        <w:bottom w:val="none" w:sz="0" w:space="0" w:color="auto"/>
        <w:right w:val="none" w:sz="0" w:space="0" w:color="auto"/>
      </w:divBdr>
    </w:div>
    <w:div w:id="538473410">
      <w:marLeft w:val="0"/>
      <w:marRight w:val="0"/>
      <w:marTop w:val="120"/>
      <w:marBottom w:val="120"/>
      <w:divBdr>
        <w:top w:val="none" w:sz="0" w:space="0" w:color="auto"/>
        <w:left w:val="none" w:sz="0" w:space="0" w:color="auto"/>
        <w:bottom w:val="none" w:sz="0" w:space="0" w:color="auto"/>
        <w:right w:val="none" w:sz="0" w:space="0" w:color="auto"/>
      </w:divBdr>
    </w:div>
    <w:div w:id="545261638">
      <w:marLeft w:val="0"/>
      <w:marRight w:val="0"/>
      <w:marTop w:val="120"/>
      <w:marBottom w:val="120"/>
      <w:divBdr>
        <w:top w:val="none" w:sz="0" w:space="0" w:color="auto"/>
        <w:left w:val="none" w:sz="0" w:space="0" w:color="auto"/>
        <w:bottom w:val="none" w:sz="0" w:space="0" w:color="auto"/>
        <w:right w:val="none" w:sz="0" w:space="0" w:color="auto"/>
      </w:divBdr>
    </w:div>
    <w:div w:id="550389437">
      <w:marLeft w:val="0"/>
      <w:marRight w:val="0"/>
      <w:marTop w:val="120"/>
      <w:marBottom w:val="60"/>
      <w:divBdr>
        <w:top w:val="none" w:sz="0" w:space="0" w:color="auto"/>
        <w:left w:val="none" w:sz="0" w:space="0" w:color="auto"/>
        <w:bottom w:val="none" w:sz="0" w:space="0" w:color="auto"/>
        <w:right w:val="none" w:sz="0" w:space="0" w:color="auto"/>
      </w:divBdr>
    </w:div>
    <w:div w:id="566456420">
      <w:marLeft w:val="0"/>
      <w:marRight w:val="0"/>
      <w:marTop w:val="120"/>
      <w:marBottom w:val="120"/>
      <w:divBdr>
        <w:top w:val="none" w:sz="0" w:space="0" w:color="auto"/>
        <w:left w:val="none" w:sz="0" w:space="0" w:color="auto"/>
        <w:bottom w:val="none" w:sz="0" w:space="0" w:color="auto"/>
        <w:right w:val="none" w:sz="0" w:space="0" w:color="auto"/>
      </w:divBdr>
    </w:div>
    <w:div w:id="567618282">
      <w:marLeft w:val="0"/>
      <w:marRight w:val="0"/>
      <w:marTop w:val="120"/>
      <w:marBottom w:val="120"/>
      <w:divBdr>
        <w:top w:val="none" w:sz="0" w:space="0" w:color="auto"/>
        <w:left w:val="none" w:sz="0" w:space="0" w:color="auto"/>
        <w:bottom w:val="none" w:sz="0" w:space="0" w:color="auto"/>
        <w:right w:val="none" w:sz="0" w:space="0" w:color="auto"/>
      </w:divBdr>
    </w:div>
    <w:div w:id="570232624">
      <w:marLeft w:val="0"/>
      <w:marRight w:val="0"/>
      <w:marTop w:val="120"/>
      <w:marBottom w:val="120"/>
      <w:divBdr>
        <w:top w:val="none" w:sz="0" w:space="0" w:color="auto"/>
        <w:left w:val="none" w:sz="0" w:space="0" w:color="auto"/>
        <w:bottom w:val="none" w:sz="0" w:space="0" w:color="auto"/>
        <w:right w:val="none" w:sz="0" w:space="0" w:color="auto"/>
      </w:divBdr>
    </w:div>
    <w:div w:id="570626612">
      <w:marLeft w:val="0"/>
      <w:marRight w:val="0"/>
      <w:marTop w:val="120"/>
      <w:marBottom w:val="120"/>
      <w:divBdr>
        <w:top w:val="none" w:sz="0" w:space="0" w:color="auto"/>
        <w:left w:val="none" w:sz="0" w:space="0" w:color="auto"/>
        <w:bottom w:val="none" w:sz="0" w:space="0" w:color="auto"/>
        <w:right w:val="none" w:sz="0" w:space="0" w:color="auto"/>
      </w:divBdr>
    </w:div>
    <w:div w:id="574360275">
      <w:marLeft w:val="0"/>
      <w:marRight w:val="0"/>
      <w:marTop w:val="120"/>
      <w:marBottom w:val="120"/>
      <w:divBdr>
        <w:top w:val="none" w:sz="0" w:space="0" w:color="auto"/>
        <w:left w:val="none" w:sz="0" w:space="0" w:color="auto"/>
        <w:bottom w:val="none" w:sz="0" w:space="0" w:color="auto"/>
        <w:right w:val="none" w:sz="0" w:space="0" w:color="auto"/>
      </w:divBdr>
    </w:div>
    <w:div w:id="589310558">
      <w:marLeft w:val="0"/>
      <w:marRight w:val="0"/>
      <w:marTop w:val="120"/>
      <w:marBottom w:val="120"/>
      <w:divBdr>
        <w:top w:val="none" w:sz="0" w:space="0" w:color="auto"/>
        <w:left w:val="none" w:sz="0" w:space="0" w:color="auto"/>
        <w:bottom w:val="none" w:sz="0" w:space="0" w:color="auto"/>
        <w:right w:val="none" w:sz="0" w:space="0" w:color="auto"/>
      </w:divBdr>
    </w:div>
    <w:div w:id="606427298">
      <w:marLeft w:val="0"/>
      <w:marRight w:val="0"/>
      <w:marTop w:val="0"/>
      <w:marBottom w:val="0"/>
      <w:divBdr>
        <w:top w:val="none" w:sz="0" w:space="0" w:color="auto"/>
        <w:left w:val="none" w:sz="0" w:space="0" w:color="auto"/>
        <w:bottom w:val="none" w:sz="0" w:space="0" w:color="auto"/>
        <w:right w:val="none" w:sz="0" w:space="0" w:color="auto"/>
      </w:divBdr>
      <w:divsChild>
        <w:div w:id="1990401090">
          <w:marLeft w:val="0"/>
          <w:marRight w:val="0"/>
          <w:marTop w:val="120"/>
          <w:marBottom w:val="120"/>
          <w:divBdr>
            <w:top w:val="none" w:sz="0" w:space="0" w:color="auto"/>
            <w:left w:val="none" w:sz="0" w:space="0" w:color="auto"/>
            <w:bottom w:val="none" w:sz="0" w:space="0" w:color="auto"/>
            <w:right w:val="none" w:sz="0" w:space="0" w:color="auto"/>
          </w:divBdr>
        </w:div>
        <w:div w:id="756442123">
          <w:marLeft w:val="0"/>
          <w:marRight w:val="0"/>
          <w:marTop w:val="120"/>
          <w:marBottom w:val="120"/>
          <w:divBdr>
            <w:top w:val="none" w:sz="0" w:space="0" w:color="auto"/>
            <w:left w:val="none" w:sz="0" w:space="0" w:color="auto"/>
            <w:bottom w:val="none" w:sz="0" w:space="0" w:color="auto"/>
            <w:right w:val="none" w:sz="0" w:space="0" w:color="auto"/>
          </w:divBdr>
        </w:div>
      </w:divsChild>
    </w:div>
    <w:div w:id="623269877">
      <w:marLeft w:val="0"/>
      <w:marRight w:val="0"/>
      <w:marTop w:val="120"/>
      <w:marBottom w:val="120"/>
      <w:divBdr>
        <w:top w:val="none" w:sz="0" w:space="0" w:color="auto"/>
        <w:left w:val="none" w:sz="0" w:space="0" w:color="auto"/>
        <w:bottom w:val="none" w:sz="0" w:space="0" w:color="auto"/>
        <w:right w:val="none" w:sz="0" w:space="0" w:color="auto"/>
      </w:divBdr>
    </w:div>
    <w:div w:id="626741162">
      <w:marLeft w:val="0"/>
      <w:marRight w:val="0"/>
      <w:marTop w:val="240"/>
      <w:marBottom w:val="120"/>
      <w:divBdr>
        <w:top w:val="none" w:sz="0" w:space="0" w:color="auto"/>
        <w:left w:val="none" w:sz="0" w:space="0" w:color="auto"/>
        <w:bottom w:val="none" w:sz="0" w:space="0" w:color="auto"/>
        <w:right w:val="none" w:sz="0" w:space="0" w:color="auto"/>
      </w:divBdr>
    </w:div>
    <w:div w:id="627467402">
      <w:marLeft w:val="0"/>
      <w:marRight w:val="0"/>
      <w:marTop w:val="120"/>
      <w:marBottom w:val="20"/>
      <w:divBdr>
        <w:top w:val="none" w:sz="0" w:space="0" w:color="auto"/>
        <w:left w:val="none" w:sz="0" w:space="0" w:color="auto"/>
        <w:bottom w:val="none" w:sz="0" w:space="0" w:color="auto"/>
        <w:right w:val="none" w:sz="0" w:space="0" w:color="auto"/>
      </w:divBdr>
    </w:div>
    <w:div w:id="627467720">
      <w:marLeft w:val="0"/>
      <w:marRight w:val="0"/>
      <w:marTop w:val="120"/>
      <w:marBottom w:val="240"/>
      <w:divBdr>
        <w:top w:val="none" w:sz="0" w:space="0" w:color="auto"/>
        <w:left w:val="none" w:sz="0" w:space="0" w:color="auto"/>
        <w:bottom w:val="none" w:sz="0" w:space="0" w:color="auto"/>
        <w:right w:val="none" w:sz="0" w:space="0" w:color="auto"/>
      </w:divBdr>
    </w:div>
    <w:div w:id="631519345">
      <w:marLeft w:val="0"/>
      <w:marRight w:val="0"/>
      <w:marTop w:val="120"/>
      <w:marBottom w:val="120"/>
      <w:divBdr>
        <w:top w:val="none" w:sz="0" w:space="0" w:color="auto"/>
        <w:left w:val="none" w:sz="0" w:space="0" w:color="auto"/>
        <w:bottom w:val="none" w:sz="0" w:space="0" w:color="auto"/>
        <w:right w:val="none" w:sz="0" w:space="0" w:color="auto"/>
      </w:divBdr>
    </w:div>
    <w:div w:id="640814988">
      <w:marLeft w:val="0"/>
      <w:marRight w:val="0"/>
      <w:marTop w:val="120"/>
      <w:marBottom w:val="120"/>
      <w:divBdr>
        <w:top w:val="none" w:sz="0" w:space="0" w:color="auto"/>
        <w:left w:val="none" w:sz="0" w:space="0" w:color="auto"/>
        <w:bottom w:val="none" w:sz="0" w:space="0" w:color="auto"/>
        <w:right w:val="none" w:sz="0" w:space="0" w:color="auto"/>
      </w:divBdr>
    </w:div>
    <w:div w:id="643244510">
      <w:marLeft w:val="0"/>
      <w:marRight w:val="0"/>
      <w:marTop w:val="120"/>
      <w:marBottom w:val="120"/>
      <w:divBdr>
        <w:top w:val="none" w:sz="0" w:space="0" w:color="auto"/>
        <w:left w:val="none" w:sz="0" w:space="0" w:color="auto"/>
        <w:bottom w:val="none" w:sz="0" w:space="0" w:color="auto"/>
        <w:right w:val="none" w:sz="0" w:space="0" w:color="auto"/>
      </w:divBdr>
    </w:div>
    <w:div w:id="644355333">
      <w:marLeft w:val="0"/>
      <w:marRight w:val="0"/>
      <w:marTop w:val="120"/>
      <w:marBottom w:val="120"/>
      <w:divBdr>
        <w:top w:val="none" w:sz="0" w:space="0" w:color="auto"/>
        <w:left w:val="none" w:sz="0" w:space="0" w:color="auto"/>
        <w:bottom w:val="none" w:sz="0" w:space="0" w:color="auto"/>
        <w:right w:val="none" w:sz="0" w:space="0" w:color="auto"/>
      </w:divBdr>
    </w:div>
    <w:div w:id="659576423">
      <w:marLeft w:val="0"/>
      <w:marRight w:val="0"/>
      <w:marTop w:val="120"/>
      <w:marBottom w:val="120"/>
      <w:divBdr>
        <w:top w:val="none" w:sz="0" w:space="0" w:color="auto"/>
        <w:left w:val="none" w:sz="0" w:space="0" w:color="auto"/>
        <w:bottom w:val="none" w:sz="0" w:space="0" w:color="auto"/>
        <w:right w:val="none" w:sz="0" w:space="0" w:color="auto"/>
      </w:divBdr>
    </w:div>
    <w:div w:id="663435990">
      <w:marLeft w:val="0"/>
      <w:marRight w:val="0"/>
      <w:marTop w:val="120"/>
      <w:marBottom w:val="60"/>
      <w:divBdr>
        <w:top w:val="none" w:sz="0" w:space="0" w:color="auto"/>
        <w:left w:val="none" w:sz="0" w:space="0" w:color="auto"/>
        <w:bottom w:val="none" w:sz="0" w:space="0" w:color="auto"/>
        <w:right w:val="none" w:sz="0" w:space="0" w:color="auto"/>
      </w:divBdr>
    </w:div>
    <w:div w:id="664363678">
      <w:marLeft w:val="0"/>
      <w:marRight w:val="0"/>
      <w:marTop w:val="0"/>
      <w:marBottom w:val="0"/>
      <w:divBdr>
        <w:top w:val="none" w:sz="0" w:space="0" w:color="auto"/>
        <w:left w:val="none" w:sz="0" w:space="0" w:color="auto"/>
        <w:bottom w:val="none" w:sz="0" w:space="0" w:color="auto"/>
        <w:right w:val="none" w:sz="0" w:space="0" w:color="auto"/>
      </w:divBdr>
      <w:divsChild>
        <w:div w:id="1290280080">
          <w:marLeft w:val="0"/>
          <w:marRight w:val="0"/>
          <w:marTop w:val="120"/>
          <w:marBottom w:val="120"/>
          <w:divBdr>
            <w:top w:val="none" w:sz="0" w:space="0" w:color="auto"/>
            <w:left w:val="none" w:sz="0" w:space="0" w:color="auto"/>
            <w:bottom w:val="none" w:sz="0" w:space="0" w:color="auto"/>
            <w:right w:val="none" w:sz="0" w:space="0" w:color="auto"/>
          </w:divBdr>
        </w:div>
        <w:div w:id="1350330563">
          <w:marLeft w:val="0"/>
          <w:marRight w:val="0"/>
          <w:marTop w:val="120"/>
          <w:marBottom w:val="120"/>
          <w:divBdr>
            <w:top w:val="none" w:sz="0" w:space="0" w:color="auto"/>
            <w:left w:val="none" w:sz="0" w:space="0" w:color="auto"/>
            <w:bottom w:val="none" w:sz="0" w:space="0" w:color="auto"/>
            <w:right w:val="none" w:sz="0" w:space="0" w:color="auto"/>
          </w:divBdr>
        </w:div>
      </w:divsChild>
    </w:div>
    <w:div w:id="674113942">
      <w:marLeft w:val="0"/>
      <w:marRight w:val="0"/>
      <w:marTop w:val="120"/>
      <w:marBottom w:val="120"/>
      <w:divBdr>
        <w:top w:val="none" w:sz="0" w:space="0" w:color="auto"/>
        <w:left w:val="none" w:sz="0" w:space="0" w:color="auto"/>
        <w:bottom w:val="none" w:sz="0" w:space="0" w:color="auto"/>
        <w:right w:val="none" w:sz="0" w:space="0" w:color="auto"/>
      </w:divBdr>
    </w:div>
    <w:div w:id="676427453">
      <w:marLeft w:val="0"/>
      <w:marRight w:val="0"/>
      <w:marTop w:val="120"/>
      <w:marBottom w:val="120"/>
      <w:divBdr>
        <w:top w:val="none" w:sz="0" w:space="0" w:color="auto"/>
        <w:left w:val="none" w:sz="0" w:space="0" w:color="auto"/>
        <w:bottom w:val="none" w:sz="0" w:space="0" w:color="auto"/>
        <w:right w:val="none" w:sz="0" w:space="0" w:color="auto"/>
      </w:divBdr>
    </w:div>
    <w:div w:id="677731045">
      <w:marLeft w:val="0"/>
      <w:marRight w:val="0"/>
      <w:marTop w:val="120"/>
      <w:marBottom w:val="120"/>
      <w:divBdr>
        <w:top w:val="none" w:sz="0" w:space="0" w:color="auto"/>
        <w:left w:val="none" w:sz="0" w:space="0" w:color="auto"/>
        <w:bottom w:val="none" w:sz="0" w:space="0" w:color="auto"/>
        <w:right w:val="none" w:sz="0" w:space="0" w:color="auto"/>
      </w:divBdr>
    </w:div>
    <w:div w:id="682443350">
      <w:marLeft w:val="0"/>
      <w:marRight w:val="0"/>
      <w:marTop w:val="0"/>
      <w:marBottom w:val="0"/>
      <w:divBdr>
        <w:top w:val="none" w:sz="0" w:space="0" w:color="auto"/>
        <w:left w:val="none" w:sz="0" w:space="0" w:color="auto"/>
        <w:bottom w:val="none" w:sz="0" w:space="0" w:color="auto"/>
        <w:right w:val="none" w:sz="0" w:space="0" w:color="auto"/>
      </w:divBdr>
      <w:divsChild>
        <w:div w:id="1629815790">
          <w:marLeft w:val="0"/>
          <w:marRight w:val="0"/>
          <w:marTop w:val="120"/>
          <w:marBottom w:val="120"/>
          <w:divBdr>
            <w:top w:val="none" w:sz="0" w:space="0" w:color="auto"/>
            <w:left w:val="none" w:sz="0" w:space="0" w:color="auto"/>
            <w:bottom w:val="none" w:sz="0" w:space="0" w:color="auto"/>
            <w:right w:val="none" w:sz="0" w:space="0" w:color="auto"/>
          </w:divBdr>
        </w:div>
        <w:div w:id="1268582728">
          <w:marLeft w:val="0"/>
          <w:marRight w:val="0"/>
          <w:marTop w:val="120"/>
          <w:marBottom w:val="120"/>
          <w:divBdr>
            <w:top w:val="none" w:sz="0" w:space="0" w:color="auto"/>
            <w:left w:val="none" w:sz="0" w:space="0" w:color="auto"/>
            <w:bottom w:val="none" w:sz="0" w:space="0" w:color="auto"/>
            <w:right w:val="none" w:sz="0" w:space="0" w:color="auto"/>
          </w:divBdr>
        </w:div>
      </w:divsChild>
    </w:div>
    <w:div w:id="686953097">
      <w:marLeft w:val="0"/>
      <w:marRight w:val="0"/>
      <w:marTop w:val="120"/>
      <w:marBottom w:val="120"/>
      <w:divBdr>
        <w:top w:val="none" w:sz="0" w:space="0" w:color="auto"/>
        <w:left w:val="none" w:sz="0" w:space="0" w:color="auto"/>
        <w:bottom w:val="none" w:sz="0" w:space="0" w:color="auto"/>
        <w:right w:val="none" w:sz="0" w:space="0" w:color="auto"/>
      </w:divBdr>
    </w:div>
    <w:div w:id="688602453">
      <w:marLeft w:val="0"/>
      <w:marRight w:val="0"/>
      <w:marTop w:val="120"/>
      <w:marBottom w:val="20"/>
      <w:divBdr>
        <w:top w:val="none" w:sz="0" w:space="0" w:color="auto"/>
        <w:left w:val="none" w:sz="0" w:space="0" w:color="auto"/>
        <w:bottom w:val="none" w:sz="0" w:space="0" w:color="auto"/>
        <w:right w:val="none" w:sz="0" w:space="0" w:color="auto"/>
      </w:divBdr>
    </w:div>
    <w:div w:id="688606757">
      <w:marLeft w:val="0"/>
      <w:marRight w:val="0"/>
      <w:marTop w:val="120"/>
      <w:marBottom w:val="120"/>
      <w:divBdr>
        <w:top w:val="none" w:sz="0" w:space="0" w:color="auto"/>
        <w:left w:val="none" w:sz="0" w:space="0" w:color="auto"/>
        <w:bottom w:val="none" w:sz="0" w:space="0" w:color="auto"/>
        <w:right w:val="none" w:sz="0" w:space="0" w:color="auto"/>
      </w:divBdr>
    </w:div>
    <w:div w:id="692654950">
      <w:marLeft w:val="0"/>
      <w:marRight w:val="0"/>
      <w:marTop w:val="120"/>
      <w:marBottom w:val="120"/>
      <w:divBdr>
        <w:top w:val="none" w:sz="0" w:space="0" w:color="auto"/>
        <w:left w:val="none" w:sz="0" w:space="0" w:color="auto"/>
        <w:bottom w:val="none" w:sz="0" w:space="0" w:color="auto"/>
        <w:right w:val="none" w:sz="0" w:space="0" w:color="auto"/>
      </w:divBdr>
    </w:div>
    <w:div w:id="697580664">
      <w:marLeft w:val="0"/>
      <w:marRight w:val="0"/>
      <w:marTop w:val="60"/>
      <w:marBottom w:val="60"/>
      <w:divBdr>
        <w:top w:val="none" w:sz="0" w:space="0" w:color="auto"/>
        <w:left w:val="none" w:sz="0" w:space="0" w:color="auto"/>
        <w:bottom w:val="none" w:sz="0" w:space="0" w:color="auto"/>
        <w:right w:val="none" w:sz="0" w:space="0" w:color="auto"/>
      </w:divBdr>
    </w:div>
    <w:div w:id="698550445">
      <w:marLeft w:val="0"/>
      <w:marRight w:val="0"/>
      <w:marTop w:val="0"/>
      <w:marBottom w:val="0"/>
      <w:divBdr>
        <w:top w:val="none" w:sz="0" w:space="0" w:color="auto"/>
        <w:left w:val="none" w:sz="0" w:space="0" w:color="auto"/>
        <w:bottom w:val="none" w:sz="0" w:space="0" w:color="auto"/>
        <w:right w:val="none" w:sz="0" w:space="0" w:color="auto"/>
      </w:divBdr>
      <w:divsChild>
        <w:div w:id="423847324">
          <w:marLeft w:val="0"/>
          <w:marRight w:val="0"/>
          <w:marTop w:val="0"/>
          <w:marBottom w:val="0"/>
          <w:divBdr>
            <w:top w:val="none" w:sz="0" w:space="0" w:color="auto"/>
            <w:left w:val="none" w:sz="0" w:space="0" w:color="auto"/>
            <w:bottom w:val="none" w:sz="0" w:space="0" w:color="auto"/>
            <w:right w:val="none" w:sz="0" w:space="0" w:color="auto"/>
          </w:divBdr>
          <w:divsChild>
            <w:div w:id="8053176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0201590">
      <w:marLeft w:val="0"/>
      <w:marRight w:val="0"/>
      <w:marTop w:val="120"/>
      <w:marBottom w:val="60"/>
      <w:divBdr>
        <w:top w:val="none" w:sz="0" w:space="0" w:color="auto"/>
        <w:left w:val="none" w:sz="0" w:space="0" w:color="auto"/>
        <w:bottom w:val="none" w:sz="0" w:space="0" w:color="auto"/>
        <w:right w:val="none" w:sz="0" w:space="0" w:color="auto"/>
      </w:divBdr>
    </w:div>
    <w:div w:id="702361175">
      <w:marLeft w:val="0"/>
      <w:marRight w:val="0"/>
      <w:marTop w:val="0"/>
      <w:marBottom w:val="0"/>
      <w:divBdr>
        <w:top w:val="none" w:sz="0" w:space="0" w:color="auto"/>
        <w:left w:val="none" w:sz="0" w:space="0" w:color="auto"/>
        <w:bottom w:val="none" w:sz="0" w:space="0" w:color="auto"/>
        <w:right w:val="none" w:sz="0" w:space="0" w:color="auto"/>
      </w:divBdr>
      <w:divsChild>
        <w:div w:id="546919867">
          <w:marLeft w:val="0"/>
          <w:marRight w:val="0"/>
          <w:marTop w:val="120"/>
          <w:marBottom w:val="120"/>
          <w:divBdr>
            <w:top w:val="none" w:sz="0" w:space="0" w:color="auto"/>
            <w:left w:val="none" w:sz="0" w:space="0" w:color="auto"/>
            <w:bottom w:val="none" w:sz="0" w:space="0" w:color="auto"/>
            <w:right w:val="none" w:sz="0" w:space="0" w:color="auto"/>
          </w:divBdr>
        </w:div>
        <w:div w:id="371538719">
          <w:marLeft w:val="0"/>
          <w:marRight w:val="0"/>
          <w:marTop w:val="120"/>
          <w:marBottom w:val="120"/>
          <w:divBdr>
            <w:top w:val="none" w:sz="0" w:space="0" w:color="auto"/>
            <w:left w:val="none" w:sz="0" w:space="0" w:color="auto"/>
            <w:bottom w:val="none" w:sz="0" w:space="0" w:color="auto"/>
            <w:right w:val="none" w:sz="0" w:space="0" w:color="auto"/>
          </w:divBdr>
        </w:div>
      </w:divsChild>
    </w:div>
    <w:div w:id="703675275">
      <w:marLeft w:val="0"/>
      <w:marRight w:val="0"/>
      <w:marTop w:val="120"/>
      <w:marBottom w:val="120"/>
      <w:divBdr>
        <w:top w:val="none" w:sz="0" w:space="0" w:color="auto"/>
        <w:left w:val="none" w:sz="0" w:space="0" w:color="auto"/>
        <w:bottom w:val="none" w:sz="0" w:space="0" w:color="auto"/>
        <w:right w:val="none" w:sz="0" w:space="0" w:color="auto"/>
      </w:divBdr>
    </w:div>
    <w:div w:id="705720315">
      <w:marLeft w:val="0"/>
      <w:marRight w:val="0"/>
      <w:marTop w:val="120"/>
      <w:marBottom w:val="120"/>
      <w:divBdr>
        <w:top w:val="none" w:sz="0" w:space="0" w:color="auto"/>
        <w:left w:val="none" w:sz="0" w:space="0" w:color="auto"/>
        <w:bottom w:val="none" w:sz="0" w:space="0" w:color="auto"/>
        <w:right w:val="none" w:sz="0" w:space="0" w:color="auto"/>
      </w:divBdr>
      <w:divsChild>
        <w:div w:id="1147745664">
          <w:marLeft w:val="0"/>
          <w:marRight w:val="0"/>
          <w:marTop w:val="0"/>
          <w:marBottom w:val="0"/>
          <w:divBdr>
            <w:top w:val="none" w:sz="0" w:space="0" w:color="auto"/>
            <w:left w:val="none" w:sz="0" w:space="0" w:color="auto"/>
            <w:bottom w:val="none" w:sz="0" w:space="0" w:color="auto"/>
            <w:right w:val="none" w:sz="0" w:space="0" w:color="auto"/>
          </w:divBdr>
        </w:div>
      </w:divsChild>
    </w:div>
    <w:div w:id="708186361">
      <w:marLeft w:val="0"/>
      <w:marRight w:val="0"/>
      <w:marTop w:val="120"/>
      <w:marBottom w:val="120"/>
      <w:divBdr>
        <w:top w:val="none" w:sz="0" w:space="0" w:color="auto"/>
        <w:left w:val="none" w:sz="0" w:space="0" w:color="auto"/>
        <w:bottom w:val="none" w:sz="0" w:space="0" w:color="auto"/>
        <w:right w:val="none" w:sz="0" w:space="0" w:color="auto"/>
      </w:divBdr>
    </w:div>
    <w:div w:id="712729705">
      <w:marLeft w:val="0"/>
      <w:marRight w:val="0"/>
      <w:marTop w:val="0"/>
      <w:marBottom w:val="0"/>
      <w:divBdr>
        <w:top w:val="none" w:sz="0" w:space="0" w:color="auto"/>
        <w:left w:val="none" w:sz="0" w:space="0" w:color="auto"/>
        <w:bottom w:val="none" w:sz="0" w:space="0" w:color="auto"/>
        <w:right w:val="none" w:sz="0" w:space="0" w:color="auto"/>
      </w:divBdr>
      <w:divsChild>
        <w:div w:id="796337809">
          <w:marLeft w:val="0"/>
          <w:marRight w:val="0"/>
          <w:marTop w:val="0"/>
          <w:marBottom w:val="0"/>
          <w:divBdr>
            <w:top w:val="none" w:sz="0" w:space="0" w:color="auto"/>
            <w:left w:val="none" w:sz="0" w:space="0" w:color="auto"/>
            <w:bottom w:val="none" w:sz="0" w:space="0" w:color="auto"/>
            <w:right w:val="none" w:sz="0" w:space="0" w:color="auto"/>
          </w:divBdr>
          <w:divsChild>
            <w:div w:id="7217594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2853346">
      <w:marLeft w:val="0"/>
      <w:marRight w:val="0"/>
      <w:marTop w:val="0"/>
      <w:marBottom w:val="0"/>
      <w:divBdr>
        <w:top w:val="none" w:sz="0" w:space="0" w:color="auto"/>
        <w:left w:val="none" w:sz="0" w:space="0" w:color="auto"/>
        <w:bottom w:val="none" w:sz="0" w:space="0" w:color="auto"/>
        <w:right w:val="none" w:sz="0" w:space="0" w:color="auto"/>
      </w:divBdr>
      <w:divsChild>
        <w:div w:id="393814675">
          <w:marLeft w:val="0"/>
          <w:marRight w:val="0"/>
          <w:marTop w:val="120"/>
          <w:marBottom w:val="120"/>
          <w:divBdr>
            <w:top w:val="none" w:sz="0" w:space="0" w:color="auto"/>
            <w:left w:val="none" w:sz="0" w:space="0" w:color="auto"/>
            <w:bottom w:val="none" w:sz="0" w:space="0" w:color="auto"/>
            <w:right w:val="none" w:sz="0" w:space="0" w:color="auto"/>
          </w:divBdr>
        </w:div>
        <w:div w:id="1970089848">
          <w:marLeft w:val="0"/>
          <w:marRight w:val="0"/>
          <w:marTop w:val="120"/>
          <w:marBottom w:val="120"/>
          <w:divBdr>
            <w:top w:val="none" w:sz="0" w:space="0" w:color="auto"/>
            <w:left w:val="none" w:sz="0" w:space="0" w:color="auto"/>
            <w:bottom w:val="none" w:sz="0" w:space="0" w:color="auto"/>
            <w:right w:val="none" w:sz="0" w:space="0" w:color="auto"/>
          </w:divBdr>
        </w:div>
      </w:divsChild>
    </w:div>
    <w:div w:id="727848054">
      <w:marLeft w:val="0"/>
      <w:marRight w:val="0"/>
      <w:marTop w:val="120"/>
      <w:marBottom w:val="120"/>
      <w:divBdr>
        <w:top w:val="none" w:sz="0" w:space="0" w:color="auto"/>
        <w:left w:val="none" w:sz="0" w:space="0" w:color="auto"/>
        <w:bottom w:val="none" w:sz="0" w:space="0" w:color="auto"/>
        <w:right w:val="none" w:sz="0" w:space="0" w:color="auto"/>
      </w:divBdr>
    </w:div>
    <w:div w:id="749349825">
      <w:marLeft w:val="0"/>
      <w:marRight w:val="0"/>
      <w:marTop w:val="120"/>
      <w:marBottom w:val="120"/>
      <w:divBdr>
        <w:top w:val="none" w:sz="0" w:space="0" w:color="auto"/>
        <w:left w:val="none" w:sz="0" w:space="0" w:color="auto"/>
        <w:bottom w:val="none" w:sz="0" w:space="0" w:color="auto"/>
        <w:right w:val="none" w:sz="0" w:space="0" w:color="auto"/>
      </w:divBdr>
    </w:div>
    <w:div w:id="769085406">
      <w:marLeft w:val="0"/>
      <w:marRight w:val="0"/>
      <w:marTop w:val="120"/>
      <w:marBottom w:val="120"/>
      <w:divBdr>
        <w:top w:val="none" w:sz="0" w:space="0" w:color="auto"/>
        <w:left w:val="none" w:sz="0" w:space="0" w:color="auto"/>
        <w:bottom w:val="none" w:sz="0" w:space="0" w:color="auto"/>
        <w:right w:val="none" w:sz="0" w:space="0" w:color="auto"/>
      </w:divBdr>
    </w:div>
    <w:div w:id="773747244">
      <w:marLeft w:val="0"/>
      <w:marRight w:val="0"/>
      <w:marTop w:val="120"/>
      <w:marBottom w:val="60"/>
      <w:divBdr>
        <w:top w:val="none" w:sz="0" w:space="0" w:color="auto"/>
        <w:left w:val="none" w:sz="0" w:space="0" w:color="auto"/>
        <w:bottom w:val="none" w:sz="0" w:space="0" w:color="auto"/>
        <w:right w:val="none" w:sz="0" w:space="0" w:color="auto"/>
      </w:divBdr>
    </w:div>
    <w:div w:id="775633715">
      <w:marLeft w:val="0"/>
      <w:marRight w:val="0"/>
      <w:marTop w:val="120"/>
      <w:marBottom w:val="120"/>
      <w:divBdr>
        <w:top w:val="none" w:sz="0" w:space="0" w:color="auto"/>
        <w:left w:val="none" w:sz="0" w:space="0" w:color="auto"/>
        <w:bottom w:val="none" w:sz="0" w:space="0" w:color="auto"/>
        <w:right w:val="none" w:sz="0" w:space="0" w:color="auto"/>
      </w:divBdr>
    </w:div>
    <w:div w:id="778135607">
      <w:marLeft w:val="0"/>
      <w:marRight w:val="0"/>
      <w:marTop w:val="120"/>
      <w:marBottom w:val="120"/>
      <w:divBdr>
        <w:top w:val="none" w:sz="0" w:space="0" w:color="auto"/>
        <w:left w:val="none" w:sz="0" w:space="0" w:color="auto"/>
        <w:bottom w:val="none" w:sz="0" w:space="0" w:color="auto"/>
        <w:right w:val="none" w:sz="0" w:space="0" w:color="auto"/>
      </w:divBdr>
      <w:divsChild>
        <w:div w:id="1924562481">
          <w:marLeft w:val="0"/>
          <w:marRight w:val="0"/>
          <w:marTop w:val="0"/>
          <w:marBottom w:val="0"/>
          <w:divBdr>
            <w:top w:val="none" w:sz="0" w:space="0" w:color="auto"/>
            <w:left w:val="none" w:sz="0" w:space="0" w:color="auto"/>
            <w:bottom w:val="none" w:sz="0" w:space="0" w:color="auto"/>
            <w:right w:val="none" w:sz="0" w:space="0" w:color="auto"/>
          </w:divBdr>
        </w:div>
      </w:divsChild>
    </w:div>
    <w:div w:id="779105890">
      <w:marLeft w:val="0"/>
      <w:marRight w:val="0"/>
      <w:marTop w:val="120"/>
      <w:marBottom w:val="120"/>
      <w:divBdr>
        <w:top w:val="none" w:sz="0" w:space="0" w:color="auto"/>
        <w:left w:val="none" w:sz="0" w:space="0" w:color="auto"/>
        <w:bottom w:val="none" w:sz="0" w:space="0" w:color="auto"/>
        <w:right w:val="none" w:sz="0" w:space="0" w:color="auto"/>
      </w:divBdr>
    </w:div>
    <w:div w:id="780301400">
      <w:marLeft w:val="0"/>
      <w:marRight w:val="0"/>
      <w:marTop w:val="120"/>
      <w:marBottom w:val="120"/>
      <w:divBdr>
        <w:top w:val="none" w:sz="0" w:space="0" w:color="auto"/>
        <w:left w:val="none" w:sz="0" w:space="0" w:color="auto"/>
        <w:bottom w:val="none" w:sz="0" w:space="0" w:color="auto"/>
        <w:right w:val="none" w:sz="0" w:space="0" w:color="auto"/>
      </w:divBdr>
    </w:div>
    <w:div w:id="781924968">
      <w:marLeft w:val="0"/>
      <w:marRight w:val="0"/>
      <w:marTop w:val="120"/>
      <w:marBottom w:val="120"/>
      <w:divBdr>
        <w:top w:val="none" w:sz="0" w:space="0" w:color="auto"/>
        <w:left w:val="none" w:sz="0" w:space="0" w:color="auto"/>
        <w:bottom w:val="none" w:sz="0" w:space="0" w:color="auto"/>
        <w:right w:val="none" w:sz="0" w:space="0" w:color="auto"/>
      </w:divBdr>
    </w:div>
    <w:div w:id="782841836">
      <w:marLeft w:val="0"/>
      <w:marRight w:val="0"/>
      <w:marTop w:val="120"/>
      <w:marBottom w:val="120"/>
      <w:divBdr>
        <w:top w:val="none" w:sz="0" w:space="0" w:color="auto"/>
        <w:left w:val="none" w:sz="0" w:space="0" w:color="auto"/>
        <w:bottom w:val="none" w:sz="0" w:space="0" w:color="auto"/>
        <w:right w:val="none" w:sz="0" w:space="0" w:color="auto"/>
      </w:divBdr>
    </w:div>
    <w:div w:id="784927850">
      <w:marLeft w:val="0"/>
      <w:marRight w:val="0"/>
      <w:marTop w:val="120"/>
      <w:marBottom w:val="20"/>
      <w:divBdr>
        <w:top w:val="none" w:sz="0" w:space="0" w:color="auto"/>
        <w:left w:val="none" w:sz="0" w:space="0" w:color="auto"/>
        <w:bottom w:val="none" w:sz="0" w:space="0" w:color="auto"/>
        <w:right w:val="none" w:sz="0" w:space="0" w:color="auto"/>
      </w:divBdr>
    </w:div>
    <w:div w:id="793475494">
      <w:marLeft w:val="0"/>
      <w:marRight w:val="0"/>
      <w:marTop w:val="0"/>
      <w:marBottom w:val="0"/>
      <w:divBdr>
        <w:top w:val="none" w:sz="0" w:space="0" w:color="auto"/>
        <w:left w:val="none" w:sz="0" w:space="0" w:color="auto"/>
        <w:bottom w:val="none" w:sz="0" w:space="0" w:color="auto"/>
        <w:right w:val="none" w:sz="0" w:space="0" w:color="auto"/>
      </w:divBdr>
      <w:divsChild>
        <w:div w:id="875776830">
          <w:marLeft w:val="0"/>
          <w:marRight w:val="0"/>
          <w:marTop w:val="0"/>
          <w:marBottom w:val="0"/>
          <w:divBdr>
            <w:top w:val="none" w:sz="0" w:space="0" w:color="auto"/>
            <w:left w:val="none" w:sz="0" w:space="0" w:color="auto"/>
            <w:bottom w:val="none" w:sz="0" w:space="0" w:color="auto"/>
            <w:right w:val="none" w:sz="0" w:space="0" w:color="auto"/>
          </w:divBdr>
          <w:divsChild>
            <w:div w:id="18976926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5484774">
      <w:marLeft w:val="0"/>
      <w:marRight w:val="0"/>
      <w:marTop w:val="120"/>
      <w:marBottom w:val="120"/>
      <w:divBdr>
        <w:top w:val="none" w:sz="0" w:space="0" w:color="auto"/>
        <w:left w:val="none" w:sz="0" w:space="0" w:color="auto"/>
        <w:bottom w:val="none" w:sz="0" w:space="0" w:color="auto"/>
        <w:right w:val="none" w:sz="0" w:space="0" w:color="auto"/>
      </w:divBdr>
    </w:div>
    <w:div w:id="798500733">
      <w:marLeft w:val="0"/>
      <w:marRight w:val="0"/>
      <w:marTop w:val="120"/>
      <w:marBottom w:val="120"/>
      <w:divBdr>
        <w:top w:val="none" w:sz="0" w:space="0" w:color="auto"/>
        <w:left w:val="none" w:sz="0" w:space="0" w:color="auto"/>
        <w:bottom w:val="none" w:sz="0" w:space="0" w:color="auto"/>
        <w:right w:val="none" w:sz="0" w:space="0" w:color="auto"/>
      </w:divBdr>
    </w:div>
    <w:div w:id="799760840">
      <w:marLeft w:val="0"/>
      <w:marRight w:val="0"/>
      <w:marTop w:val="120"/>
      <w:marBottom w:val="120"/>
      <w:divBdr>
        <w:top w:val="none" w:sz="0" w:space="0" w:color="auto"/>
        <w:left w:val="none" w:sz="0" w:space="0" w:color="auto"/>
        <w:bottom w:val="none" w:sz="0" w:space="0" w:color="auto"/>
        <w:right w:val="none" w:sz="0" w:space="0" w:color="auto"/>
      </w:divBdr>
    </w:div>
    <w:div w:id="800807866">
      <w:marLeft w:val="0"/>
      <w:marRight w:val="0"/>
      <w:marTop w:val="120"/>
      <w:marBottom w:val="120"/>
      <w:divBdr>
        <w:top w:val="none" w:sz="0" w:space="0" w:color="auto"/>
        <w:left w:val="none" w:sz="0" w:space="0" w:color="auto"/>
        <w:bottom w:val="none" w:sz="0" w:space="0" w:color="auto"/>
        <w:right w:val="none" w:sz="0" w:space="0" w:color="auto"/>
      </w:divBdr>
    </w:div>
    <w:div w:id="801846450">
      <w:marLeft w:val="0"/>
      <w:marRight w:val="0"/>
      <w:marTop w:val="120"/>
      <w:marBottom w:val="120"/>
      <w:divBdr>
        <w:top w:val="none" w:sz="0" w:space="0" w:color="auto"/>
        <w:left w:val="none" w:sz="0" w:space="0" w:color="auto"/>
        <w:bottom w:val="none" w:sz="0" w:space="0" w:color="auto"/>
        <w:right w:val="none" w:sz="0" w:space="0" w:color="auto"/>
      </w:divBdr>
    </w:div>
    <w:div w:id="803817122">
      <w:marLeft w:val="0"/>
      <w:marRight w:val="0"/>
      <w:marTop w:val="120"/>
      <w:marBottom w:val="120"/>
      <w:divBdr>
        <w:top w:val="none" w:sz="0" w:space="0" w:color="auto"/>
        <w:left w:val="none" w:sz="0" w:space="0" w:color="auto"/>
        <w:bottom w:val="none" w:sz="0" w:space="0" w:color="auto"/>
        <w:right w:val="none" w:sz="0" w:space="0" w:color="auto"/>
      </w:divBdr>
    </w:div>
    <w:div w:id="814100255">
      <w:marLeft w:val="0"/>
      <w:marRight w:val="0"/>
      <w:marTop w:val="120"/>
      <w:marBottom w:val="60"/>
      <w:divBdr>
        <w:top w:val="none" w:sz="0" w:space="0" w:color="auto"/>
        <w:left w:val="none" w:sz="0" w:space="0" w:color="auto"/>
        <w:bottom w:val="none" w:sz="0" w:space="0" w:color="auto"/>
        <w:right w:val="none" w:sz="0" w:space="0" w:color="auto"/>
      </w:divBdr>
    </w:div>
    <w:div w:id="814877886">
      <w:marLeft w:val="0"/>
      <w:marRight w:val="0"/>
      <w:marTop w:val="120"/>
      <w:marBottom w:val="120"/>
      <w:divBdr>
        <w:top w:val="none" w:sz="0" w:space="0" w:color="auto"/>
        <w:left w:val="none" w:sz="0" w:space="0" w:color="auto"/>
        <w:bottom w:val="none" w:sz="0" w:space="0" w:color="auto"/>
        <w:right w:val="none" w:sz="0" w:space="0" w:color="auto"/>
      </w:divBdr>
    </w:div>
    <w:div w:id="817453287">
      <w:marLeft w:val="0"/>
      <w:marRight w:val="0"/>
      <w:marTop w:val="120"/>
      <w:marBottom w:val="120"/>
      <w:divBdr>
        <w:top w:val="none" w:sz="0" w:space="0" w:color="auto"/>
        <w:left w:val="none" w:sz="0" w:space="0" w:color="auto"/>
        <w:bottom w:val="none" w:sz="0" w:space="0" w:color="auto"/>
        <w:right w:val="none" w:sz="0" w:space="0" w:color="auto"/>
      </w:divBdr>
    </w:div>
    <w:div w:id="830365835">
      <w:marLeft w:val="0"/>
      <w:marRight w:val="0"/>
      <w:marTop w:val="60"/>
      <w:marBottom w:val="60"/>
      <w:divBdr>
        <w:top w:val="none" w:sz="0" w:space="0" w:color="auto"/>
        <w:left w:val="none" w:sz="0" w:space="0" w:color="auto"/>
        <w:bottom w:val="none" w:sz="0" w:space="0" w:color="auto"/>
        <w:right w:val="none" w:sz="0" w:space="0" w:color="auto"/>
      </w:divBdr>
    </w:div>
    <w:div w:id="839586635">
      <w:marLeft w:val="0"/>
      <w:marRight w:val="0"/>
      <w:marTop w:val="120"/>
      <w:marBottom w:val="120"/>
      <w:divBdr>
        <w:top w:val="none" w:sz="0" w:space="0" w:color="auto"/>
        <w:left w:val="none" w:sz="0" w:space="0" w:color="auto"/>
        <w:bottom w:val="none" w:sz="0" w:space="0" w:color="auto"/>
        <w:right w:val="none" w:sz="0" w:space="0" w:color="auto"/>
      </w:divBdr>
    </w:div>
    <w:div w:id="843473470">
      <w:marLeft w:val="0"/>
      <w:marRight w:val="0"/>
      <w:marTop w:val="120"/>
      <w:marBottom w:val="120"/>
      <w:divBdr>
        <w:top w:val="none" w:sz="0" w:space="0" w:color="auto"/>
        <w:left w:val="none" w:sz="0" w:space="0" w:color="auto"/>
        <w:bottom w:val="none" w:sz="0" w:space="0" w:color="auto"/>
        <w:right w:val="none" w:sz="0" w:space="0" w:color="auto"/>
      </w:divBdr>
    </w:div>
    <w:div w:id="849755048">
      <w:marLeft w:val="0"/>
      <w:marRight w:val="0"/>
      <w:marTop w:val="0"/>
      <w:marBottom w:val="0"/>
      <w:divBdr>
        <w:top w:val="none" w:sz="0" w:space="0" w:color="auto"/>
        <w:left w:val="none" w:sz="0" w:space="0" w:color="auto"/>
        <w:bottom w:val="none" w:sz="0" w:space="0" w:color="auto"/>
        <w:right w:val="none" w:sz="0" w:space="0" w:color="auto"/>
      </w:divBdr>
      <w:divsChild>
        <w:div w:id="2036271956">
          <w:marLeft w:val="0"/>
          <w:marRight w:val="0"/>
          <w:marTop w:val="120"/>
          <w:marBottom w:val="120"/>
          <w:divBdr>
            <w:top w:val="none" w:sz="0" w:space="0" w:color="auto"/>
            <w:left w:val="none" w:sz="0" w:space="0" w:color="auto"/>
            <w:bottom w:val="none" w:sz="0" w:space="0" w:color="auto"/>
            <w:right w:val="none" w:sz="0" w:space="0" w:color="auto"/>
          </w:divBdr>
        </w:div>
        <w:div w:id="410933115">
          <w:marLeft w:val="0"/>
          <w:marRight w:val="0"/>
          <w:marTop w:val="120"/>
          <w:marBottom w:val="120"/>
          <w:divBdr>
            <w:top w:val="none" w:sz="0" w:space="0" w:color="auto"/>
            <w:left w:val="none" w:sz="0" w:space="0" w:color="auto"/>
            <w:bottom w:val="none" w:sz="0" w:space="0" w:color="auto"/>
            <w:right w:val="none" w:sz="0" w:space="0" w:color="auto"/>
          </w:divBdr>
        </w:div>
      </w:divsChild>
    </w:div>
    <w:div w:id="852652737">
      <w:marLeft w:val="0"/>
      <w:marRight w:val="0"/>
      <w:marTop w:val="120"/>
      <w:marBottom w:val="60"/>
      <w:divBdr>
        <w:top w:val="none" w:sz="0" w:space="0" w:color="auto"/>
        <w:left w:val="none" w:sz="0" w:space="0" w:color="auto"/>
        <w:bottom w:val="none" w:sz="0" w:space="0" w:color="auto"/>
        <w:right w:val="none" w:sz="0" w:space="0" w:color="auto"/>
      </w:divBdr>
    </w:div>
    <w:div w:id="858467085">
      <w:marLeft w:val="0"/>
      <w:marRight w:val="0"/>
      <w:marTop w:val="0"/>
      <w:marBottom w:val="0"/>
      <w:divBdr>
        <w:top w:val="none" w:sz="0" w:space="0" w:color="auto"/>
        <w:left w:val="none" w:sz="0" w:space="0" w:color="auto"/>
        <w:bottom w:val="none" w:sz="0" w:space="0" w:color="auto"/>
        <w:right w:val="none" w:sz="0" w:space="0" w:color="auto"/>
      </w:divBdr>
      <w:divsChild>
        <w:div w:id="2042779664">
          <w:marLeft w:val="0"/>
          <w:marRight w:val="0"/>
          <w:marTop w:val="120"/>
          <w:marBottom w:val="120"/>
          <w:divBdr>
            <w:top w:val="none" w:sz="0" w:space="0" w:color="auto"/>
            <w:left w:val="none" w:sz="0" w:space="0" w:color="auto"/>
            <w:bottom w:val="none" w:sz="0" w:space="0" w:color="auto"/>
            <w:right w:val="none" w:sz="0" w:space="0" w:color="auto"/>
          </w:divBdr>
        </w:div>
        <w:div w:id="1834565314">
          <w:marLeft w:val="0"/>
          <w:marRight w:val="0"/>
          <w:marTop w:val="120"/>
          <w:marBottom w:val="120"/>
          <w:divBdr>
            <w:top w:val="none" w:sz="0" w:space="0" w:color="auto"/>
            <w:left w:val="none" w:sz="0" w:space="0" w:color="auto"/>
            <w:bottom w:val="none" w:sz="0" w:space="0" w:color="auto"/>
            <w:right w:val="none" w:sz="0" w:space="0" w:color="auto"/>
          </w:divBdr>
        </w:div>
      </w:divsChild>
    </w:div>
    <w:div w:id="865944351">
      <w:marLeft w:val="0"/>
      <w:marRight w:val="0"/>
      <w:marTop w:val="120"/>
      <w:marBottom w:val="120"/>
      <w:divBdr>
        <w:top w:val="none" w:sz="0" w:space="0" w:color="auto"/>
        <w:left w:val="none" w:sz="0" w:space="0" w:color="auto"/>
        <w:bottom w:val="none" w:sz="0" w:space="0" w:color="auto"/>
        <w:right w:val="none" w:sz="0" w:space="0" w:color="auto"/>
      </w:divBdr>
    </w:div>
    <w:div w:id="874192706">
      <w:marLeft w:val="0"/>
      <w:marRight w:val="0"/>
      <w:marTop w:val="120"/>
      <w:marBottom w:val="120"/>
      <w:divBdr>
        <w:top w:val="none" w:sz="0" w:space="0" w:color="auto"/>
        <w:left w:val="none" w:sz="0" w:space="0" w:color="auto"/>
        <w:bottom w:val="none" w:sz="0" w:space="0" w:color="auto"/>
        <w:right w:val="none" w:sz="0" w:space="0" w:color="auto"/>
      </w:divBdr>
    </w:div>
    <w:div w:id="876894941">
      <w:marLeft w:val="0"/>
      <w:marRight w:val="0"/>
      <w:marTop w:val="0"/>
      <w:marBottom w:val="0"/>
      <w:divBdr>
        <w:top w:val="none" w:sz="0" w:space="0" w:color="auto"/>
        <w:left w:val="none" w:sz="0" w:space="0" w:color="auto"/>
        <w:bottom w:val="none" w:sz="0" w:space="0" w:color="auto"/>
        <w:right w:val="none" w:sz="0" w:space="0" w:color="auto"/>
      </w:divBdr>
      <w:divsChild>
        <w:div w:id="30959998">
          <w:marLeft w:val="0"/>
          <w:marRight w:val="0"/>
          <w:marTop w:val="0"/>
          <w:marBottom w:val="0"/>
          <w:divBdr>
            <w:top w:val="none" w:sz="0" w:space="0" w:color="auto"/>
            <w:left w:val="none" w:sz="0" w:space="0" w:color="auto"/>
            <w:bottom w:val="none" w:sz="0" w:space="0" w:color="auto"/>
            <w:right w:val="none" w:sz="0" w:space="0" w:color="auto"/>
          </w:divBdr>
          <w:divsChild>
            <w:div w:id="7029012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1018735">
      <w:marLeft w:val="0"/>
      <w:marRight w:val="0"/>
      <w:marTop w:val="120"/>
      <w:marBottom w:val="120"/>
      <w:divBdr>
        <w:top w:val="none" w:sz="0" w:space="0" w:color="auto"/>
        <w:left w:val="none" w:sz="0" w:space="0" w:color="auto"/>
        <w:bottom w:val="none" w:sz="0" w:space="0" w:color="auto"/>
        <w:right w:val="none" w:sz="0" w:space="0" w:color="auto"/>
      </w:divBdr>
    </w:div>
    <w:div w:id="881477877">
      <w:marLeft w:val="0"/>
      <w:marRight w:val="0"/>
      <w:marTop w:val="120"/>
      <w:marBottom w:val="60"/>
      <w:divBdr>
        <w:top w:val="none" w:sz="0" w:space="0" w:color="auto"/>
        <w:left w:val="none" w:sz="0" w:space="0" w:color="auto"/>
        <w:bottom w:val="none" w:sz="0" w:space="0" w:color="auto"/>
        <w:right w:val="none" w:sz="0" w:space="0" w:color="auto"/>
      </w:divBdr>
    </w:div>
    <w:div w:id="886449058">
      <w:marLeft w:val="0"/>
      <w:marRight w:val="0"/>
      <w:marTop w:val="120"/>
      <w:marBottom w:val="120"/>
      <w:divBdr>
        <w:top w:val="none" w:sz="0" w:space="0" w:color="auto"/>
        <w:left w:val="none" w:sz="0" w:space="0" w:color="auto"/>
        <w:bottom w:val="none" w:sz="0" w:space="0" w:color="auto"/>
        <w:right w:val="none" w:sz="0" w:space="0" w:color="auto"/>
      </w:divBdr>
    </w:div>
    <w:div w:id="888035814">
      <w:marLeft w:val="0"/>
      <w:marRight w:val="0"/>
      <w:marTop w:val="0"/>
      <w:marBottom w:val="0"/>
      <w:divBdr>
        <w:top w:val="none" w:sz="0" w:space="0" w:color="auto"/>
        <w:left w:val="none" w:sz="0" w:space="0" w:color="auto"/>
        <w:bottom w:val="none" w:sz="0" w:space="0" w:color="auto"/>
        <w:right w:val="none" w:sz="0" w:space="0" w:color="auto"/>
      </w:divBdr>
      <w:divsChild>
        <w:div w:id="936256506">
          <w:marLeft w:val="0"/>
          <w:marRight w:val="0"/>
          <w:marTop w:val="0"/>
          <w:marBottom w:val="0"/>
          <w:divBdr>
            <w:top w:val="none" w:sz="0" w:space="0" w:color="auto"/>
            <w:left w:val="none" w:sz="0" w:space="0" w:color="auto"/>
            <w:bottom w:val="none" w:sz="0" w:space="0" w:color="auto"/>
            <w:right w:val="none" w:sz="0" w:space="0" w:color="auto"/>
          </w:divBdr>
          <w:divsChild>
            <w:div w:id="175879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6016640">
      <w:marLeft w:val="0"/>
      <w:marRight w:val="0"/>
      <w:marTop w:val="120"/>
      <w:marBottom w:val="120"/>
      <w:divBdr>
        <w:top w:val="none" w:sz="0" w:space="0" w:color="auto"/>
        <w:left w:val="none" w:sz="0" w:space="0" w:color="auto"/>
        <w:bottom w:val="none" w:sz="0" w:space="0" w:color="auto"/>
        <w:right w:val="none" w:sz="0" w:space="0" w:color="auto"/>
      </w:divBdr>
    </w:div>
    <w:div w:id="897783270">
      <w:marLeft w:val="0"/>
      <w:marRight w:val="0"/>
      <w:marTop w:val="180"/>
      <w:marBottom w:val="180"/>
      <w:divBdr>
        <w:top w:val="none" w:sz="0" w:space="0" w:color="auto"/>
        <w:left w:val="none" w:sz="0" w:space="0" w:color="auto"/>
        <w:bottom w:val="none" w:sz="0" w:space="0" w:color="auto"/>
        <w:right w:val="none" w:sz="0" w:space="0" w:color="auto"/>
      </w:divBdr>
    </w:div>
    <w:div w:id="899171365">
      <w:marLeft w:val="0"/>
      <w:marRight w:val="0"/>
      <w:marTop w:val="120"/>
      <w:marBottom w:val="120"/>
      <w:divBdr>
        <w:top w:val="none" w:sz="0" w:space="0" w:color="auto"/>
        <w:left w:val="none" w:sz="0" w:space="0" w:color="auto"/>
        <w:bottom w:val="none" w:sz="0" w:space="0" w:color="auto"/>
        <w:right w:val="none" w:sz="0" w:space="0" w:color="auto"/>
      </w:divBdr>
    </w:div>
    <w:div w:id="920261857">
      <w:marLeft w:val="0"/>
      <w:marRight w:val="0"/>
      <w:marTop w:val="120"/>
      <w:marBottom w:val="60"/>
      <w:divBdr>
        <w:top w:val="none" w:sz="0" w:space="0" w:color="auto"/>
        <w:left w:val="none" w:sz="0" w:space="0" w:color="auto"/>
        <w:bottom w:val="none" w:sz="0" w:space="0" w:color="auto"/>
        <w:right w:val="none" w:sz="0" w:space="0" w:color="auto"/>
      </w:divBdr>
    </w:div>
    <w:div w:id="923413268">
      <w:marLeft w:val="0"/>
      <w:marRight w:val="0"/>
      <w:marTop w:val="120"/>
      <w:marBottom w:val="120"/>
      <w:divBdr>
        <w:top w:val="none" w:sz="0" w:space="0" w:color="auto"/>
        <w:left w:val="none" w:sz="0" w:space="0" w:color="auto"/>
        <w:bottom w:val="none" w:sz="0" w:space="0" w:color="auto"/>
        <w:right w:val="none" w:sz="0" w:space="0" w:color="auto"/>
      </w:divBdr>
    </w:div>
    <w:div w:id="924800996">
      <w:marLeft w:val="0"/>
      <w:marRight w:val="0"/>
      <w:marTop w:val="120"/>
      <w:marBottom w:val="120"/>
      <w:divBdr>
        <w:top w:val="none" w:sz="0" w:space="0" w:color="auto"/>
        <w:left w:val="none" w:sz="0" w:space="0" w:color="auto"/>
        <w:bottom w:val="none" w:sz="0" w:space="0" w:color="auto"/>
        <w:right w:val="none" w:sz="0" w:space="0" w:color="auto"/>
      </w:divBdr>
    </w:div>
    <w:div w:id="925772882">
      <w:marLeft w:val="0"/>
      <w:marRight w:val="0"/>
      <w:marTop w:val="60"/>
      <w:marBottom w:val="60"/>
      <w:divBdr>
        <w:top w:val="none" w:sz="0" w:space="0" w:color="auto"/>
        <w:left w:val="none" w:sz="0" w:space="0" w:color="auto"/>
        <w:bottom w:val="none" w:sz="0" w:space="0" w:color="auto"/>
        <w:right w:val="none" w:sz="0" w:space="0" w:color="auto"/>
      </w:divBdr>
    </w:div>
    <w:div w:id="942421132">
      <w:marLeft w:val="0"/>
      <w:marRight w:val="0"/>
      <w:marTop w:val="120"/>
      <w:marBottom w:val="60"/>
      <w:divBdr>
        <w:top w:val="none" w:sz="0" w:space="0" w:color="auto"/>
        <w:left w:val="none" w:sz="0" w:space="0" w:color="auto"/>
        <w:bottom w:val="none" w:sz="0" w:space="0" w:color="auto"/>
        <w:right w:val="none" w:sz="0" w:space="0" w:color="auto"/>
      </w:divBdr>
    </w:div>
    <w:div w:id="944311607">
      <w:marLeft w:val="0"/>
      <w:marRight w:val="0"/>
      <w:marTop w:val="0"/>
      <w:marBottom w:val="0"/>
      <w:divBdr>
        <w:top w:val="none" w:sz="0" w:space="0" w:color="auto"/>
        <w:left w:val="none" w:sz="0" w:space="0" w:color="auto"/>
        <w:bottom w:val="none" w:sz="0" w:space="0" w:color="auto"/>
        <w:right w:val="none" w:sz="0" w:space="0" w:color="auto"/>
      </w:divBdr>
      <w:divsChild>
        <w:div w:id="1569608584">
          <w:marLeft w:val="0"/>
          <w:marRight w:val="0"/>
          <w:marTop w:val="0"/>
          <w:marBottom w:val="0"/>
          <w:divBdr>
            <w:top w:val="none" w:sz="0" w:space="0" w:color="auto"/>
            <w:left w:val="none" w:sz="0" w:space="0" w:color="auto"/>
            <w:bottom w:val="none" w:sz="0" w:space="0" w:color="auto"/>
            <w:right w:val="none" w:sz="0" w:space="0" w:color="auto"/>
          </w:divBdr>
          <w:divsChild>
            <w:div w:id="8144919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48780139">
      <w:marLeft w:val="0"/>
      <w:marRight w:val="0"/>
      <w:marTop w:val="120"/>
      <w:marBottom w:val="120"/>
      <w:divBdr>
        <w:top w:val="none" w:sz="0" w:space="0" w:color="auto"/>
        <w:left w:val="none" w:sz="0" w:space="0" w:color="auto"/>
        <w:bottom w:val="none" w:sz="0" w:space="0" w:color="auto"/>
        <w:right w:val="none" w:sz="0" w:space="0" w:color="auto"/>
      </w:divBdr>
    </w:div>
    <w:div w:id="950553428">
      <w:marLeft w:val="0"/>
      <w:marRight w:val="0"/>
      <w:marTop w:val="120"/>
      <w:marBottom w:val="120"/>
      <w:divBdr>
        <w:top w:val="none" w:sz="0" w:space="0" w:color="auto"/>
        <w:left w:val="none" w:sz="0" w:space="0" w:color="auto"/>
        <w:bottom w:val="none" w:sz="0" w:space="0" w:color="auto"/>
        <w:right w:val="none" w:sz="0" w:space="0" w:color="auto"/>
      </w:divBdr>
    </w:div>
    <w:div w:id="955452649">
      <w:marLeft w:val="0"/>
      <w:marRight w:val="0"/>
      <w:marTop w:val="120"/>
      <w:marBottom w:val="120"/>
      <w:divBdr>
        <w:top w:val="none" w:sz="0" w:space="0" w:color="auto"/>
        <w:left w:val="none" w:sz="0" w:space="0" w:color="auto"/>
        <w:bottom w:val="none" w:sz="0" w:space="0" w:color="auto"/>
        <w:right w:val="none" w:sz="0" w:space="0" w:color="auto"/>
      </w:divBdr>
    </w:div>
    <w:div w:id="965546872">
      <w:marLeft w:val="0"/>
      <w:marRight w:val="0"/>
      <w:marTop w:val="120"/>
      <w:marBottom w:val="120"/>
      <w:divBdr>
        <w:top w:val="none" w:sz="0" w:space="0" w:color="auto"/>
        <w:left w:val="none" w:sz="0" w:space="0" w:color="auto"/>
        <w:bottom w:val="none" w:sz="0" w:space="0" w:color="auto"/>
        <w:right w:val="none" w:sz="0" w:space="0" w:color="auto"/>
      </w:divBdr>
    </w:div>
    <w:div w:id="968896975">
      <w:marLeft w:val="0"/>
      <w:marRight w:val="0"/>
      <w:marTop w:val="120"/>
      <w:marBottom w:val="120"/>
      <w:divBdr>
        <w:top w:val="none" w:sz="0" w:space="0" w:color="auto"/>
        <w:left w:val="none" w:sz="0" w:space="0" w:color="auto"/>
        <w:bottom w:val="none" w:sz="0" w:space="0" w:color="auto"/>
        <w:right w:val="none" w:sz="0" w:space="0" w:color="auto"/>
      </w:divBdr>
    </w:div>
    <w:div w:id="972096384">
      <w:marLeft w:val="0"/>
      <w:marRight w:val="0"/>
      <w:marTop w:val="120"/>
      <w:marBottom w:val="120"/>
      <w:divBdr>
        <w:top w:val="none" w:sz="0" w:space="0" w:color="auto"/>
        <w:left w:val="none" w:sz="0" w:space="0" w:color="auto"/>
        <w:bottom w:val="none" w:sz="0" w:space="0" w:color="auto"/>
        <w:right w:val="none" w:sz="0" w:space="0" w:color="auto"/>
      </w:divBdr>
    </w:div>
    <w:div w:id="972635025">
      <w:marLeft w:val="0"/>
      <w:marRight w:val="0"/>
      <w:marTop w:val="120"/>
      <w:marBottom w:val="120"/>
      <w:divBdr>
        <w:top w:val="none" w:sz="0" w:space="0" w:color="auto"/>
        <w:left w:val="none" w:sz="0" w:space="0" w:color="auto"/>
        <w:bottom w:val="none" w:sz="0" w:space="0" w:color="auto"/>
        <w:right w:val="none" w:sz="0" w:space="0" w:color="auto"/>
      </w:divBdr>
    </w:div>
    <w:div w:id="976841516">
      <w:marLeft w:val="0"/>
      <w:marRight w:val="0"/>
      <w:marTop w:val="120"/>
      <w:marBottom w:val="120"/>
      <w:divBdr>
        <w:top w:val="none" w:sz="0" w:space="0" w:color="auto"/>
        <w:left w:val="none" w:sz="0" w:space="0" w:color="auto"/>
        <w:bottom w:val="none" w:sz="0" w:space="0" w:color="auto"/>
        <w:right w:val="none" w:sz="0" w:space="0" w:color="auto"/>
      </w:divBdr>
    </w:div>
    <w:div w:id="978191555">
      <w:marLeft w:val="0"/>
      <w:marRight w:val="0"/>
      <w:marTop w:val="0"/>
      <w:marBottom w:val="0"/>
      <w:divBdr>
        <w:top w:val="none" w:sz="0" w:space="0" w:color="auto"/>
        <w:left w:val="none" w:sz="0" w:space="0" w:color="auto"/>
        <w:bottom w:val="none" w:sz="0" w:space="0" w:color="auto"/>
        <w:right w:val="none" w:sz="0" w:space="0" w:color="auto"/>
      </w:divBdr>
      <w:divsChild>
        <w:div w:id="2032609865">
          <w:marLeft w:val="0"/>
          <w:marRight w:val="0"/>
          <w:marTop w:val="120"/>
          <w:marBottom w:val="120"/>
          <w:divBdr>
            <w:top w:val="none" w:sz="0" w:space="0" w:color="auto"/>
            <w:left w:val="none" w:sz="0" w:space="0" w:color="auto"/>
            <w:bottom w:val="none" w:sz="0" w:space="0" w:color="auto"/>
            <w:right w:val="none" w:sz="0" w:space="0" w:color="auto"/>
          </w:divBdr>
        </w:div>
        <w:div w:id="1053430360">
          <w:marLeft w:val="0"/>
          <w:marRight w:val="0"/>
          <w:marTop w:val="120"/>
          <w:marBottom w:val="120"/>
          <w:divBdr>
            <w:top w:val="none" w:sz="0" w:space="0" w:color="auto"/>
            <w:left w:val="none" w:sz="0" w:space="0" w:color="auto"/>
            <w:bottom w:val="none" w:sz="0" w:space="0" w:color="auto"/>
            <w:right w:val="none" w:sz="0" w:space="0" w:color="auto"/>
          </w:divBdr>
        </w:div>
      </w:divsChild>
    </w:div>
    <w:div w:id="980499281">
      <w:marLeft w:val="0"/>
      <w:marRight w:val="0"/>
      <w:marTop w:val="120"/>
      <w:marBottom w:val="120"/>
      <w:divBdr>
        <w:top w:val="none" w:sz="0" w:space="0" w:color="auto"/>
        <w:left w:val="none" w:sz="0" w:space="0" w:color="auto"/>
        <w:bottom w:val="none" w:sz="0" w:space="0" w:color="auto"/>
        <w:right w:val="none" w:sz="0" w:space="0" w:color="auto"/>
      </w:divBdr>
    </w:div>
    <w:div w:id="981812500">
      <w:marLeft w:val="0"/>
      <w:marRight w:val="0"/>
      <w:marTop w:val="120"/>
      <w:marBottom w:val="120"/>
      <w:divBdr>
        <w:top w:val="none" w:sz="0" w:space="0" w:color="auto"/>
        <w:left w:val="none" w:sz="0" w:space="0" w:color="auto"/>
        <w:bottom w:val="none" w:sz="0" w:space="0" w:color="auto"/>
        <w:right w:val="none" w:sz="0" w:space="0" w:color="auto"/>
      </w:divBdr>
    </w:div>
    <w:div w:id="982926987">
      <w:marLeft w:val="0"/>
      <w:marRight w:val="0"/>
      <w:marTop w:val="0"/>
      <w:marBottom w:val="0"/>
      <w:divBdr>
        <w:top w:val="none" w:sz="0" w:space="0" w:color="auto"/>
        <w:left w:val="none" w:sz="0" w:space="0" w:color="auto"/>
        <w:bottom w:val="none" w:sz="0" w:space="0" w:color="auto"/>
        <w:right w:val="none" w:sz="0" w:space="0" w:color="auto"/>
      </w:divBdr>
      <w:divsChild>
        <w:div w:id="1075398532">
          <w:marLeft w:val="0"/>
          <w:marRight w:val="0"/>
          <w:marTop w:val="0"/>
          <w:marBottom w:val="0"/>
          <w:divBdr>
            <w:top w:val="none" w:sz="0" w:space="0" w:color="auto"/>
            <w:left w:val="none" w:sz="0" w:space="0" w:color="auto"/>
            <w:bottom w:val="none" w:sz="0" w:space="0" w:color="auto"/>
            <w:right w:val="none" w:sz="0" w:space="0" w:color="auto"/>
          </w:divBdr>
          <w:divsChild>
            <w:div w:id="8622815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3680178">
      <w:marLeft w:val="0"/>
      <w:marRight w:val="0"/>
      <w:marTop w:val="120"/>
      <w:marBottom w:val="120"/>
      <w:divBdr>
        <w:top w:val="none" w:sz="0" w:space="0" w:color="auto"/>
        <w:left w:val="none" w:sz="0" w:space="0" w:color="auto"/>
        <w:bottom w:val="none" w:sz="0" w:space="0" w:color="auto"/>
        <w:right w:val="none" w:sz="0" w:space="0" w:color="auto"/>
      </w:divBdr>
    </w:div>
    <w:div w:id="993947750">
      <w:marLeft w:val="0"/>
      <w:marRight w:val="0"/>
      <w:marTop w:val="120"/>
      <w:marBottom w:val="120"/>
      <w:divBdr>
        <w:top w:val="none" w:sz="0" w:space="0" w:color="auto"/>
        <w:left w:val="none" w:sz="0" w:space="0" w:color="auto"/>
        <w:bottom w:val="none" w:sz="0" w:space="0" w:color="auto"/>
        <w:right w:val="none" w:sz="0" w:space="0" w:color="auto"/>
      </w:divBdr>
    </w:div>
    <w:div w:id="1001740065">
      <w:marLeft w:val="0"/>
      <w:marRight w:val="0"/>
      <w:marTop w:val="120"/>
      <w:marBottom w:val="120"/>
      <w:divBdr>
        <w:top w:val="none" w:sz="0" w:space="0" w:color="auto"/>
        <w:left w:val="none" w:sz="0" w:space="0" w:color="auto"/>
        <w:bottom w:val="none" w:sz="0" w:space="0" w:color="auto"/>
        <w:right w:val="none" w:sz="0" w:space="0" w:color="auto"/>
      </w:divBdr>
    </w:div>
    <w:div w:id="1019041102">
      <w:marLeft w:val="0"/>
      <w:marRight w:val="0"/>
      <w:marTop w:val="120"/>
      <w:marBottom w:val="120"/>
      <w:divBdr>
        <w:top w:val="none" w:sz="0" w:space="0" w:color="auto"/>
        <w:left w:val="none" w:sz="0" w:space="0" w:color="auto"/>
        <w:bottom w:val="none" w:sz="0" w:space="0" w:color="auto"/>
        <w:right w:val="none" w:sz="0" w:space="0" w:color="auto"/>
      </w:divBdr>
    </w:div>
    <w:div w:id="1019892615">
      <w:marLeft w:val="0"/>
      <w:marRight w:val="0"/>
      <w:marTop w:val="0"/>
      <w:marBottom w:val="0"/>
      <w:divBdr>
        <w:top w:val="none" w:sz="0" w:space="0" w:color="auto"/>
        <w:left w:val="none" w:sz="0" w:space="0" w:color="auto"/>
        <w:bottom w:val="none" w:sz="0" w:space="0" w:color="auto"/>
        <w:right w:val="none" w:sz="0" w:space="0" w:color="auto"/>
      </w:divBdr>
      <w:divsChild>
        <w:div w:id="2086759694">
          <w:marLeft w:val="0"/>
          <w:marRight w:val="0"/>
          <w:marTop w:val="120"/>
          <w:marBottom w:val="120"/>
          <w:divBdr>
            <w:top w:val="none" w:sz="0" w:space="0" w:color="auto"/>
            <w:left w:val="none" w:sz="0" w:space="0" w:color="auto"/>
            <w:bottom w:val="none" w:sz="0" w:space="0" w:color="auto"/>
            <w:right w:val="none" w:sz="0" w:space="0" w:color="auto"/>
          </w:divBdr>
        </w:div>
        <w:div w:id="1296451360">
          <w:marLeft w:val="0"/>
          <w:marRight w:val="0"/>
          <w:marTop w:val="120"/>
          <w:marBottom w:val="120"/>
          <w:divBdr>
            <w:top w:val="none" w:sz="0" w:space="0" w:color="auto"/>
            <w:left w:val="none" w:sz="0" w:space="0" w:color="auto"/>
            <w:bottom w:val="none" w:sz="0" w:space="0" w:color="auto"/>
            <w:right w:val="none" w:sz="0" w:space="0" w:color="auto"/>
          </w:divBdr>
        </w:div>
      </w:divsChild>
    </w:div>
    <w:div w:id="1020856382">
      <w:marLeft w:val="0"/>
      <w:marRight w:val="0"/>
      <w:marTop w:val="120"/>
      <w:marBottom w:val="120"/>
      <w:divBdr>
        <w:top w:val="none" w:sz="0" w:space="0" w:color="auto"/>
        <w:left w:val="none" w:sz="0" w:space="0" w:color="auto"/>
        <w:bottom w:val="none" w:sz="0" w:space="0" w:color="auto"/>
        <w:right w:val="none" w:sz="0" w:space="0" w:color="auto"/>
      </w:divBdr>
    </w:div>
    <w:div w:id="1024211982">
      <w:marLeft w:val="0"/>
      <w:marRight w:val="0"/>
      <w:marTop w:val="120"/>
      <w:marBottom w:val="120"/>
      <w:divBdr>
        <w:top w:val="none" w:sz="0" w:space="0" w:color="auto"/>
        <w:left w:val="none" w:sz="0" w:space="0" w:color="auto"/>
        <w:bottom w:val="none" w:sz="0" w:space="0" w:color="auto"/>
        <w:right w:val="none" w:sz="0" w:space="0" w:color="auto"/>
      </w:divBdr>
    </w:div>
    <w:div w:id="1027099595">
      <w:marLeft w:val="0"/>
      <w:marRight w:val="0"/>
      <w:marTop w:val="120"/>
      <w:marBottom w:val="120"/>
      <w:divBdr>
        <w:top w:val="none" w:sz="0" w:space="0" w:color="auto"/>
        <w:left w:val="none" w:sz="0" w:space="0" w:color="auto"/>
        <w:bottom w:val="none" w:sz="0" w:space="0" w:color="auto"/>
        <w:right w:val="none" w:sz="0" w:space="0" w:color="auto"/>
      </w:divBdr>
    </w:div>
    <w:div w:id="1028406650">
      <w:marLeft w:val="0"/>
      <w:marRight w:val="0"/>
      <w:marTop w:val="120"/>
      <w:marBottom w:val="120"/>
      <w:divBdr>
        <w:top w:val="none" w:sz="0" w:space="0" w:color="auto"/>
        <w:left w:val="none" w:sz="0" w:space="0" w:color="auto"/>
        <w:bottom w:val="none" w:sz="0" w:space="0" w:color="auto"/>
        <w:right w:val="none" w:sz="0" w:space="0" w:color="auto"/>
      </w:divBdr>
    </w:div>
    <w:div w:id="1034186188">
      <w:marLeft w:val="0"/>
      <w:marRight w:val="0"/>
      <w:marTop w:val="120"/>
      <w:marBottom w:val="120"/>
      <w:divBdr>
        <w:top w:val="none" w:sz="0" w:space="0" w:color="auto"/>
        <w:left w:val="none" w:sz="0" w:space="0" w:color="auto"/>
        <w:bottom w:val="none" w:sz="0" w:space="0" w:color="auto"/>
        <w:right w:val="none" w:sz="0" w:space="0" w:color="auto"/>
      </w:divBdr>
    </w:div>
    <w:div w:id="1040008325">
      <w:marLeft w:val="0"/>
      <w:marRight w:val="0"/>
      <w:marTop w:val="120"/>
      <w:marBottom w:val="120"/>
      <w:divBdr>
        <w:top w:val="none" w:sz="0" w:space="0" w:color="auto"/>
        <w:left w:val="none" w:sz="0" w:space="0" w:color="auto"/>
        <w:bottom w:val="none" w:sz="0" w:space="0" w:color="auto"/>
        <w:right w:val="none" w:sz="0" w:space="0" w:color="auto"/>
      </w:divBdr>
    </w:div>
    <w:div w:id="1040280970">
      <w:marLeft w:val="0"/>
      <w:marRight w:val="0"/>
      <w:marTop w:val="120"/>
      <w:marBottom w:val="120"/>
      <w:divBdr>
        <w:top w:val="none" w:sz="0" w:space="0" w:color="auto"/>
        <w:left w:val="none" w:sz="0" w:space="0" w:color="auto"/>
        <w:bottom w:val="none" w:sz="0" w:space="0" w:color="auto"/>
        <w:right w:val="none" w:sz="0" w:space="0" w:color="auto"/>
      </w:divBdr>
    </w:div>
    <w:div w:id="1060132802">
      <w:marLeft w:val="0"/>
      <w:marRight w:val="0"/>
      <w:marTop w:val="120"/>
      <w:marBottom w:val="120"/>
      <w:divBdr>
        <w:top w:val="none" w:sz="0" w:space="0" w:color="auto"/>
        <w:left w:val="none" w:sz="0" w:space="0" w:color="auto"/>
        <w:bottom w:val="none" w:sz="0" w:space="0" w:color="auto"/>
        <w:right w:val="none" w:sz="0" w:space="0" w:color="auto"/>
      </w:divBdr>
    </w:div>
    <w:div w:id="1061370146">
      <w:marLeft w:val="0"/>
      <w:marRight w:val="0"/>
      <w:marTop w:val="0"/>
      <w:marBottom w:val="0"/>
      <w:divBdr>
        <w:top w:val="none" w:sz="0" w:space="0" w:color="auto"/>
        <w:left w:val="none" w:sz="0" w:space="0" w:color="auto"/>
        <w:bottom w:val="none" w:sz="0" w:space="0" w:color="auto"/>
        <w:right w:val="none" w:sz="0" w:space="0" w:color="auto"/>
      </w:divBdr>
      <w:divsChild>
        <w:div w:id="34234029">
          <w:marLeft w:val="0"/>
          <w:marRight w:val="0"/>
          <w:marTop w:val="120"/>
          <w:marBottom w:val="120"/>
          <w:divBdr>
            <w:top w:val="none" w:sz="0" w:space="0" w:color="auto"/>
            <w:left w:val="none" w:sz="0" w:space="0" w:color="auto"/>
            <w:bottom w:val="none" w:sz="0" w:space="0" w:color="auto"/>
            <w:right w:val="none" w:sz="0" w:space="0" w:color="auto"/>
          </w:divBdr>
        </w:div>
        <w:div w:id="742683027">
          <w:marLeft w:val="0"/>
          <w:marRight w:val="0"/>
          <w:marTop w:val="120"/>
          <w:marBottom w:val="120"/>
          <w:divBdr>
            <w:top w:val="none" w:sz="0" w:space="0" w:color="auto"/>
            <w:left w:val="none" w:sz="0" w:space="0" w:color="auto"/>
            <w:bottom w:val="none" w:sz="0" w:space="0" w:color="auto"/>
            <w:right w:val="none" w:sz="0" w:space="0" w:color="auto"/>
          </w:divBdr>
        </w:div>
      </w:divsChild>
    </w:div>
    <w:div w:id="1064370791">
      <w:marLeft w:val="0"/>
      <w:marRight w:val="0"/>
      <w:marTop w:val="0"/>
      <w:marBottom w:val="0"/>
      <w:divBdr>
        <w:top w:val="none" w:sz="0" w:space="0" w:color="auto"/>
        <w:left w:val="none" w:sz="0" w:space="0" w:color="auto"/>
        <w:bottom w:val="none" w:sz="0" w:space="0" w:color="auto"/>
        <w:right w:val="none" w:sz="0" w:space="0" w:color="auto"/>
      </w:divBdr>
      <w:divsChild>
        <w:div w:id="1373966528">
          <w:marLeft w:val="0"/>
          <w:marRight w:val="0"/>
          <w:marTop w:val="120"/>
          <w:marBottom w:val="120"/>
          <w:divBdr>
            <w:top w:val="none" w:sz="0" w:space="0" w:color="auto"/>
            <w:left w:val="none" w:sz="0" w:space="0" w:color="auto"/>
            <w:bottom w:val="none" w:sz="0" w:space="0" w:color="auto"/>
            <w:right w:val="none" w:sz="0" w:space="0" w:color="auto"/>
          </w:divBdr>
        </w:div>
        <w:div w:id="479226352">
          <w:marLeft w:val="0"/>
          <w:marRight w:val="0"/>
          <w:marTop w:val="120"/>
          <w:marBottom w:val="120"/>
          <w:divBdr>
            <w:top w:val="none" w:sz="0" w:space="0" w:color="auto"/>
            <w:left w:val="none" w:sz="0" w:space="0" w:color="auto"/>
            <w:bottom w:val="none" w:sz="0" w:space="0" w:color="auto"/>
            <w:right w:val="none" w:sz="0" w:space="0" w:color="auto"/>
          </w:divBdr>
        </w:div>
      </w:divsChild>
    </w:div>
    <w:div w:id="1066414037">
      <w:marLeft w:val="0"/>
      <w:marRight w:val="0"/>
      <w:marTop w:val="0"/>
      <w:marBottom w:val="0"/>
      <w:divBdr>
        <w:top w:val="none" w:sz="0" w:space="0" w:color="auto"/>
        <w:left w:val="none" w:sz="0" w:space="0" w:color="auto"/>
        <w:bottom w:val="none" w:sz="0" w:space="0" w:color="auto"/>
        <w:right w:val="none" w:sz="0" w:space="0" w:color="auto"/>
      </w:divBdr>
      <w:divsChild>
        <w:div w:id="138764493">
          <w:marLeft w:val="0"/>
          <w:marRight w:val="0"/>
          <w:marTop w:val="0"/>
          <w:marBottom w:val="0"/>
          <w:divBdr>
            <w:top w:val="none" w:sz="0" w:space="0" w:color="auto"/>
            <w:left w:val="none" w:sz="0" w:space="0" w:color="auto"/>
            <w:bottom w:val="none" w:sz="0" w:space="0" w:color="auto"/>
            <w:right w:val="none" w:sz="0" w:space="0" w:color="auto"/>
          </w:divBdr>
          <w:divsChild>
            <w:div w:id="7049136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7998921">
      <w:marLeft w:val="0"/>
      <w:marRight w:val="0"/>
      <w:marTop w:val="120"/>
      <w:marBottom w:val="60"/>
      <w:divBdr>
        <w:top w:val="none" w:sz="0" w:space="0" w:color="auto"/>
        <w:left w:val="none" w:sz="0" w:space="0" w:color="auto"/>
        <w:bottom w:val="none" w:sz="0" w:space="0" w:color="auto"/>
        <w:right w:val="none" w:sz="0" w:space="0" w:color="auto"/>
      </w:divBdr>
    </w:div>
    <w:div w:id="1077482198">
      <w:marLeft w:val="0"/>
      <w:marRight w:val="0"/>
      <w:marTop w:val="120"/>
      <w:marBottom w:val="60"/>
      <w:divBdr>
        <w:top w:val="none" w:sz="0" w:space="0" w:color="auto"/>
        <w:left w:val="none" w:sz="0" w:space="0" w:color="auto"/>
        <w:bottom w:val="none" w:sz="0" w:space="0" w:color="auto"/>
        <w:right w:val="none" w:sz="0" w:space="0" w:color="auto"/>
      </w:divBdr>
    </w:div>
    <w:div w:id="1082948732">
      <w:marLeft w:val="0"/>
      <w:marRight w:val="0"/>
      <w:marTop w:val="120"/>
      <w:marBottom w:val="120"/>
      <w:divBdr>
        <w:top w:val="none" w:sz="0" w:space="0" w:color="auto"/>
        <w:left w:val="none" w:sz="0" w:space="0" w:color="auto"/>
        <w:bottom w:val="none" w:sz="0" w:space="0" w:color="auto"/>
        <w:right w:val="none" w:sz="0" w:space="0" w:color="auto"/>
      </w:divBdr>
    </w:div>
    <w:div w:id="1084113365">
      <w:marLeft w:val="0"/>
      <w:marRight w:val="0"/>
      <w:marTop w:val="120"/>
      <w:marBottom w:val="120"/>
      <w:divBdr>
        <w:top w:val="none" w:sz="0" w:space="0" w:color="auto"/>
        <w:left w:val="none" w:sz="0" w:space="0" w:color="auto"/>
        <w:bottom w:val="none" w:sz="0" w:space="0" w:color="auto"/>
        <w:right w:val="none" w:sz="0" w:space="0" w:color="auto"/>
      </w:divBdr>
    </w:div>
    <w:div w:id="1084227776">
      <w:marLeft w:val="0"/>
      <w:marRight w:val="0"/>
      <w:marTop w:val="120"/>
      <w:marBottom w:val="120"/>
      <w:divBdr>
        <w:top w:val="none" w:sz="0" w:space="0" w:color="auto"/>
        <w:left w:val="none" w:sz="0" w:space="0" w:color="auto"/>
        <w:bottom w:val="none" w:sz="0" w:space="0" w:color="auto"/>
        <w:right w:val="none" w:sz="0" w:space="0" w:color="auto"/>
      </w:divBdr>
    </w:div>
    <w:div w:id="1088650613">
      <w:marLeft w:val="0"/>
      <w:marRight w:val="0"/>
      <w:marTop w:val="0"/>
      <w:marBottom w:val="0"/>
      <w:divBdr>
        <w:top w:val="none" w:sz="0" w:space="0" w:color="auto"/>
        <w:left w:val="none" w:sz="0" w:space="0" w:color="auto"/>
        <w:bottom w:val="none" w:sz="0" w:space="0" w:color="auto"/>
        <w:right w:val="none" w:sz="0" w:space="0" w:color="auto"/>
      </w:divBdr>
      <w:divsChild>
        <w:div w:id="1100104650">
          <w:marLeft w:val="0"/>
          <w:marRight w:val="0"/>
          <w:marTop w:val="120"/>
          <w:marBottom w:val="120"/>
          <w:divBdr>
            <w:top w:val="none" w:sz="0" w:space="0" w:color="auto"/>
            <w:left w:val="none" w:sz="0" w:space="0" w:color="auto"/>
            <w:bottom w:val="none" w:sz="0" w:space="0" w:color="auto"/>
            <w:right w:val="none" w:sz="0" w:space="0" w:color="auto"/>
          </w:divBdr>
        </w:div>
        <w:div w:id="1118570184">
          <w:marLeft w:val="0"/>
          <w:marRight w:val="0"/>
          <w:marTop w:val="120"/>
          <w:marBottom w:val="120"/>
          <w:divBdr>
            <w:top w:val="none" w:sz="0" w:space="0" w:color="auto"/>
            <w:left w:val="none" w:sz="0" w:space="0" w:color="auto"/>
            <w:bottom w:val="none" w:sz="0" w:space="0" w:color="auto"/>
            <w:right w:val="none" w:sz="0" w:space="0" w:color="auto"/>
          </w:divBdr>
        </w:div>
      </w:divsChild>
    </w:div>
    <w:div w:id="1096292593">
      <w:marLeft w:val="0"/>
      <w:marRight w:val="0"/>
      <w:marTop w:val="120"/>
      <w:marBottom w:val="120"/>
      <w:divBdr>
        <w:top w:val="none" w:sz="0" w:space="0" w:color="auto"/>
        <w:left w:val="none" w:sz="0" w:space="0" w:color="auto"/>
        <w:bottom w:val="none" w:sz="0" w:space="0" w:color="auto"/>
        <w:right w:val="none" w:sz="0" w:space="0" w:color="auto"/>
      </w:divBdr>
    </w:div>
    <w:div w:id="1098016210">
      <w:marLeft w:val="0"/>
      <w:marRight w:val="0"/>
      <w:marTop w:val="120"/>
      <w:marBottom w:val="120"/>
      <w:divBdr>
        <w:top w:val="none" w:sz="0" w:space="0" w:color="auto"/>
        <w:left w:val="none" w:sz="0" w:space="0" w:color="auto"/>
        <w:bottom w:val="none" w:sz="0" w:space="0" w:color="auto"/>
        <w:right w:val="none" w:sz="0" w:space="0" w:color="auto"/>
      </w:divBdr>
    </w:div>
    <w:div w:id="1100418254">
      <w:marLeft w:val="0"/>
      <w:marRight w:val="0"/>
      <w:marTop w:val="120"/>
      <w:marBottom w:val="120"/>
      <w:divBdr>
        <w:top w:val="none" w:sz="0" w:space="0" w:color="auto"/>
        <w:left w:val="none" w:sz="0" w:space="0" w:color="auto"/>
        <w:bottom w:val="none" w:sz="0" w:space="0" w:color="auto"/>
        <w:right w:val="none" w:sz="0" w:space="0" w:color="auto"/>
      </w:divBdr>
    </w:div>
    <w:div w:id="1101799825">
      <w:marLeft w:val="0"/>
      <w:marRight w:val="0"/>
      <w:marTop w:val="120"/>
      <w:marBottom w:val="120"/>
      <w:divBdr>
        <w:top w:val="none" w:sz="0" w:space="0" w:color="auto"/>
        <w:left w:val="none" w:sz="0" w:space="0" w:color="auto"/>
        <w:bottom w:val="none" w:sz="0" w:space="0" w:color="auto"/>
        <w:right w:val="none" w:sz="0" w:space="0" w:color="auto"/>
      </w:divBdr>
    </w:div>
    <w:div w:id="1104155197">
      <w:marLeft w:val="0"/>
      <w:marRight w:val="0"/>
      <w:marTop w:val="120"/>
      <w:marBottom w:val="120"/>
      <w:divBdr>
        <w:top w:val="none" w:sz="0" w:space="0" w:color="auto"/>
        <w:left w:val="none" w:sz="0" w:space="0" w:color="auto"/>
        <w:bottom w:val="none" w:sz="0" w:space="0" w:color="auto"/>
        <w:right w:val="none" w:sz="0" w:space="0" w:color="auto"/>
      </w:divBdr>
    </w:div>
    <w:div w:id="1113785028">
      <w:marLeft w:val="0"/>
      <w:marRight w:val="0"/>
      <w:marTop w:val="120"/>
      <w:marBottom w:val="20"/>
      <w:divBdr>
        <w:top w:val="none" w:sz="0" w:space="0" w:color="auto"/>
        <w:left w:val="none" w:sz="0" w:space="0" w:color="auto"/>
        <w:bottom w:val="none" w:sz="0" w:space="0" w:color="auto"/>
        <w:right w:val="none" w:sz="0" w:space="0" w:color="auto"/>
      </w:divBdr>
    </w:div>
    <w:div w:id="1116633307">
      <w:marLeft w:val="0"/>
      <w:marRight w:val="0"/>
      <w:marTop w:val="120"/>
      <w:marBottom w:val="120"/>
      <w:divBdr>
        <w:top w:val="none" w:sz="0" w:space="0" w:color="auto"/>
        <w:left w:val="none" w:sz="0" w:space="0" w:color="auto"/>
        <w:bottom w:val="none" w:sz="0" w:space="0" w:color="auto"/>
        <w:right w:val="none" w:sz="0" w:space="0" w:color="auto"/>
      </w:divBdr>
    </w:div>
    <w:div w:id="1116801065">
      <w:marLeft w:val="0"/>
      <w:marRight w:val="0"/>
      <w:marTop w:val="120"/>
      <w:marBottom w:val="120"/>
      <w:divBdr>
        <w:top w:val="none" w:sz="0" w:space="0" w:color="auto"/>
        <w:left w:val="none" w:sz="0" w:space="0" w:color="auto"/>
        <w:bottom w:val="none" w:sz="0" w:space="0" w:color="auto"/>
        <w:right w:val="none" w:sz="0" w:space="0" w:color="auto"/>
      </w:divBdr>
    </w:div>
    <w:div w:id="1119031502">
      <w:marLeft w:val="0"/>
      <w:marRight w:val="0"/>
      <w:marTop w:val="120"/>
      <w:marBottom w:val="120"/>
      <w:divBdr>
        <w:top w:val="none" w:sz="0" w:space="0" w:color="auto"/>
        <w:left w:val="none" w:sz="0" w:space="0" w:color="auto"/>
        <w:bottom w:val="none" w:sz="0" w:space="0" w:color="auto"/>
        <w:right w:val="none" w:sz="0" w:space="0" w:color="auto"/>
      </w:divBdr>
    </w:div>
    <w:div w:id="1119497119">
      <w:marLeft w:val="0"/>
      <w:marRight w:val="0"/>
      <w:marTop w:val="0"/>
      <w:marBottom w:val="0"/>
      <w:divBdr>
        <w:top w:val="none" w:sz="0" w:space="0" w:color="auto"/>
        <w:left w:val="none" w:sz="0" w:space="0" w:color="auto"/>
        <w:bottom w:val="none" w:sz="0" w:space="0" w:color="auto"/>
        <w:right w:val="none" w:sz="0" w:space="0" w:color="auto"/>
      </w:divBdr>
      <w:divsChild>
        <w:div w:id="609245932">
          <w:marLeft w:val="0"/>
          <w:marRight w:val="0"/>
          <w:marTop w:val="0"/>
          <w:marBottom w:val="0"/>
          <w:divBdr>
            <w:top w:val="none" w:sz="0" w:space="0" w:color="auto"/>
            <w:left w:val="none" w:sz="0" w:space="0" w:color="auto"/>
            <w:bottom w:val="none" w:sz="0" w:space="0" w:color="auto"/>
            <w:right w:val="none" w:sz="0" w:space="0" w:color="auto"/>
          </w:divBdr>
          <w:divsChild>
            <w:div w:id="5214321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19953593">
      <w:marLeft w:val="0"/>
      <w:marRight w:val="0"/>
      <w:marTop w:val="120"/>
      <w:marBottom w:val="120"/>
      <w:divBdr>
        <w:top w:val="none" w:sz="0" w:space="0" w:color="auto"/>
        <w:left w:val="none" w:sz="0" w:space="0" w:color="auto"/>
        <w:bottom w:val="none" w:sz="0" w:space="0" w:color="auto"/>
        <w:right w:val="none" w:sz="0" w:space="0" w:color="auto"/>
      </w:divBdr>
    </w:div>
    <w:div w:id="1132208028">
      <w:marLeft w:val="0"/>
      <w:marRight w:val="0"/>
      <w:marTop w:val="120"/>
      <w:marBottom w:val="120"/>
      <w:divBdr>
        <w:top w:val="none" w:sz="0" w:space="0" w:color="auto"/>
        <w:left w:val="none" w:sz="0" w:space="0" w:color="auto"/>
        <w:bottom w:val="none" w:sz="0" w:space="0" w:color="auto"/>
        <w:right w:val="none" w:sz="0" w:space="0" w:color="auto"/>
      </w:divBdr>
    </w:div>
    <w:div w:id="1132595977">
      <w:marLeft w:val="0"/>
      <w:marRight w:val="0"/>
      <w:marTop w:val="0"/>
      <w:marBottom w:val="0"/>
      <w:divBdr>
        <w:top w:val="none" w:sz="0" w:space="0" w:color="auto"/>
        <w:left w:val="none" w:sz="0" w:space="0" w:color="auto"/>
        <w:bottom w:val="none" w:sz="0" w:space="0" w:color="auto"/>
        <w:right w:val="none" w:sz="0" w:space="0" w:color="auto"/>
      </w:divBdr>
      <w:divsChild>
        <w:div w:id="1540628684">
          <w:marLeft w:val="0"/>
          <w:marRight w:val="0"/>
          <w:marTop w:val="120"/>
          <w:marBottom w:val="120"/>
          <w:divBdr>
            <w:top w:val="none" w:sz="0" w:space="0" w:color="auto"/>
            <w:left w:val="none" w:sz="0" w:space="0" w:color="auto"/>
            <w:bottom w:val="none" w:sz="0" w:space="0" w:color="auto"/>
            <w:right w:val="none" w:sz="0" w:space="0" w:color="auto"/>
          </w:divBdr>
        </w:div>
      </w:divsChild>
    </w:div>
    <w:div w:id="1134104768">
      <w:marLeft w:val="0"/>
      <w:marRight w:val="0"/>
      <w:marTop w:val="120"/>
      <w:marBottom w:val="120"/>
      <w:divBdr>
        <w:top w:val="none" w:sz="0" w:space="0" w:color="auto"/>
        <w:left w:val="none" w:sz="0" w:space="0" w:color="auto"/>
        <w:bottom w:val="none" w:sz="0" w:space="0" w:color="auto"/>
        <w:right w:val="none" w:sz="0" w:space="0" w:color="auto"/>
      </w:divBdr>
    </w:div>
    <w:div w:id="1137260375">
      <w:marLeft w:val="0"/>
      <w:marRight w:val="0"/>
      <w:marTop w:val="120"/>
      <w:marBottom w:val="120"/>
      <w:divBdr>
        <w:top w:val="none" w:sz="0" w:space="0" w:color="auto"/>
        <w:left w:val="none" w:sz="0" w:space="0" w:color="auto"/>
        <w:bottom w:val="none" w:sz="0" w:space="0" w:color="auto"/>
        <w:right w:val="none" w:sz="0" w:space="0" w:color="auto"/>
      </w:divBdr>
    </w:div>
    <w:div w:id="1139610405">
      <w:marLeft w:val="0"/>
      <w:marRight w:val="0"/>
      <w:marTop w:val="120"/>
      <w:marBottom w:val="20"/>
      <w:divBdr>
        <w:top w:val="none" w:sz="0" w:space="0" w:color="auto"/>
        <w:left w:val="none" w:sz="0" w:space="0" w:color="auto"/>
        <w:bottom w:val="none" w:sz="0" w:space="0" w:color="auto"/>
        <w:right w:val="none" w:sz="0" w:space="0" w:color="auto"/>
      </w:divBdr>
      <w:divsChild>
        <w:div w:id="1264073736">
          <w:marLeft w:val="0"/>
          <w:marRight w:val="0"/>
          <w:marTop w:val="0"/>
          <w:marBottom w:val="0"/>
          <w:divBdr>
            <w:top w:val="none" w:sz="0" w:space="0" w:color="auto"/>
            <w:left w:val="none" w:sz="0" w:space="0" w:color="auto"/>
            <w:bottom w:val="none" w:sz="0" w:space="0" w:color="auto"/>
            <w:right w:val="none" w:sz="0" w:space="0" w:color="auto"/>
          </w:divBdr>
        </w:div>
        <w:div w:id="340813960">
          <w:marLeft w:val="0"/>
          <w:marRight w:val="0"/>
          <w:marTop w:val="0"/>
          <w:marBottom w:val="0"/>
          <w:divBdr>
            <w:top w:val="none" w:sz="0" w:space="0" w:color="auto"/>
            <w:left w:val="none" w:sz="0" w:space="0" w:color="auto"/>
            <w:bottom w:val="none" w:sz="0" w:space="0" w:color="auto"/>
            <w:right w:val="none" w:sz="0" w:space="0" w:color="auto"/>
          </w:divBdr>
        </w:div>
        <w:div w:id="1545822693">
          <w:marLeft w:val="0"/>
          <w:marRight w:val="0"/>
          <w:marTop w:val="0"/>
          <w:marBottom w:val="0"/>
          <w:divBdr>
            <w:top w:val="none" w:sz="0" w:space="0" w:color="auto"/>
            <w:left w:val="none" w:sz="0" w:space="0" w:color="auto"/>
            <w:bottom w:val="none" w:sz="0" w:space="0" w:color="auto"/>
            <w:right w:val="none" w:sz="0" w:space="0" w:color="auto"/>
          </w:divBdr>
        </w:div>
      </w:divsChild>
    </w:div>
    <w:div w:id="1142117038">
      <w:marLeft w:val="0"/>
      <w:marRight w:val="0"/>
      <w:marTop w:val="120"/>
      <w:marBottom w:val="120"/>
      <w:divBdr>
        <w:top w:val="none" w:sz="0" w:space="0" w:color="auto"/>
        <w:left w:val="none" w:sz="0" w:space="0" w:color="auto"/>
        <w:bottom w:val="none" w:sz="0" w:space="0" w:color="auto"/>
        <w:right w:val="none" w:sz="0" w:space="0" w:color="auto"/>
      </w:divBdr>
    </w:div>
    <w:div w:id="1142620383">
      <w:marLeft w:val="0"/>
      <w:marRight w:val="0"/>
      <w:marTop w:val="120"/>
      <w:marBottom w:val="120"/>
      <w:divBdr>
        <w:top w:val="none" w:sz="0" w:space="0" w:color="auto"/>
        <w:left w:val="none" w:sz="0" w:space="0" w:color="auto"/>
        <w:bottom w:val="none" w:sz="0" w:space="0" w:color="auto"/>
        <w:right w:val="none" w:sz="0" w:space="0" w:color="auto"/>
      </w:divBdr>
    </w:div>
    <w:div w:id="1150563276">
      <w:marLeft w:val="0"/>
      <w:marRight w:val="0"/>
      <w:marTop w:val="120"/>
      <w:marBottom w:val="120"/>
      <w:divBdr>
        <w:top w:val="none" w:sz="0" w:space="0" w:color="auto"/>
        <w:left w:val="none" w:sz="0" w:space="0" w:color="auto"/>
        <w:bottom w:val="none" w:sz="0" w:space="0" w:color="auto"/>
        <w:right w:val="none" w:sz="0" w:space="0" w:color="auto"/>
      </w:divBdr>
      <w:divsChild>
        <w:div w:id="1716195988">
          <w:marLeft w:val="0"/>
          <w:marRight w:val="0"/>
          <w:marTop w:val="120"/>
          <w:marBottom w:val="0"/>
          <w:divBdr>
            <w:top w:val="none" w:sz="0" w:space="0" w:color="auto"/>
            <w:left w:val="none" w:sz="0" w:space="0" w:color="auto"/>
            <w:bottom w:val="none" w:sz="0" w:space="0" w:color="auto"/>
            <w:right w:val="none" w:sz="0" w:space="0" w:color="auto"/>
          </w:divBdr>
        </w:div>
      </w:divsChild>
    </w:div>
    <w:div w:id="1156147483">
      <w:marLeft w:val="0"/>
      <w:marRight w:val="0"/>
      <w:marTop w:val="0"/>
      <w:marBottom w:val="0"/>
      <w:divBdr>
        <w:top w:val="none" w:sz="0" w:space="0" w:color="auto"/>
        <w:left w:val="none" w:sz="0" w:space="0" w:color="auto"/>
        <w:bottom w:val="none" w:sz="0" w:space="0" w:color="auto"/>
        <w:right w:val="none" w:sz="0" w:space="0" w:color="auto"/>
      </w:divBdr>
      <w:divsChild>
        <w:div w:id="267196453">
          <w:marLeft w:val="0"/>
          <w:marRight w:val="0"/>
          <w:marTop w:val="0"/>
          <w:marBottom w:val="0"/>
          <w:divBdr>
            <w:top w:val="none" w:sz="0" w:space="0" w:color="auto"/>
            <w:left w:val="none" w:sz="0" w:space="0" w:color="auto"/>
            <w:bottom w:val="none" w:sz="0" w:space="0" w:color="auto"/>
            <w:right w:val="none" w:sz="0" w:space="0" w:color="auto"/>
          </w:divBdr>
          <w:divsChild>
            <w:div w:id="2114782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58494154">
      <w:marLeft w:val="0"/>
      <w:marRight w:val="0"/>
      <w:marTop w:val="120"/>
      <w:marBottom w:val="60"/>
      <w:divBdr>
        <w:top w:val="none" w:sz="0" w:space="0" w:color="auto"/>
        <w:left w:val="none" w:sz="0" w:space="0" w:color="auto"/>
        <w:bottom w:val="none" w:sz="0" w:space="0" w:color="auto"/>
        <w:right w:val="none" w:sz="0" w:space="0" w:color="auto"/>
      </w:divBdr>
    </w:div>
    <w:div w:id="1165049693">
      <w:marLeft w:val="0"/>
      <w:marRight w:val="0"/>
      <w:marTop w:val="120"/>
      <w:marBottom w:val="120"/>
      <w:divBdr>
        <w:top w:val="none" w:sz="0" w:space="0" w:color="auto"/>
        <w:left w:val="none" w:sz="0" w:space="0" w:color="auto"/>
        <w:bottom w:val="none" w:sz="0" w:space="0" w:color="auto"/>
        <w:right w:val="none" w:sz="0" w:space="0" w:color="auto"/>
      </w:divBdr>
    </w:div>
    <w:div w:id="1166245548">
      <w:marLeft w:val="0"/>
      <w:marRight w:val="0"/>
      <w:marTop w:val="120"/>
      <w:marBottom w:val="120"/>
      <w:divBdr>
        <w:top w:val="none" w:sz="0" w:space="0" w:color="auto"/>
        <w:left w:val="none" w:sz="0" w:space="0" w:color="auto"/>
        <w:bottom w:val="none" w:sz="0" w:space="0" w:color="auto"/>
        <w:right w:val="none" w:sz="0" w:space="0" w:color="auto"/>
      </w:divBdr>
    </w:div>
    <w:div w:id="1174151428">
      <w:marLeft w:val="0"/>
      <w:marRight w:val="0"/>
      <w:marTop w:val="0"/>
      <w:marBottom w:val="0"/>
      <w:divBdr>
        <w:top w:val="none" w:sz="0" w:space="0" w:color="auto"/>
        <w:left w:val="none" w:sz="0" w:space="0" w:color="auto"/>
        <w:bottom w:val="none" w:sz="0" w:space="0" w:color="auto"/>
        <w:right w:val="none" w:sz="0" w:space="0" w:color="auto"/>
      </w:divBdr>
      <w:divsChild>
        <w:div w:id="148404716">
          <w:marLeft w:val="0"/>
          <w:marRight w:val="0"/>
          <w:marTop w:val="120"/>
          <w:marBottom w:val="120"/>
          <w:divBdr>
            <w:top w:val="none" w:sz="0" w:space="0" w:color="auto"/>
            <w:left w:val="none" w:sz="0" w:space="0" w:color="auto"/>
            <w:bottom w:val="none" w:sz="0" w:space="0" w:color="auto"/>
            <w:right w:val="none" w:sz="0" w:space="0" w:color="auto"/>
          </w:divBdr>
        </w:div>
        <w:div w:id="22950981">
          <w:marLeft w:val="0"/>
          <w:marRight w:val="0"/>
          <w:marTop w:val="120"/>
          <w:marBottom w:val="120"/>
          <w:divBdr>
            <w:top w:val="none" w:sz="0" w:space="0" w:color="auto"/>
            <w:left w:val="none" w:sz="0" w:space="0" w:color="auto"/>
            <w:bottom w:val="none" w:sz="0" w:space="0" w:color="auto"/>
            <w:right w:val="none" w:sz="0" w:space="0" w:color="auto"/>
          </w:divBdr>
        </w:div>
      </w:divsChild>
    </w:div>
    <w:div w:id="1175614320">
      <w:marLeft w:val="0"/>
      <w:marRight w:val="0"/>
      <w:marTop w:val="120"/>
      <w:marBottom w:val="120"/>
      <w:divBdr>
        <w:top w:val="none" w:sz="0" w:space="0" w:color="auto"/>
        <w:left w:val="none" w:sz="0" w:space="0" w:color="auto"/>
        <w:bottom w:val="none" w:sz="0" w:space="0" w:color="auto"/>
        <w:right w:val="none" w:sz="0" w:space="0" w:color="auto"/>
      </w:divBdr>
    </w:div>
    <w:div w:id="1180660578">
      <w:marLeft w:val="0"/>
      <w:marRight w:val="0"/>
      <w:marTop w:val="120"/>
      <w:marBottom w:val="120"/>
      <w:divBdr>
        <w:top w:val="none" w:sz="0" w:space="0" w:color="auto"/>
        <w:left w:val="none" w:sz="0" w:space="0" w:color="auto"/>
        <w:bottom w:val="none" w:sz="0" w:space="0" w:color="auto"/>
        <w:right w:val="none" w:sz="0" w:space="0" w:color="auto"/>
      </w:divBdr>
    </w:div>
    <w:div w:id="1182550248">
      <w:marLeft w:val="0"/>
      <w:marRight w:val="0"/>
      <w:marTop w:val="120"/>
      <w:marBottom w:val="120"/>
      <w:divBdr>
        <w:top w:val="none" w:sz="0" w:space="0" w:color="auto"/>
        <w:left w:val="none" w:sz="0" w:space="0" w:color="auto"/>
        <w:bottom w:val="none" w:sz="0" w:space="0" w:color="auto"/>
        <w:right w:val="none" w:sz="0" w:space="0" w:color="auto"/>
      </w:divBdr>
    </w:div>
    <w:div w:id="1193375972">
      <w:marLeft w:val="0"/>
      <w:marRight w:val="0"/>
      <w:marTop w:val="120"/>
      <w:marBottom w:val="120"/>
      <w:divBdr>
        <w:top w:val="none" w:sz="0" w:space="0" w:color="auto"/>
        <w:left w:val="none" w:sz="0" w:space="0" w:color="auto"/>
        <w:bottom w:val="none" w:sz="0" w:space="0" w:color="auto"/>
        <w:right w:val="none" w:sz="0" w:space="0" w:color="auto"/>
      </w:divBdr>
    </w:div>
    <w:div w:id="1195657510">
      <w:marLeft w:val="0"/>
      <w:marRight w:val="0"/>
      <w:marTop w:val="120"/>
      <w:marBottom w:val="120"/>
      <w:divBdr>
        <w:top w:val="none" w:sz="0" w:space="0" w:color="auto"/>
        <w:left w:val="none" w:sz="0" w:space="0" w:color="auto"/>
        <w:bottom w:val="none" w:sz="0" w:space="0" w:color="auto"/>
        <w:right w:val="none" w:sz="0" w:space="0" w:color="auto"/>
      </w:divBdr>
    </w:div>
    <w:div w:id="1196499750">
      <w:marLeft w:val="0"/>
      <w:marRight w:val="0"/>
      <w:marTop w:val="120"/>
      <w:marBottom w:val="120"/>
      <w:divBdr>
        <w:top w:val="none" w:sz="0" w:space="0" w:color="auto"/>
        <w:left w:val="none" w:sz="0" w:space="0" w:color="auto"/>
        <w:bottom w:val="none" w:sz="0" w:space="0" w:color="auto"/>
        <w:right w:val="none" w:sz="0" w:space="0" w:color="auto"/>
      </w:divBdr>
    </w:div>
    <w:div w:id="1213616686">
      <w:marLeft w:val="0"/>
      <w:marRight w:val="0"/>
      <w:marTop w:val="120"/>
      <w:marBottom w:val="120"/>
      <w:divBdr>
        <w:top w:val="none" w:sz="0" w:space="0" w:color="auto"/>
        <w:left w:val="none" w:sz="0" w:space="0" w:color="auto"/>
        <w:bottom w:val="none" w:sz="0" w:space="0" w:color="auto"/>
        <w:right w:val="none" w:sz="0" w:space="0" w:color="auto"/>
      </w:divBdr>
    </w:div>
    <w:div w:id="1219319548">
      <w:marLeft w:val="0"/>
      <w:marRight w:val="0"/>
      <w:marTop w:val="180"/>
      <w:marBottom w:val="120"/>
      <w:divBdr>
        <w:top w:val="none" w:sz="0" w:space="0" w:color="auto"/>
        <w:left w:val="none" w:sz="0" w:space="0" w:color="auto"/>
        <w:bottom w:val="none" w:sz="0" w:space="0" w:color="auto"/>
        <w:right w:val="none" w:sz="0" w:space="0" w:color="auto"/>
      </w:divBdr>
    </w:div>
    <w:div w:id="1221095139">
      <w:marLeft w:val="0"/>
      <w:marRight w:val="0"/>
      <w:marTop w:val="120"/>
      <w:marBottom w:val="120"/>
      <w:divBdr>
        <w:top w:val="none" w:sz="0" w:space="0" w:color="auto"/>
        <w:left w:val="none" w:sz="0" w:space="0" w:color="auto"/>
        <w:bottom w:val="none" w:sz="0" w:space="0" w:color="auto"/>
        <w:right w:val="none" w:sz="0" w:space="0" w:color="auto"/>
      </w:divBdr>
    </w:div>
    <w:div w:id="1231696623">
      <w:marLeft w:val="0"/>
      <w:marRight w:val="0"/>
      <w:marTop w:val="120"/>
      <w:marBottom w:val="120"/>
      <w:divBdr>
        <w:top w:val="none" w:sz="0" w:space="0" w:color="auto"/>
        <w:left w:val="none" w:sz="0" w:space="0" w:color="auto"/>
        <w:bottom w:val="none" w:sz="0" w:space="0" w:color="auto"/>
        <w:right w:val="none" w:sz="0" w:space="0" w:color="auto"/>
      </w:divBdr>
    </w:div>
    <w:div w:id="1232079193">
      <w:marLeft w:val="0"/>
      <w:marRight w:val="0"/>
      <w:marTop w:val="120"/>
      <w:marBottom w:val="120"/>
      <w:divBdr>
        <w:top w:val="none" w:sz="0" w:space="0" w:color="auto"/>
        <w:left w:val="none" w:sz="0" w:space="0" w:color="auto"/>
        <w:bottom w:val="none" w:sz="0" w:space="0" w:color="auto"/>
        <w:right w:val="none" w:sz="0" w:space="0" w:color="auto"/>
      </w:divBdr>
    </w:div>
    <w:div w:id="1237521666">
      <w:marLeft w:val="0"/>
      <w:marRight w:val="0"/>
      <w:marTop w:val="120"/>
      <w:marBottom w:val="120"/>
      <w:divBdr>
        <w:top w:val="none" w:sz="0" w:space="0" w:color="auto"/>
        <w:left w:val="none" w:sz="0" w:space="0" w:color="auto"/>
        <w:bottom w:val="none" w:sz="0" w:space="0" w:color="auto"/>
        <w:right w:val="none" w:sz="0" w:space="0" w:color="auto"/>
      </w:divBdr>
    </w:div>
    <w:div w:id="1239444372">
      <w:marLeft w:val="0"/>
      <w:marRight w:val="0"/>
      <w:marTop w:val="120"/>
      <w:marBottom w:val="120"/>
      <w:divBdr>
        <w:top w:val="none" w:sz="0" w:space="0" w:color="auto"/>
        <w:left w:val="none" w:sz="0" w:space="0" w:color="auto"/>
        <w:bottom w:val="none" w:sz="0" w:space="0" w:color="auto"/>
        <w:right w:val="none" w:sz="0" w:space="0" w:color="auto"/>
      </w:divBdr>
    </w:div>
    <w:div w:id="1240670739">
      <w:marLeft w:val="0"/>
      <w:marRight w:val="0"/>
      <w:marTop w:val="120"/>
      <w:marBottom w:val="120"/>
      <w:divBdr>
        <w:top w:val="none" w:sz="0" w:space="0" w:color="auto"/>
        <w:left w:val="none" w:sz="0" w:space="0" w:color="auto"/>
        <w:bottom w:val="none" w:sz="0" w:space="0" w:color="auto"/>
        <w:right w:val="none" w:sz="0" w:space="0" w:color="auto"/>
      </w:divBdr>
    </w:div>
    <w:div w:id="1246719041">
      <w:marLeft w:val="0"/>
      <w:marRight w:val="0"/>
      <w:marTop w:val="120"/>
      <w:marBottom w:val="120"/>
      <w:divBdr>
        <w:top w:val="none" w:sz="0" w:space="0" w:color="auto"/>
        <w:left w:val="none" w:sz="0" w:space="0" w:color="auto"/>
        <w:bottom w:val="none" w:sz="0" w:space="0" w:color="auto"/>
        <w:right w:val="none" w:sz="0" w:space="0" w:color="auto"/>
      </w:divBdr>
    </w:div>
    <w:div w:id="1246913204">
      <w:marLeft w:val="0"/>
      <w:marRight w:val="0"/>
      <w:marTop w:val="120"/>
      <w:marBottom w:val="120"/>
      <w:divBdr>
        <w:top w:val="none" w:sz="0" w:space="0" w:color="auto"/>
        <w:left w:val="none" w:sz="0" w:space="0" w:color="auto"/>
        <w:bottom w:val="none" w:sz="0" w:space="0" w:color="auto"/>
        <w:right w:val="none" w:sz="0" w:space="0" w:color="auto"/>
      </w:divBdr>
    </w:div>
    <w:div w:id="1263150709">
      <w:marLeft w:val="0"/>
      <w:marRight w:val="0"/>
      <w:marTop w:val="120"/>
      <w:marBottom w:val="120"/>
      <w:divBdr>
        <w:top w:val="none" w:sz="0" w:space="0" w:color="auto"/>
        <w:left w:val="none" w:sz="0" w:space="0" w:color="auto"/>
        <w:bottom w:val="none" w:sz="0" w:space="0" w:color="auto"/>
        <w:right w:val="none" w:sz="0" w:space="0" w:color="auto"/>
      </w:divBdr>
    </w:div>
    <w:div w:id="1273779536">
      <w:marLeft w:val="0"/>
      <w:marRight w:val="0"/>
      <w:marTop w:val="120"/>
      <w:marBottom w:val="120"/>
      <w:divBdr>
        <w:top w:val="none" w:sz="0" w:space="0" w:color="auto"/>
        <w:left w:val="none" w:sz="0" w:space="0" w:color="auto"/>
        <w:bottom w:val="none" w:sz="0" w:space="0" w:color="auto"/>
        <w:right w:val="none" w:sz="0" w:space="0" w:color="auto"/>
      </w:divBdr>
    </w:div>
    <w:div w:id="1275362406">
      <w:marLeft w:val="0"/>
      <w:marRight w:val="0"/>
      <w:marTop w:val="120"/>
      <w:marBottom w:val="120"/>
      <w:divBdr>
        <w:top w:val="none" w:sz="0" w:space="0" w:color="auto"/>
        <w:left w:val="none" w:sz="0" w:space="0" w:color="auto"/>
        <w:bottom w:val="none" w:sz="0" w:space="0" w:color="auto"/>
        <w:right w:val="none" w:sz="0" w:space="0" w:color="auto"/>
      </w:divBdr>
    </w:div>
    <w:div w:id="1282031697">
      <w:marLeft w:val="0"/>
      <w:marRight w:val="0"/>
      <w:marTop w:val="120"/>
      <w:marBottom w:val="120"/>
      <w:divBdr>
        <w:top w:val="none" w:sz="0" w:space="0" w:color="auto"/>
        <w:left w:val="none" w:sz="0" w:space="0" w:color="auto"/>
        <w:bottom w:val="none" w:sz="0" w:space="0" w:color="auto"/>
        <w:right w:val="none" w:sz="0" w:space="0" w:color="auto"/>
      </w:divBdr>
    </w:div>
    <w:div w:id="1287617786">
      <w:marLeft w:val="0"/>
      <w:marRight w:val="0"/>
      <w:marTop w:val="120"/>
      <w:marBottom w:val="120"/>
      <w:divBdr>
        <w:top w:val="none" w:sz="0" w:space="0" w:color="auto"/>
        <w:left w:val="none" w:sz="0" w:space="0" w:color="auto"/>
        <w:bottom w:val="none" w:sz="0" w:space="0" w:color="auto"/>
        <w:right w:val="none" w:sz="0" w:space="0" w:color="auto"/>
      </w:divBdr>
    </w:div>
    <w:div w:id="1290012053">
      <w:marLeft w:val="0"/>
      <w:marRight w:val="0"/>
      <w:marTop w:val="120"/>
      <w:marBottom w:val="120"/>
      <w:divBdr>
        <w:top w:val="none" w:sz="0" w:space="0" w:color="auto"/>
        <w:left w:val="none" w:sz="0" w:space="0" w:color="auto"/>
        <w:bottom w:val="none" w:sz="0" w:space="0" w:color="auto"/>
        <w:right w:val="none" w:sz="0" w:space="0" w:color="auto"/>
      </w:divBdr>
    </w:div>
    <w:div w:id="1296596888">
      <w:marLeft w:val="0"/>
      <w:marRight w:val="0"/>
      <w:marTop w:val="240"/>
      <w:marBottom w:val="120"/>
      <w:divBdr>
        <w:top w:val="none" w:sz="0" w:space="0" w:color="auto"/>
        <w:left w:val="none" w:sz="0" w:space="0" w:color="auto"/>
        <w:bottom w:val="none" w:sz="0" w:space="0" w:color="auto"/>
        <w:right w:val="none" w:sz="0" w:space="0" w:color="auto"/>
      </w:divBdr>
    </w:div>
    <w:div w:id="1300724462">
      <w:marLeft w:val="0"/>
      <w:marRight w:val="0"/>
      <w:marTop w:val="120"/>
      <w:marBottom w:val="120"/>
      <w:divBdr>
        <w:top w:val="none" w:sz="0" w:space="0" w:color="auto"/>
        <w:left w:val="none" w:sz="0" w:space="0" w:color="auto"/>
        <w:bottom w:val="none" w:sz="0" w:space="0" w:color="auto"/>
        <w:right w:val="none" w:sz="0" w:space="0" w:color="auto"/>
      </w:divBdr>
    </w:div>
    <w:div w:id="1326784054">
      <w:marLeft w:val="0"/>
      <w:marRight w:val="0"/>
      <w:marTop w:val="0"/>
      <w:marBottom w:val="0"/>
      <w:divBdr>
        <w:top w:val="none" w:sz="0" w:space="0" w:color="auto"/>
        <w:left w:val="none" w:sz="0" w:space="0" w:color="auto"/>
        <w:bottom w:val="none" w:sz="0" w:space="0" w:color="auto"/>
        <w:right w:val="none" w:sz="0" w:space="0" w:color="auto"/>
      </w:divBdr>
      <w:divsChild>
        <w:div w:id="2146269867">
          <w:marLeft w:val="0"/>
          <w:marRight w:val="0"/>
          <w:marTop w:val="120"/>
          <w:marBottom w:val="120"/>
          <w:divBdr>
            <w:top w:val="none" w:sz="0" w:space="0" w:color="auto"/>
            <w:left w:val="none" w:sz="0" w:space="0" w:color="auto"/>
            <w:bottom w:val="none" w:sz="0" w:space="0" w:color="auto"/>
            <w:right w:val="none" w:sz="0" w:space="0" w:color="auto"/>
          </w:divBdr>
        </w:div>
        <w:div w:id="773326040">
          <w:marLeft w:val="0"/>
          <w:marRight w:val="0"/>
          <w:marTop w:val="120"/>
          <w:marBottom w:val="120"/>
          <w:divBdr>
            <w:top w:val="none" w:sz="0" w:space="0" w:color="auto"/>
            <w:left w:val="none" w:sz="0" w:space="0" w:color="auto"/>
            <w:bottom w:val="none" w:sz="0" w:space="0" w:color="auto"/>
            <w:right w:val="none" w:sz="0" w:space="0" w:color="auto"/>
          </w:divBdr>
        </w:div>
      </w:divsChild>
    </w:div>
    <w:div w:id="1328365070">
      <w:marLeft w:val="0"/>
      <w:marRight w:val="0"/>
      <w:marTop w:val="120"/>
      <w:marBottom w:val="120"/>
      <w:divBdr>
        <w:top w:val="none" w:sz="0" w:space="0" w:color="auto"/>
        <w:left w:val="none" w:sz="0" w:space="0" w:color="auto"/>
        <w:bottom w:val="none" w:sz="0" w:space="0" w:color="auto"/>
        <w:right w:val="none" w:sz="0" w:space="0" w:color="auto"/>
      </w:divBdr>
    </w:div>
    <w:div w:id="1330450024">
      <w:marLeft w:val="0"/>
      <w:marRight w:val="0"/>
      <w:marTop w:val="120"/>
      <w:marBottom w:val="120"/>
      <w:divBdr>
        <w:top w:val="none" w:sz="0" w:space="0" w:color="auto"/>
        <w:left w:val="none" w:sz="0" w:space="0" w:color="auto"/>
        <w:bottom w:val="none" w:sz="0" w:space="0" w:color="auto"/>
        <w:right w:val="none" w:sz="0" w:space="0" w:color="auto"/>
      </w:divBdr>
    </w:div>
    <w:div w:id="1338774097">
      <w:marLeft w:val="0"/>
      <w:marRight w:val="0"/>
      <w:marTop w:val="120"/>
      <w:marBottom w:val="20"/>
      <w:divBdr>
        <w:top w:val="none" w:sz="0" w:space="0" w:color="auto"/>
        <w:left w:val="none" w:sz="0" w:space="0" w:color="auto"/>
        <w:bottom w:val="none" w:sz="0" w:space="0" w:color="auto"/>
        <w:right w:val="none" w:sz="0" w:space="0" w:color="auto"/>
      </w:divBdr>
    </w:div>
    <w:div w:id="1347095456">
      <w:marLeft w:val="0"/>
      <w:marRight w:val="0"/>
      <w:marTop w:val="120"/>
      <w:marBottom w:val="120"/>
      <w:divBdr>
        <w:top w:val="none" w:sz="0" w:space="0" w:color="auto"/>
        <w:left w:val="none" w:sz="0" w:space="0" w:color="auto"/>
        <w:bottom w:val="none" w:sz="0" w:space="0" w:color="auto"/>
        <w:right w:val="none" w:sz="0" w:space="0" w:color="auto"/>
      </w:divBdr>
    </w:div>
    <w:div w:id="1347824710">
      <w:marLeft w:val="0"/>
      <w:marRight w:val="0"/>
      <w:marTop w:val="120"/>
      <w:marBottom w:val="60"/>
      <w:divBdr>
        <w:top w:val="none" w:sz="0" w:space="0" w:color="auto"/>
        <w:left w:val="none" w:sz="0" w:space="0" w:color="auto"/>
        <w:bottom w:val="none" w:sz="0" w:space="0" w:color="auto"/>
        <w:right w:val="none" w:sz="0" w:space="0" w:color="auto"/>
      </w:divBdr>
    </w:div>
    <w:div w:id="1357386293">
      <w:marLeft w:val="0"/>
      <w:marRight w:val="0"/>
      <w:marTop w:val="0"/>
      <w:marBottom w:val="0"/>
      <w:divBdr>
        <w:top w:val="none" w:sz="0" w:space="0" w:color="auto"/>
        <w:left w:val="none" w:sz="0" w:space="0" w:color="auto"/>
        <w:bottom w:val="none" w:sz="0" w:space="0" w:color="auto"/>
        <w:right w:val="none" w:sz="0" w:space="0" w:color="auto"/>
      </w:divBdr>
      <w:divsChild>
        <w:div w:id="275914426">
          <w:marLeft w:val="0"/>
          <w:marRight w:val="0"/>
          <w:marTop w:val="0"/>
          <w:marBottom w:val="0"/>
          <w:divBdr>
            <w:top w:val="none" w:sz="0" w:space="0" w:color="auto"/>
            <w:left w:val="none" w:sz="0" w:space="0" w:color="auto"/>
            <w:bottom w:val="none" w:sz="0" w:space="0" w:color="auto"/>
            <w:right w:val="none" w:sz="0" w:space="0" w:color="auto"/>
          </w:divBdr>
          <w:divsChild>
            <w:div w:id="1804351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3700547">
      <w:marLeft w:val="0"/>
      <w:marRight w:val="0"/>
      <w:marTop w:val="120"/>
      <w:marBottom w:val="60"/>
      <w:divBdr>
        <w:top w:val="none" w:sz="0" w:space="0" w:color="auto"/>
        <w:left w:val="none" w:sz="0" w:space="0" w:color="auto"/>
        <w:bottom w:val="none" w:sz="0" w:space="0" w:color="auto"/>
        <w:right w:val="none" w:sz="0" w:space="0" w:color="auto"/>
      </w:divBdr>
    </w:div>
    <w:div w:id="1379740483">
      <w:marLeft w:val="0"/>
      <w:marRight w:val="0"/>
      <w:marTop w:val="180"/>
      <w:marBottom w:val="180"/>
      <w:divBdr>
        <w:top w:val="none" w:sz="0" w:space="0" w:color="auto"/>
        <w:left w:val="none" w:sz="0" w:space="0" w:color="auto"/>
        <w:bottom w:val="none" w:sz="0" w:space="0" w:color="auto"/>
        <w:right w:val="none" w:sz="0" w:space="0" w:color="auto"/>
      </w:divBdr>
    </w:div>
    <w:div w:id="1404448668">
      <w:marLeft w:val="0"/>
      <w:marRight w:val="0"/>
      <w:marTop w:val="120"/>
      <w:marBottom w:val="120"/>
      <w:divBdr>
        <w:top w:val="none" w:sz="0" w:space="0" w:color="auto"/>
        <w:left w:val="none" w:sz="0" w:space="0" w:color="auto"/>
        <w:bottom w:val="none" w:sz="0" w:space="0" w:color="auto"/>
        <w:right w:val="none" w:sz="0" w:space="0" w:color="auto"/>
      </w:divBdr>
    </w:div>
    <w:div w:id="1404722905">
      <w:marLeft w:val="0"/>
      <w:marRight w:val="0"/>
      <w:marTop w:val="120"/>
      <w:marBottom w:val="120"/>
      <w:divBdr>
        <w:top w:val="none" w:sz="0" w:space="0" w:color="auto"/>
        <w:left w:val="none" w:sz="0" w:space="0" w:color="auto"/>
        <w:bottom w:val="none" w:sz="0" w:space="0" w:color="auto"/>
        <w:right w:val="none" w:sz="0" w:space="0" w:color="auto"/>
      </w:divBdr>
    </w:div>
    <w:div w:id="1409307684">
      <w:marLeft w:val="0"/>
      <w:marRight w:val="0"/>
      <w:marTop w:val="0"/>
      <w:marBottom w:val="0"/>
      <w:divBdr>
        <w:top w:val="none" w:sz="0" w:space="0" w:color="auto"/>
        <w:left w:val="none" w:sz="0" w:space="0" w:color="auto"/>
        <w:bottom w:val="none" w:sz="0" w:space="0" w:color="auto"/>
        <w:right w:val="none" w:sz="0" w:space="0" w:color="auto"/>
      </w:divBdr>
      <w:divsChild>
        <w:div w:id="117921033">
          <w:marLeft w:val="0"/>
          <w:marRight w:val="0"/>
          <w:marTop w:val="0"/>
          <w:marBottom w:val="0"/>
          <w:divBdr>
            <w:top w:val="none" w:sz="0" w:space="0" w:color="auto"/>
            <w:left w:val="none" w:sz="0" w:space="0" w:color="auto"/>
            <w:bottom w:val="none" w:sz="0" w:space="0" w:color="auto"/>
            <w:right w:val="none" w:sz="0" w:space="0" w:color="auto"/>
          </w:divBdr>
          <w:divsChild>
            <w:div w:id="166591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17552603">
      <w:marLeft w:val="0"/>
      <w:marRight w:val="0"/>
      <w:marTop w:val="120"/>
      <w:marBottom w:val="120"/>
      <w:divBdr>
        <w:top w:val="none" w:sz="0" w:space="0" w:color="auto"/>
        <w:left w:val="none" w:sz="0" w:space="0" w:color="auto"/>
        <w:bottom w:val="none" w:sz="0" w:space="0" w:color="auto"/>
        <w:right w:val="none" w:sz="0" w:space="0" w:color="auto"/>
      </w:divBdr>
    </w:div>
    <w:div w:id="1421021925">
      <w:marLeft w:val="0"/>
      <w:marRight w:val="0"/>
      <w:marTop w:val="0"/>
      <w:marBottom w:val="0"/>
      <w:divBdr>
        <w:top w:val="none" w:sz="0" w:space="0" w:color="auto"/>
        <w:left w:val="none" w:sz="0" w:space="0" w:color="auto"/>
        <w:bottom w:val="none" w:sz="0" w:space="0" w:color="auto"/>
        <w:right w:val="none" w:sz="0" w:space="0" w:color="auto"/>
      </w:divBdr>
      <w:divsChild>
        <w:div w:id="705715999">
          <w:marLeft w:val="0"/>
          <w:marRight w:val="0"/>
          <w:marTop w:val="0"/>
          <w:marBottom w:val="0"/>
          <w:divBdr>
            <w:top w:val="none" w:sz="0" w:space="0" w:color="auto"/>
            <w:left w:val="none" w:sz="0" w:space="0" w:color="auto"/>
            <w:bottom w:val="none" w:sz="0" w:space="0" w:color="auto"/>
            <w:right w:val="none" w:sz="0" w:space="0" w:color="auto"/>
          </w:divBdr>
          <w:divsChild>
            <w:div w:id="381834666">
              <w:marLeft w:val="0"/>
              <w:marRight w:val="0"/>
              <w:marTop w:val="120"/>
              <w:marBottom w:val="120"/>
              <w:divBdr>
                <w:top w:val="none" w:sz="0" w:space="0" w:color="auto"/>
                <w:left w:val="none" w:sz="0" w:space="0" w:color="auto"/>
                <w:bottom w:val="none" w:sz="0" w:space="0" w:color="auto"/>
                <w:right w:val="none" w:sz="0" w:space="0" w:color="auto"/>
              </w:divBdr>
            </w:div>
            <w:div w:id="19158946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406164">
      <w:marLeft w:val="0"/>
      <w:marRight w:val="0"/>
      <w:marTop w:val="120"/>
      <w:marBottom w:val="60"/>
      <w:divBdr>
        <w:top w:val="none" w:sz="0" w:space="0" w:color="auto"/>
        <w:left w:val="none" w:sz="0" w:space="0" w:color="auto"/>
        <w:bottom w:val="none" w:sz="0" w:space="0" w:color="auto"/>
        <w:right w:val="none" w:sz="0" w:space="0" w:color="auto"/>
      </w:divBdr>
    </w:div>
    <w:div w:id="1445273111">
      <w:marLeft w:val="0"/>
      <w:marRight w:val="0"/>
      <w:marTop w:val="120"/>
      <w:marBottom w:val="60"/>
      <w:divBdr>
        <w:top w:val="none" w:sz="0" w:space="0" w:color="auto"/>
        <w:left w:val="none" w:sz="0" w:space="0" w:color="auto"/>
        <w:bottom w:val="none" w:sz="0" w:space="0" w:color="auto"/>
        <w:right w:val="none" w:sz="0" w:space="0" w:color="auto"/>
      </w:divBdr>
    </w:div>
    <w:div w:id="1447237513">
      <w:marLeft w:val="0"/>
      <w:marRight w:val="0"/>
      <w:marTop w:val="0"/>
      <w:marBottom w:val="0"/>
      <w:divBdr>
        <w:top w:val="none" w:sz="0" w:space="0" w:color="auto"/>
        <w:left w:val="none" w:sz="0" w:space="0" w:color="auto"/>
        <w:bottom w:val="none" w:sz="0" w:space="0" w:color="auto"/>
        <w:right w:val="none" w:sz="0" w:space="0" w:color="auto"/>
      </w:divBdr>
      <w:divsChild>
        <w:div w:id="600261785">
          <w:marLeft w:val="0"/>
          <w:marRight w:val="0"/>
          <w:marTop w:val="120"/>
          <w:marBottom w:val="120"/>
          <w:divBdr>
            <w:top w:val="none" w:sz="0" w:space="0" w:color="auto"/>
            <w:left w:val="none" w:sz="0" w:space="0" w:color="auto"/>
            <w:bottom w:val="none" w:sz="0" w:space="0" w:color="auto"/>
            <w:right w:val="none" w:sz="0" w:space="0" w:color="auto"/>
          </w:divBdr>
        </w:div>
        <w:div w:id="845292999">
          <w:marLeft w:val="0"/>
          <w:marRight w:val="0"/>
          <w:marTop w:val="120"/>
          <w:marBottom w:val="120"/>
          <w:divBdr>
            <w:top w:val="none" w:sz="0" w:space="0" w:color="auto"/>
            <w:left w:val="none" w:sz="0" w:space="0" w:color="auto"/>
            <w:bottom w:val="none" w:sz="0" w:space="0" w:color="auto"/>
            <w:right w:val="none" w:sz="0" w:space="0" w:color="auto"/>
          </w:divBdr>
        </w:div>
      </w:divsChild>
    </w:div>
    <w:div w:id="1455169610">
      <w:marLeft w:val="0"/>
      <w:marRight w:val="0"/>
      <w:marTop w:val="120"/>
      <w:marBottom w:val="60"/>
      <w:divBdr>
        <w:top w:val="none" w:sz="0" w:space="0" w:color="auto"/>
        <w:left w:val="none" w:sz="0" w:space="0" w:color="auto"/>
        <w:bottom w:val="none" w:sz="0" w:space="0" w:color="auto"/>
        <w:right w:val="none" w:sz="0" w:space="0" w:color="auto"/>
      </w:divBdr>
    </w:div>
    <w:div w:id="1462185915">
      <w:marLeft w:val="0"/>
      <w:marRight w:val="0"/>
      <w:marTop w:val="120"/>
      <w:marBottom w:val="120"/>
      <w:divBdr>
        <w:top w:val="none" w:sz="0" w:space="0" w:color="auto"/>
        <w:left w:val="none" w:sz="0" w:space="0" w:color="auto"/>
        <w:bottom w:val="none" w:sz="0" w:space="0" w:color="auto"/>
        <w:right w:val="none" w:sz="0" w:space="0" w:color="auto"/>
      </w:divBdr>
    </w:div>
    <w:div w:id="1469008003">
      <w:marLeft w:val="0"/>
      <w:marRight w:val="0"/>
      <w:marTop w:val="120"/>
      <w:marBottom w:val="120"/>
      <w:divBdr>
        <w:top w:val="none" w:sz="0" w:space="0" w:color="auto"/>
        <w:left w:val="none" w:sz="0" w:space="0" w:color="auto"/>
        <w:bottom w:val="none" w:sz="0" w:space="0" w:color="auto"/>
        <w:right w:val="none" w:sz="0" w:space="0" w:color="auto"/>
      </w:divBdr>
    </w:div>
    <w:div w:id="1472796081">
      <w:marLeft w:val="0"/>
      <w:marRight w:val="0"/>
      <w:marTop w:val="120"/>
      <w:marBottom w:val="120"/>
      <w:divBdr>
        <w:top w:val="none" w:sz="0" w:space="0" w:color="auto"/>
        <w:left w:val="none" w:sz="0" w:space="0" w:color="auto"/>
        <w:bottom w:val="none" w:sz="0" w:space="0" w:color="auto"/>
        <w:right w:val="none" w:sz="0" w:space="0" w:color="auto"/>
      </w:divBdr>
    </w:div>
    <w:div w:id="1473332589">
      <w:marLeft w:val="0"/>
      <w:marRight w:val="0"/>
      <w:marTop w:val="120"/>
      <w:marBottom w:val="120"/>
      <w:divBdr>
        <w:top w:val="none" w:sz="0" w:space="0" w:color="auto"/>
        <w:left w:val="none" w:sz="0" w:space="0" w:color="auto"/>
        <w:bottom w:val="none" w:sz="0" w:space="0" w:color="auto"/>
        <w:right w:val="none" w:sz="0" w:space="0" w:color="auto"/>
      </w:divBdr>
    </w:div>
    <w:div w:id="1473408135">
      <w:marLeft w:val="0"/>
      <w:marRight w:val="0"/>
      <w:marTop w:val="0"/>
      <w:marBottom w:val="0"/>
      <w:divBdr>
        <w:top w:val="none" w:sz="0" w:space="0" w:color="auto"/>
        <w:left w:val="none" w:sz="0" w:space="0" w:color="auto"/>
        <w:bottom w:val="none" w:sz="0" w:space="0" w:color="auto"/>
        <w:right w:val="none" w:sz="0" w:space="0" w:color="auto"/>
      </w:divBdr>
      <w:divsChild>
        <w:div w:id="1311055079">
          <w:marLeft w:val="0"/>
          <w:marRight w:val="0"/>
          <w:marTop w:val="0"/>
          <w:marBottom w:val="0"/>
          <w:divBdr>
            <w:top w:val="none" w:sz="0" w:space="0" w:color="auto"/>
            <w:left w:val="none" w:sz="0" w:space="0" w:color="auto"/>
            <w:bottom w:val="none" w:sz="0" w:space="0" w:color="auto"/>
            <w:right w:val="none" w:sz="0" w:space="0" w:color="auto"/>
          </w:divBdr>
          <w:divsChild>
            <w:div w:id="16770333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0032216">
      <w:marLeft w:val="0"/>
      <w:marRight w:val="0"/>
      <w:marTop w:val="120"/>
      <w:marBottom w:val="120"/>
      <w:divBdr>
        <w:top w:val="none" w:sz="0" w:space="0" w:color="auto"/>
        <w:left w:val="none" w:sz="0" w:space="0" w:color="auto"/>
        <w:bottom w:val="none" w:sz="0" w:space="0" w:color="auto"/>
        <w:right w:val="none" w:sz="0" w:space="0" w:color="auto"/>
      </w:divBdr>
    </w:div>
    <w:div w:id="1485464669">
      <w:marLeft w:val="0"/>
      <w:marRight w:val="0"/>
      <w:marTop w:val="120"/>
      <w:marBottom w:val="120"/>
      <w:divBdr>
        <w:top w:val="none" w:sz="0" w:space="0" w:color="auto"/>
        <w:left w:val="none" w:sz="0" w:space="0" w:color="auto"/>
        <w:bottom w:val="none" w:sz="0" w:space="0" w:color="auto"/>
        <w:right w:val="none" w:sz="0" w:space="0" w:color="auto"/>
      </w:divBdr>
      <w:divsChild>
        <w:div w:id="187185025">
          <w:marLeft w:val="0"/>
          <w:marRight w:val="0"/>
          <w:marTop w:val="0"/>
          <w:marBottom w:val="0"/>
          <w:divBdr>
            <w:top w:val="none" w:sz="0" w:space="0" w:color="auto"/>
            <w:left w:val="none" w:sz="0" w:space="0" w:color="auto"/>
            <w:bottom w:val="none" w:sz="0" w:space="0" w:color="auto"/>
            <w:right w:val="none" w:sz="0" w:space="0" w:color="auto"/>
          </w:divBdr>
        </w:div>
        <w:div w:id="2071539627">
          <w:marLeft w:val="0"/>
          <w:marRight w:val="0"/>
          <w:marTop w:val="0"/>
          <w:marBottom w:val="0"/>
          <w:divBdr>
            <w:top w:val="none" w:sz="0" w:space="0" w:color="auto"/>
            <w:left w:val="none" w:sz="0" w:space="0" w:color="auto"/>
            <w:bottom w:val="none" w:sz="0" w:space="0" w:color="auto"/>
            <w:right w:val="none" w:sz="0" w:space="0" w:color="auto"/>
          </w:divBdr>
        </w:div>
        <w:div w:id="1359505119">
          <w:marLeft w:val="0"/>
          <w:marRight w:val="0"/>
          <w:marTop w:val="0"/>
          <w:marBottom w:val="0"/>
          <w:divBdr>
            <w:top w:val="none" w:sz="0" w:space="0" w:color="auto"/>
            <w:left w:val="none" w:sz="0" w:space="0" w:color="auto"/>
            <w:bottom w:val="none" w:sz="0" w:space="0" w:color="auto"/>
            <w:right w:val="none" w:sz="0" w:space="0" w:color="auto"/>
          </w:divBdr>
        </w:div>
      </w:divsChild>
    </w:div>
    <w:div w:id="1487942388">
      <w:marLeft w:val="0"/>
      <w:marRight w:val="0"/>
      <w:marTop w:val="120"/>
      <w:marBottom w:val="120"/>
      <w:divBdr>
        <w:top w:val="none" w:sz="0" w:space="0" w:color="auto"/>
        <w:left w:val="none" w:sz="0" w:space="0" w:color="auto"/>
        <w:bottom w:val="none" w:sz="0" w:space="0" w:color="auto"/>
        <w:right w:val="none" w:sz="0" w:space="0" w:color="auto"/>
      </w:divBdr>
    </w:div>
    <w:div w:id="1501847822">
      <w:marLeft w:val="0"/>
      <w:marRight w:val="0"/>
      <w:marTop w:val="120"/>
      <w:marBottom w:val="120"/>
      <w:divBdr>
        <w:top w:val="none" w:sz="0" w:space="0" w:color="auto"/>
        <w:left w:val="none" w:sz="0" w:space="0" w:color="auto"/>
        <w:bottom w:val="none" w:sz="0" w:space="0" w:color="auto"/>
        <w:right w:val="none" w:sz="0" w:space="0" w:color="auto"/>
      </w:divBdr>
    </w:div>
    <w:div w:id="1515878010">
      <w:marLeft w:val="0"/>
      <w:marRight w:val="0"/>
      <w:marTop w:val="0"/>
      <w:marBottom w:val="0"/>
      <w:divBdr>
        <w:top w:val="none" w:sz="0" w:space="0" w:color="auto"/>
        <w:left w:val="none" w:sz="0" w:space="0" w:color="auto"/>
        <w:bottom w:val="none" w:sz="0" w:space="0" w:color="auto"/>
        <w:right w:val="none" w:sz="0" w:space="0" w:color="auto"/>
      </w:divBdr>
      <w:divsChild>
        <w:div w:id="195898983">
          <w:marLeft w:val="0"/>
          <w:marRight w:val="0"/>
          <w:marTop w:val="120"/>
          <w:marBottom w:val="120"/>
          <w:divBdr>
            <w:top w:val="none" w:sz="0" w:space="0" w:color="auto"/>
            <w:left w:val="none" w:sz="0" w:space="0" w:color="auto"/>
            <w:bottom w:val="none" w:sz="0" w:space="0" w:color="auto"/>
            <w:right w:val="none" w:sz="0" w:space="0" w:color="auto"/>
          </w:divBdr>
        </w:div>
        <w:div w:id="1093668480">
          <w:marLeft w:val="0"/>
          <w:marRight w:val="0"/>
          <w:marTop w:val="120"/>
          <w:marBottom w:val="120"/>
          <w:divBdr>
            <w:top w:val="none" w:sz="0" w:space="0" w:color="auto"/>
            <w:left w:val="none" w:sz="0" w:space="0" w:color="auto"/>
            <w:bottom w:val="none" w:sz="0" w:space="0" w:color="auto"/>
            <w:right w:val="none" w:sz="0" w:space="0" w:color="auto"/>
          </w:divBdr>
        </w:div>
      </w:divsChild>
    </w:div>
    <w:div w:id="1516580235">
      <w:marLeft w:val="0"/>
      <w:marRight w:val="0"/>
      <w:marTop w:val="120"/>
      <w:marBottom w:val="120"/>
      <w:divBdr>
        <w:top w:val="none" w:sz="0" w:space="0" w:color="auto"/>
        <w:left w:val="none" w:sz="0" w:space="0" w:color="auto"/>
        <w:bottom w:val="none" w:sz="0" w:space="0" w:color="auto"/>
        <w:right w:val="none" w:sz="0" w:space="0" w:color="auto"/>
      </w:divBdr>
    </w:div>
    <w:div w:id="1518226779">
      <w:marLeft w:val="0"/>
      <w:marRight w:val="0"/>
      <w:marTop w:val="120"/>
      <w:marBottom w:val="60"/>
      <w:divBdr>
        <w:top w:val="none" w:sz="0" w:space="0" w:color="auto"/>
        <w:left w:val="none" w:sz="0" w:space="0" w:color="auto"/>
        <w:bottom w:val="none" w:sz="0" w:space="0" w:color="auto"/>
        <w:right w:val="none" w:sz="0" w:space="0" w:color="auto"/>
      </w:divBdr>
    </w:div>
    <w:div w:id="1521359358">
      <w:marLeft w:val="0"/>
      <w:marRight w:val="0"/>
      <w:marTop w:val="120"/>
      <w:marBottom w:val="20"/>
      <w:divBdr>
        <w:top w:val="none" w:sz="0" w:space="0" w:color="auto"/>
        <w:left w:val="none" w:sz="0" w:space="0" w:color="auto"/>
        <w:bottom w:val="none" w:sz="0" w:space="0" w:color="auto"/>
        <w:right w:val="none" w:sz="0" w:space="0" w:color="auto"/>
      </w:divBdr>
      <w:divsChild>
        <w:div w:id="2073192411">
          <w:marLeft w:val="0"/>
          <w:marRight w:val="0"/>
          <w:marTop w:val="0"/>
          <w:marBottom w:val="0"/>
          <w:divBdr>
            <w:top w:val="none" w:sz="0" w:space="0" w:color="auto"/>
            <w:left w:val="none" w:sz="0" w:space="0" w:color="auto"/>
            <w:bottom w:val="none" w:sz="0" w:space="0" w:color="auto"/>
            <w:right w:val="none" w:sz="0" w:space="0" w:color="auto"/>
          </w:divBdr>
        </w:div>
        <w:div w:id="1776241419">
          <w:marLeft w:val="0"/>
          <w:marRight w:val="0"/>
          <w:marTop w:val="0"/>
          <w:marBottom w:val="0"/>
          <w:divBdr>
            <w:top w:val="none" w:sz="0" w:space="0" w:color="auto"/>
            <w:left w:val="none" w:sz="0" w:space="0" w:color="auto"/>
            <w:bottom w:val="none" w:sz="0" w:space="0" w:color="auto"/>
            <w:right w:val="none" w:sz="0" w:space="0" w:color="auto"/>
          </w:divBdr>
        </w:div>
        <w:div w:id="1920365124">
          <w:marLeft w:val="0"/>
          <w:marRight w:val="0"/>
          <w:marTop w:val="0"/>
          <w:marBottom w:val="0"/>
          <w:divBdr>
            <w:top w:val="none" w:sz="0" w:space="0" w:color="auto"/>
            <w:left w:val="none" w:sz="0" w:space="0" w:color="auto"/>
            <w:bottom w:val="none" w:sz="0" w:space="0" w:color="auto"/>
            <w:right w:val="none" w:sz="0" w:space="0" w:color="auto"/>
          </w:divBdr>
        </w:div>
        <w:div w:id="946542835">
          <w:marLeft w:val="0"/>
          <w:marRight w:val="0"/>
          <w:marTop w:val="0"/>
          <w:marBottom w:val="0"/>
          <w:divBdr>
            <w:top w:val="none" w:sz="0" w:space="0" w:color="auto"/>
            <w:left w:val="none" w:sz="0" w:space="0" w:color="auto"/>
            <w:bottom w:val="none" w:sz="0" w:space="0" w:color="auto"/>
            <w:right w:val="none" w:sz="0" w:space="0" w:color="auto"/>
          </w:divBdr>
        </w:div>
        <w:div w:id="1143694463">
          <w:marLeft w:val="0"/>
          <w:marRight w:val="0"/>
          <w:marTop w:val="0"/>
          <w:marBottom w:val="0"/>
          <w:divBdr>
            <w:top w:val="none" w:sz="0" w:space="0" w:color="auto"/>
            <w:left w:val="none" w:sz="0" w:space="0" w:color="auto"/>
            <w:bottom w:val="none" w:sz="0" w:space="0" w:color="auto"/>
            <w:right w:val="none" w:sz="0" w:space="0" w:color="auto"/>
          </w:divBdr>
        </w:div>
        <w:div w:id="1940596068">
          <w:marLeft w:val="0"/>
          <w:marRight w:val="0"/>
          <w:marTop w:val="0"/>
          <w:marBottom w:val="0"/>
          <w:divBdr>
            <w:top w:val="none" w:sz="0" w:space="0" w:color="auto"/>
            <w:left w:val="none" w:sz="0" w:space="0" w:color="auto"/>
            <w:bottom w:val="none" w:sz="0" w:space="0" w:color="auto"/>
            <w:right w:val="none" w:sz="0" w:space="0" w:color="auto"/>
          </w:divBdr>
        </w:div>
        <w:div w:id="156700638">
          <w:marLeft w:val="0"/>
          <w:marRight w:val="0"/>
          <w:marTop w:val="0"/>
          <w:marBottom w:val="0"/>
          <w:divBdr>
            <w:top w:val="none" w:sz="0" w:space="0" w:color="auto"/>
            <w:left w:val="none" w:sz="0" w:space="0" w:color="auto"/>
            <w:bottom w:val="none" w:sz="0" w:space="0" w:color="auto"/>
            <w:right w:val="none" w:sz="0" w:space="0" w:color="auto"/>
          </w:divBdr>
        </w:div>
        <w:div w:id="1257983973">
          <w:marLeft w:val="0"/>
          <w:marRight w:val="0"/>
          <w:marTop w:val="0"/>
          <w:marBottom w:val="0"/>
          <w:divBdr>
            <w:top w:val="none" w:sz="0" w:space="0" w:color="auto"/>
            <w:left w:val="none" w:sz="0" w:space="0" w:color="auto"/>
            <w:bottom w:val="none" w:sz="0" w:space="0" w:color="auto"/>
            <w:right w:val="none" w:sz="0" w:space="0" w:color="auto"/>
          </w:divBdr>
        </w:div>
        <w:div w:id="534076215">
          <w:marLeft w:val="0"/>
          <w:marRight w:val="0"/>
          <w:marTop w:val="0"/>
          <w:marBottom w:val="0"/>
          <w:divBdr>
            <w:top w:val="none" w:sz="0" w:space="0" w:color="auto"/>
            <w:left w:val="none" w:sz="0" w:space="0" w:color="auto"/>
            <w:bottom w:val="none" w:sz="0" w:space="0" w:color="auto"/>
            <w:right w:val="none" w:sz="0" w:space="0" w:color="auto"/>
          </w:divBdr>
        </w:div>
        <w:div w:id="1865901044">
          <w:marLeft w:val="0"/>
          <w:marRight w:val="0"/>
          <w:marTop w:val="0"/>
          <w:marBottom w:val="0"/>
          <w:divBdr>
            <w:top w:val="none" w:sz="0" w:space="0" w:color="auto"/>
            <w:left w:val="none" w:sz="0" w:space="0" w:color="auto"/>
            <w:bottom w:val="none" w:sz="0" w:space="0" w:color="auto"/>
            <w:right w:val="none" w:sz="0" w:space="0" w:color="auto"/>
          </w:divBdr>
        </w:div>
        <w:div w:id="1059136560">
          <w:marLeft w:val="0"/>
          <w:marRight w:val="0"/>
          <w:marTop w:val="0"/>
          <w:marBottom w:val="0"/>
          <w:divBdr>
            <w:top w:val="none" w:sz="0" w:space="0" w:color="auto"/>
            <w:left w:val="none" w:sz="0" w:space="0" w:color="auto"/>
            <w:bottom w:val="none" w:sz="0" w:space="0" w:color="auto"/>
            <w:right w:val="none" w:sz="0" w:space="0" w:color="auto"/>
          </w:divBdr>
        </w:div>
        <w:div w:id="1310331160">
          <w:marLeft w:val="0"/>
          <w:marRight w:val="0"/>
          <w:marTop w:val="0"/>
          <w:marBottom w:val="0"/>
          <w:divBdr>
            <w:top w:val="none" w:sz="0" w:space="0" w:color="auto"/>
            <w:left w:val="none" w:sz="0" w:space="0" w:color="auto"/>
            <w:bottom w:val="none" w:sz="0" w:space="0" w:color="auto"/>
            <w:right w:val="none" w:sz="0" w:space="0" w:color="auto"/>
          </w:divBdr>
        </w:div>
        <w:div w:id="1293050405">
          <w:marLeft w:val="0"/>
          <w:marRight w:val="0"/>
          <w:marTop w:val="0"/>
          <w:marBottom w:val="0"/>
          <w:divBdr>
            <w:top w:val="none" w:sz="0" w:space="0" w:color="auto"/>
            <w:left w:val="none" w:sz="0" w:space="0" w:color="auto"/>
            <w:bottom w:val="none" w:sz="0" w:space="0" w:color="auto"/>
            <w:right w:val="none" w:sz="0" w:space="0" w:color="auto"/>
          </w:divBdr>
        </w:div>
        <w:div w:id="1447192255">
          <w:marLeft w:val="0"/>
          <w:marRight w:val="0"/>
          <w:marTop w:val="0"/>
          <w:marBottom w:val="0"/>
          <w:divBdr>
            <w:top w:val="none" w:sz="0" w:space="0" w:color="auto"/>
            <w:left w:val="none" w:sz="0" w:space="0" w:color="auto"/>
            <w:bottom w:val="none" w:sz="0" w:space="0" w:color="auto"/>
            <w:right w:val="none" w:sz="0" w:space="0" w:color="auto"/>
          </w:divBdr>
        </w:div>
        <w:div w:id="1369718741">
          <w:marLeft w:val="0"/>
          <w:marRight w:val="0"/>
          <w:marTop w:val="0"/>
          <w:marBottom w:val="0"/>
          <w:divBdr>
            <w:top w:val="none" w:sz="0" w:space="0" w:color="auto"/>
            <w:left w:val="none" w:sz="0" w:space="0" w:color="auto"/>
            <w:bottom w:val="none" w:sz="0" w:space="0" w:color="auto"/>
            <w:right w:val="none" w:sz="0" w:space="0" w:color="auto"/>
          </w:divBdr>
        </w:div>
        <w:div w:id="1793936667">
          <w:marLeft w:val="0"/>
          <w:marRight w:val="0"/>
          <w:marTop w:val="0"/>
          <w:marBottom w:val="0"/>
          <w:divBdr>
            <w:top w:val="none" w:sz="0" w:space="0" w:color="auto"/>
            <w:left w:val="none" w:sz="0" w:space="0" w:color="auto"/>
            <w:bottom w:val="none" w:sz="0" w:space="0" w:color="auto"/>
            <w:right w:val="none" w:sz="0" w:space="0" w:color="auto"/>
          </w:divBdr>
        </w:div>
        <w:div w:id="424427538">
          <w:marLeft w:val="0"/>
          <w:marRight w:val="0"/>
          <w:marTop w:val="0"/>
          <w:marBottom w:val="0"/>
          <w:divBdr>
            <w:top w:val="none" w:sz="0" w:space="0" w:color="auto"/>
            <w:left w:val="none" w:sz="0" w:space="0" w:color="auto"/>
            <w:bottom w:val="none" w:sz="0" w:space="0" w:color="auto"/>
            <w:right w:val="none" w:sz="0" w:space="0" w:color="auto"/>
          </w:divBdr>
        </w:div>
        <w:div w:id="412630239">
          <w:marLeft w:val="0"/>
          <w:marRight w:val="0"/>
          <w:marTop w:val="0"/>
          <w:marBottom w:val="0"/>
          <w:divBdr>
            <w:top w:val="none" w:sz="0" w:space="0" w:color="auto"/>
            <w:left w:val="none" w:sz="0" w:space="0" w:color="auto"/>
            <w:bottom w:val="none" w:sz="0" w:space="0" w:color="auto"/>
            <w:right w:val="none" w:sz="0" w:space="0" w:color="auto"/>
          </w:divBdr>
        </w:div>
        <w:div w:id="1169129380">
          <w:marLeft w:val="0"/>
          <w:marRight w:val="0"/>
          <w:marTop w:val="0"/>
          <w:marBottom w:val="0"/>
          <w:divBdr>
            <w:top w:val="none" w:sz="0" w:space="0" w:color="auto"/>
            <w:left w:val="none" w:sz="0" w:space="0" w:color="auto"/>
            <w:bottom w:val="none" w:sz="0" w:space="0" w:color="auto"/>
            <w:right w:val="none" w:sz="0" w:space="0" w:color="auto"/>
          </w:divBdr>
        </w:div>
        <w:div w:id="1769427001">
          <w:marLeft w:val="0"/>
          <w:marRight w:val="0"/>
          <w:marTop w:val="0"/>
          <w:marBottom w:val="0"/>
          <w:divBdr>
            <w:top w:val="none" w:sz="0" w:space="0" w:color="auto"/>
            <w:left w:val="none" w:sz="0" w:space="0" w:color="auto"/>
            <w:bottom w:val="none" w:sz="0" w:space="0" w:color="auto"/>
            <w:right w:val="none" w:sz="0" w:space="0" w:color="auto"/>
          </w:divBdr>
        </w:div>
        <w:div w:id="1022852551">
          <w:marLeft w:val="0"/>
          <w:marRight w:val="0"/>
          <w:marTop w:val="0"/>
          <w:marBottom w:val="0"/>
          <w:divBdr>
            <w:top w:val="none" w:sz="0" w:space="0" w:color="auto"/>
            <w:left w:val="none" w:sz="0" w:space="0" w:color="auto"/>
            <w:bottom w:val="none" w:sz="0" w:space="0" w:color="auto"/>
            <w:right w:val="none" w:sz="0" w:space="0" w:color="auto"/>
          </w:divBdr>
        </w:div>
        <w:div w:id="1880896614">
          <w:marLeft w:val="0"/>
          <w:marRight w:val="0"/>
          <w:marTop w:val="0"/>
          <w:marBottom w:val="0"/>
          <w:divBdr>
            <w:top w:val="none" w:sz="0" w:space="0" w:color="auto"/>
            <w:left w:val="none" w:sz="0" w:space="0" w:color="auto"/>
            <w:bottom w:val="none" w:sz="0" w:space="0" w:color="auto"/>
            <w:right w:val="none" w:sz="0" w:space="0" w:color="auto"/>
          </w:divBdr>
        </w:div>
        <w:div w:id="946499053">
          <w:marLeft w:val="0"/>
          <w:marRight w:val="0"/>
          <w:marTop w:val="0"/>
          <w:marBottom w:val="0"/>
          <w:divBdr>
            <w:top w:val="none" w:sz="0" w:space="0" w:color="auto"/>
            <w:left w:val="none" w:sz="0" w:space="0" w:color="auto"/>
            <w:bottom w:val="none" w:sz="0" w:space="0" w:color="auto"/>
            <w:right w:val="none" w:sz="0" w:space="0" w:color="auto"/>
          </w:divBdr>
        </w:div>
        <w:div w:id="1160585173">
          <w:marLeft w:val="0"/>
          <w:marRight w:val="0"/>
          <w:marTop w:val="0"/>
          <w:marBottom w:val="0"/>
          <w:divBdr>
            <w:top w:val="none" w:sz="0" w:space="0" w:color="auto"/>
            <w:left w:val="none" w:sz="0" w:space="0" w:color="auto"/>
            <w:bottom w:val="none" w:sz="0" w:space="0" w:color="auto"/>
            <w:right w:val="none" w:sz="0" w:space="0" w:color="auto"/>
          </w:divBdr>
        </w:div>
      </w:divsChild>
    </w:div>
    <w:div w:id="1530755645">
      <w:marLeft w:val="0"/>
      <w:marRight w:val="0"/>
      <w:marTop w:val="200"/>
      <w:marBottom w:val="160"/>
      <w:divBdr>
        <w:top w:val="none" w:sz="0" w:space="0" w:color="auto"/>
        <w:left w:val="none" w:sz="0" w:space="0" w:color="auto"/>
        <w:bottom w:val="none" w:sz="0" w:space="0" w:color="auto"/>
        <w:right w:val="none" w:sz="0" w:space="0" w:color="auto"/>
      </w:divBdr>
    </w:div>
    <w:div w:id="1543176909">
      <w:marLeft w:val="0"/>
      <w:marRight w:val="0"/>
      <w:marTop w:val="120"/>
      <w:marBottom w:val="120"/>
      <w:divBdr>
        <w:top w:val="none" w:sz="0" w:space="0" w:color="auto"/>
        <w:left w:val="none" w:sz="0" w:space="0" w:color="auto"/>
        <w:bottom w:val="none" w:sz="0" w:space="0" w:color="auto"/>
        <w:right w:val="none" w:sz="0" w:space="0" w:color="auto"/>
      </w:divBdr>
    </w:div>
    <w:div w:id="1551765366">
      <w:marLeft w:val="0"/>
      <w:marRight w:val="0"/>
      <w:marTop w:val="120"/>
      <w:marBottom w:val="120"/>
      <w:divBdr>
        <w:top w:val="none" w:sz="0" w:space="0" w:color="auto"/>
        <w:left w:val="none" w:sz="0" w:space="0" w:color="auto"/>
        <w:bottom w:val="none" w:sz="0" w:space="0" w:color="auto"/>
        <w:right w:val="none" w:sz="0" w:space="0" w:color="auto"/>
      </w:divBdr>
    </w:div>
    <w:div w:id="1551920440">
      <w:marLeft w:val="0"/>
      <w:marRight w:val="0"/>
      <w:marTop w:val="120"/>
      <w:marBottom w:val="120"/>
      <w:divBdr>
        <w:top w:val="none" w:sz="0" w:space="0" w:color="auto"/>
        <w:left w:val="none" w:sz="0" w:space="0" w:color="auto"/>
        <w:bottom w:val="none" w:sz="0" w:space="0" w:color="auto"/>
        <w:right w:val="none" w:sz="0" w:space="0" w:color="auto"/>
      </w:divBdr>
    </w:div>
    <w:div w:id="1556770790">
      <w:marLeft w:val="0"/>
      <w:marRight w:val="0"/>
      <w:marTop w:val="120"/>
      <w:marBottom w:val="120"/>
      <w:divBdr>
        <w:top w:val="none" w:sz="0" w:space="0" w:color="auto"/>
        <w:left w:val="none" w:sz="0" w:space="0" w:color="auto"/>
        <w:bottom w:val="none" w:sz="0" w:space="0" w:color="auto"/>
        <w:right w:val="none" w:sz="0" w:space="0" w:color="auto"/>
      </w:divBdr>
    </w:div>
    <w:div w:id="1558200936">
      <w:marLeft w:val="0"/>
      <w:marRight w:val="0"/>
      <w:marTop w:val="120"/>
      <w:marBottom w:val="120"/>
      <w:divBdr>
        <w:top w:val="none" w:sz="0" w:space="0" w:color="auto"/>
        <w:left w:val="none" w:sz="0" w:space="0" w:color="auto"/>
        <w:bottom w:val="none" w:sz="0" w:space="0" w:color="auto"/>
        <w:right w:val="none" w:sz="0" w:space="0" w:color="auto"/>
      </w:divBdr>
    </w:div>
    <w:div w:id="1567691797">
      <w:marLeft w:val="0"/>
      <w:marRight w:val="0"/>
      <w:marTop w:val="120"/>
      <w:marBottom w:val="120"/>
      <w:divBdr>
        <w:top w:val="none" w:sz="0" w:space="0" w:color="auto"/>
        <w:left w:val="none" w:sz="0" w:space="0" w:color="auto"/>
        <w:bottom w:val="none" w:sz="0" w:space="0" w:color="auto"/>
        <w:right w:val="none" w:sz="0" w:space="0" w:color="auto"/>
      </w:divBdr>
    </w:div>
    <w:div w:id="1569849653">
      <w:marLeft w:val="0"/>
      <w:marRight w:val="0"/>
      <w:marTop w:val="120"/>
      <w:marBottom w:val="120"/>
      <w:divBdr>
        <w:top w:val="none" w:sz="0" w:space="0" w:color="auto"/>
        <w:left w:val="none" w:sz="0" w:space="0" w:color="auto"/>
        <w:bottom w:val="none" w:sz="0" w:space="0" w:color="auto"/>
        <w:right w:val="none" w:sz="0" w:space="0" w:color="auto"/>
      </w:divBdr>
    </w:div>
    <w:div w:id="1572109837">
      <w:marLeft w:val="0"/>
      <w:marRight w:val="0"/>
      <w:marTop w:val="120"/>
      <w:marBottom w:val="120"/>
      <w:divBdr>
        <w:top w:val="none" w:sz="0" w:space="0" w:color="auto"/>
        <w:left w:val="none" w:sz="0" w:space="0" w:color="auto"/>
        <w:bottom w:val="none" w:sz="0" w:space="0" w:color="auto"/>
        <w:right w:val="none" w:sz="0" w:space="0" w:color="auto"/>
      </w:divBdr>
    </w:div>
    <w:div w:id="1576932031">
      <w:marLeft w:val="0"/>
      <w:marRight w:val="0"/>
      <w:marTop w:val="120"/>
      <w:marBottom w:val="120"/>
      <w:divBdr>
        <w:top w:val="none" w:sz="0" w:space="0" w:color="auto"/>
        <w:left w:val="none" w:sz="0" w:space="0" w:color="auto"/>
        <w:bottom w:val="none" w:sz="0" w:space="0" w:color="auto"/>
        <w:right w:val="none" w:sz="0" w:space="0" w:color="auto"/>
      </w:divBdr>
    </w:div>
    <w:div w:id="1578126444">
      <w:marLeft w:val="0"/>
      <w:marRight w:val="0"/>
      <w:marTop w:val="120"/>
      <w:marBottom w:val="120"/>
      <w:divBdr>
        <w:top w:val="none" w:sz="0" w:space="0" w:color="auto"/>
        <w:left w:val="none" w:sz="0" w:space="0" w:color="auto"/>
        <w:bottom w:val="none" w:sz="0" w:space="0" w:color="auto"/>
        <w:right w:val="none" w:sz="0" w:space="0" w:color="auto"/>
      </w:divBdr>
    </w:div>
    <w:div w:id="1581983125">
      <w:marLeft w:val="0"/>
      <w:marRight w:val="0"/>
      <w:marTop w:val="0"/>
      <w:marBottom w:val="0"/>
      <w:divBdr>
        <w:top w:val="none" w:sz="0" w:space="0" w:color="auto"/>
        <w:left w:val="none" w:sz="0" w:space="0" w:color="auto"/>
        <w:bottom w:val="none" w:sz="0" w:space="0" w:color="auto"/>
        <w:right w:val="none" w:sz="0" w:space="0" w:color="auto"/>
      </w:divBdr>
      <w:divsChild>
        <w:div w:id="515463964">
          <w:marLeft w:val="0"/>
          <w:marRight w:val="0"/>
          <w:marTop w:val="0"/>
          <w:marBottom w:val="0"/>
          <w:divBdr>
            <w:top w:val="none" w:sz="0" w:space="0" w:color="auto"/>
            <w:left w:val="none" w:sz="0" w:space="0" w:color="auto"/>
            <w:bottom w:val="none" w:sz="0" w:space="0" w:color="auto"/>
            <w:right w:val="none" w:sz="0" w:space="0" w:color="auto"/>
          </w:divBdr>
          <w:divsChild>
            <w:div w:id="17966067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2911840">
      <w:marLeft w:val="0"/>
      <w:marRight w:val="0"/>
      <w:marTop w:val="120"/>
      <w:marBottom w:val="120"/>
      <w:divBdr>
        <w:top w:val="none" w:sz="0" w:space="0" w:color="auto"/>
        <w:left w:val="none" w:sz="0" w:space="0" w:color="auto"/>
        <w:bottom w:val="none" w:sz="0" w:space="0" w:color="auto"/>
        <w:right w:val="none" w:sz="0" w:space="0" w:color="auto"/>
      </w:divBdr>
    </w:div>
    <w:div w:id="1585186510">
      <w:marLeft w:val="0"/>
      <w:marRight w:val="0"/>
      <w:marTop w:val="180"/>
      <w:marBottom w:val="180"/>
      <w:divBdr>
        <w:top w:val="none" w:sz="0" w:space="0" w:color="auto"/>
        <w:left w:val="none" w:sz="0" w:space="0" w:color="auto"/>
        <w:bottom w:val="none" w:sz="0" w:space="0" w:color="auto"/>
        <w:right w:val="none" w:sz="0" w:space="0" w:color="auto"/>
      </w:divBdr>
    </w:div>
    <w:div w:id="1586574280">
      <w:marLeft w:val="0"/>
      <w:marRight w:val="0"/>
      <w:marTop w:val="120"/>
      <w:marBottom w:val="120"/>
      <w:divBdr>
        <w:top w:val="none" w:sz="0" w:space="0" w:color="auto"/>
        <w:left w:val="none" w:sz="0" w:space="0" w:color="auto"/>
        <w:bottom w:val="none" w:sz="0" w:space="0" w:color="auto"/>
        <w:right w:val="none" w:sz="0" w:space="0" w:color="auto"/>
      </w:divBdr>
    </w:div>
    <w:div w:id="1588349323">
      <w:marLeft w:val="0"/>
      <w:marRight w:val="0"/>
      <w:marTop w:val="120"/>
      <w:marBottom w:val="120"/>
      <w:divBdr>
        <w:top w:val="none" w:sz="0" w:space="0" w:color="auto"/>
        <w:left w:val="none" w:sz="0" w:space="0" w:color="auto"/>
        <w:bottom w:val="none" w:sz="0" w:space="0" w:color="auto"/>
        <w:right w:val="none" w:sz="0" w:space="0" w:color="auto"/>
      </w:divBdr>
    </w:div>
    <w:div w:id="1592352318">
      <w:marLeft w:val="0"/>
      <w:marRight w:val="0"/>
      <w:marTop w:val="120"/>
      <w:marBottom w:val="120"/>
      <w:divBdr>
        <w:top w:val="none" w:sz="0" w:space="0" w:color="auto"/>
        <w:left w:val="none" w:sz="0" w:space="0" w:color="auto"/>
        <w:bottom w:val="none" w:sz="0" w:space="0" w:color="auto"/>
        <w:right w:val="none" w:sz="0" w:space="0" w:color="auto"/>
      </w:divBdr>
    </w:div>
    <w:div w:id="1594436225">
      <w:marLeft w:val="0"/>
      <w:marRight w:val="0"/>
      <w:marTop w:val="180"/>
      <w:marBottom w:val="180"/>
      <w:divBdr>
        <w:top w:val="none" w:sz="0" w:space="0" w:color="auto"/>
        <w:left w:val="none" w:sz="0" w:space="0" w:color="auto"/>
        <w:bottom w:val="none" w:sz="0" w:space="0" w:color="auto"/>
        <w:right w:val="none" w:sz="0" w:space="0" w:color="auto"/>
      </w:divBdr>
    </w:div>
    <w:div w:id="1599370412">
      <w:marLeft w:val="0"/>
      <w:marRight w:val="0"/>
      <w:marTop w:val="120"/>
      <w:marBottom w:val="120"/>
      <w:divBdr>
        <w:top w:val="none" w:sz="0" w:space="0" w:color="auto"/>
        <w:left w:val="none" w:sz="0" w:space="0" w:color="auto"/>
        <w:bottom w:val="none" w:sz="0" w:space="0" w:color="auto"/>
        <w:right w:val="none" w:sz="0" w:space="0" w:color="auto"/>
      </w:divBdr>
    </w:div>
    <w:div w:id="1605652485">
      <w:marLeft w:val="0"/>
      <w:marRight w:val="0"/>
      <w:marTop w:val="0"/>
      <w:marBottom w:val="0"/>
      <w:divBdr>
        <w:top w:val="none" w:sz="0" w:space="0" w:color="auto"/>
        <w:left w:val="none" w:sz="0" w:space="0" w:color="auto"/>
        <w:bottom w:val="none" w:sz="0" w:space="0" w:color="auto"/>
        <w:right w:val="none" w:sz="0" w:space="0" w:color="auto"/>
      </w:divBdr>
      <w:divsChild>
        <w:div w:id="1164786461">
          <w:marLeft w:val="0"/>
          <w:marRight w:val="0"/>
          <w:marTop w:val="120"/>
          <w:marBottom w:val="120"/>
          <w:divBdr>
            <w:top w:val="none" w:sz="0" w:space="0" w:color="auto"/>
            <w:left w:val="none" w:sz="0" w:space="0" w:color="auto"/>
            <w:bottom w:val="none" w:sz="0" w:space="0" w:color="auto"/>
            <w:right w:val="none" w:sz="0" w:space="0" w:color="auto"/>
          </w:divBdr>
        </w:div>
        <w:div w:id="1675572280">
          <w:marLeft w:val="0"/>
          <w:marRight w:val="0"/>
          <w:marTop w:val="120"/>
          <w:marBottom w:val="120"/>
          <w:divBdr>
            <w:top w:val="none" w:sz="0" w:space="0" w:color="auto"/>
            <w:left w:val="none" w:sz="0" w:space="0" w:color="auto"/>
            <w:bottom w:val="none" w:sz="0" w:space="0" w:color="auto"/>
            <w:right w:val="none" w:sz="0" w:space="0" w:color="auto"/>
          </w:divBdr>
        </w:div>
      </w:divsChild>
    </w:div>
    <w:div w:id="1605961592">
      <w:marLeft w:val="0"/>
      <w:marRight w:val="0"/>
      <w:marTop w:val="0"/>
      <w:marBottom w:val="0"/>
      <w:divBdr>
        <w:top w:val="none" w:sz="0" w:space="0" w:color="auto"/>
        <w:left w:val="none" w:sz="0" w:space="0" w:color="auto"/>
        <w:bottom w:val="none" w:sz="0" w:space="0" w:color="auto"/>
        <w:right w:val="none" w:sz="0" w:space="0" w:color="auto"/>
      </w:divBdr>
      <w:divsChild>
        <w:div w:id="1412048608">
          <w:marLeft w:val="0"/>
          <w:marRight w:val="0"/>
          <w:marTop w:val="0"/>
          <w:marBottom w:val="0"/>
          <w:divBdr>
            <w:top w:val="none" w:sz="0" w:space="0" w:color="auto"/>
            <w:left w:val="none" w:sz="0" w:space="0" w:color="auto"/>
            <w:bottom w:val="none" w:sz="0" w:space="0" w:color="auto"/>
            <w:right w:val="none" w:sz="0" w:space="0" w:color="auto"/>
          </w:divBdr>
          <w:divsChild>
            <w:div w:id="3337243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9660530">
      <w:marLeft w:val="0"/>
      <w:marRight w:val="0"/>
      <w:marTop w:val="120"/>
      <w:marBottom w:val="120"/>
      <w:divBdr>
        <w:top w:val="none" w:sz="0" w:space="0" w:color="auto"/>
        <w:left w:val="none" w:sz="0" w:space="0" w:color="auto"/>
        <w:bottom w:val="none" w:sz="0" w:space="0" w:color="auto"/>
        <w:right w:val="none" w:sz="0" w:space="0" w:color="auto"/>
      </w:divBdr>
    </w:div>
    <w:div w:id="1618029601">
      <w:marLeft w:val="0"/>
      <w:marRight w:val="0"/>
      <w:marTop w:val="120"/>
      <w:marBottom w:val="120"/>
      <w:divBdr>
        <w:top w:val="none" w:sz="0" w:space="0" w:color="auto"/>
        <w:left w:val="none" w:sz="0" w:space="0" w:color="auto"/>
        <w:bottom w:val="none" w:sz="0" w:space="0" w:color="auto"/>
        <w:right w:val="none" w:sz="0" w:space="0" w:color="auto"/>
      </w:divBdr>
    </w:div>
    <w:div w:id="1620523806">
      <w:marLeft w:val="0"/>
      <w:marRight w:val="0"/>
      <w:marTop w:val="120"/>
      <w:marBottom w:val="120"/>
      <w:divBdr>
        <w:top w:val="none" w:sz="0" w:space="0" w:color="auto"/>
        <w:left w:val="none" w:sz="0" w:space="0" w:color="auto"/>
        <w:bottom w:val="none" w:sz="0" w:space="0" w:color="auto"/>
        <w:right w:val="none" w:sz="0" w:space="0" w:color="auto"/>
      </w:divBdr>
    </w:div>
    <w:div w:id="1631088616">
      <w:marLeft w:val="0"/>
      <w:marRight w:val="0"/>
      <w:marTop w:val="120"/>
      <w:marBottom w:val="120"/>
      <w:divBdr>
        <w:top w:val="none" w:sz="0" w:space="0" w:color="auto"/>
        <w:left w:val="none" w:sz="0" w:space="0" w:color="auto"/>
        <w:bottom w:val="none" w:sz="0" w:space="0" w:color="auto"/>
        <w:right w:val="none" w:sz="0" w:space="0" w:color="auto"/>
      </w:divBdr>
    </w:div>
    <w:div w:id="1638099521">
      <w:marLeft w:val="0"/>
      <w:marRight w:val="0"/>
      <w:marTop w:val="120"/>
      <w:marBottom w:val="60"/>
      <w:divBdr>
        <w:top w:val="none" w:sz="0" w:space="0" w:color="auto"/>
        <w:left w:val="none" w:sz="0" w:space="0" w:color="auto"/>
        <w:bottom w:val="none" w:sz="0" w:space="0" w:color="auto"/>
        <w:right w:val="none" w:sz="0" w:space="0" w:color="auto"/>
      </w:divBdr>
    </w:div>
    <w:div w:id="1639531408">
      <w:marLeft w:val="0"/>
      <w:marRight w:val="0"/>
      <w:marTop w:val="0"/>
      <w:marBottom w:val="0"/>
      <w:divBdr>
        <w:top w:val="none" w:sz="0" w:space="0" w:color="auto"/>
        <w:left w:val="none" w:sz="0" w:space="0" w:color="auto"/>
        <w:bottom w:val="none" w:sz="0" w:space="0" w:color="auto"/>
        <w:right w:val="none" w:sz="0" w:space="0" w:color="auto"/>
      </w:divBdr>
      <w:divsChild>
        <w:div w:id="106706450">
          <w:marLeft w:val="0"/>
          <w:marRight w:val="0"/>
          <w:marTop w:val="120"/>
          <w:marBottom w:val="120"/>
          <w:divBdr>
            <w:top w:val="none" w:sz="0" w:space="0" w:color="auto"/>
            <w:left w:val="none" w:sz="0" w:space="0" w:color="auto"/>
            <w:bottom w:val="none" w:sz="0" w:space="0" w:color="auto"/>
            <w:right w:val="none" w:sz="0" w:space="0" w:color="auto"/>
          </w:divBdr>
        </w:div>
      </w:divsChild>
    </w:div>
    <w:div w:id="1640959350">
      <w:marLeft w:val="0"/>
      <w:marRight w:val="0"/>
      <w:marTop w:val="120"/>
      <w:marBottom w:val="120"/>
      <w:divBdr>
        <w:top w:val="none" w:sz="0" w:space="0" w:color="auto"/>
        <w:left w:val="none" w:sz="0" w:space="0" w:color="auto"/>
        <w:bottom w:val="none" w:sz="0" w:space="0" w:color="auto"/>
        <w:right w:val="none" w:sz="0" w:space="0" w:color="auto"/>
      </w:divBdr>
    </w:div>
    <w:div w:id="1659460677">
      <w:marLeft w:val="0"/>
      <w:marRight w:val="0"/>
      <w:marTop w:val="120"/>
      <w:marBottom w:val="120"/>
      <w:divBdr>
        <w:top w:val="none" w:sz="0" w:space="0" w:color="auto"/>
        <w:left w:val="none" w:sz="0" w:space="0" w:color="auto"/>
        <w:bottom w:val="none" w:sz="0" w:space="0" w:color="auto"/>
        <w:right w:val="none" w:sz="0" w:space="0" w:color="auto"/>
      </w:divBdr>
    </w:div>
    <w:div w:id="1667903271">
      <w:marLeft w:val="0"/>
      <w:marRight w:val="0"/>
      <w:marTop w:val="0"/>
      <w:marBottom w:val="0"/>
      <w:divBdr>
        <w:top w:val="none" w:sz="0" w:space="0" w:color="auto"/>
        <w:left w:val="none" w:sz="0" w:space="0" w:color="auto"/>
        <w:bottom w:val="none" w:sz="0" w:space="0" w:color="auto"/>
        <w:right w:val="none" w:sz="0" w:space="0" w:color="auto"/>
      </w:divBdr>
      <w:divsChild>
        <w:div w:id="805590635">
          <w:marLeft w:val="0"/>
          <w:marRight w:val="0"/>
          <w:marTop w:val="0"/>
          <w:marBottom w:val="0"/>
          <w:divBdr>
            <w:top w:val="none" w:sz="0" w:space="0" w:color="auto"/>
            <w:left w:val="none" w:sz="0" w:space="0" w:color="auto"/>
            <w:bottom w:val="none" w:sz="0" w:space="0" w:color="auto"/>
            <w:right w:val="none" w:sz="0" w:space="0" w:color="auto"/>
          </w:divBdr>
          <w:divsChild>
            <w:div w:id="139926592">
              <w:marLeft w:val="0"/>
              <w:marRight w:val="0"/>
              <w:marTop w:val="120"/>
              <w:marBottom w:val="120"/>
              <w:divBdr>
                <w:top w:val="none" w:sz="0" w:space="0" w:color="auto"/>
                <w:left w:val="none" w:sz="0" w:space="0" w:color="auto"/>
                <w:bottom w:val="none" w:sz="0" w:space="0" w:color="auto"/>
                <w:right w:val="none" w:sz="0" w:space="0" w:color="auto"/>
              </w:divBdr>
            </w:div>
            <w:div w:id="10988694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4068841">
      <w:marLeft w:val="0"/>
      <w:marRight w:val="0"/>
      <w:marTop w:val="120"/>
      <w:marBottom w:val="120"/>
      <w:divBdr>
        <w:top w:val="none" w:sz="0" w:space="0" w:color="auto"/>
        <w:left w:val="none" w:sz="0" w:space="0" w:color="auto"/>
        <w:bottom w:val="none" w:sz="0" w:space="0" w:color="auto"/>
        <w:right w:val="none" w:sz="0" w:space="0" w:color="auto"/>
      </w:divBdr>
    </w:div>
    <w:div w:id="1677078595">
      <w:marLeft w:val="0"/>
      <w:marRight w:val="0"/>
      <w:marTop w:val="120"/>
      <w:marBottom w:val="120"/>
      <w:divBdr>
        <w:top w:val="none" w:sz="0" w:space="0" w:color="auto"/>
        <w:left w:val="none" w:sz="0" w:space="0" w:color="auto"/>
        <w:bottom w:val="none" w:sz="0" w:space="0" w:color="auto"/>
        <w:right w:val="none" w:sz="0" w:space="0" w:color="auto"/>
      </w:divBdr>
    </w:div>
    <w:div w:id="1678731349">
      <w:marLeft w:val="0"/>
      <w:marRight w:val="0"/>
      <w:marTop w:val="0"/>
      <w:marBottom w:val="0"/>
      <w:divBdr>
        <w:top w:val="none" w:sz="0" w:space="0" w:color="auto"/>
        <w:left w:val="none" w:sz="0" w:space="0" w:color="auto"/>
        <w:bottom w:val="none" w:sz="0" w:space="0" w:color="auto"/>
        <w:right w:val="none" w:sz="0" w:space="0" w:color="auto"/>
      </w:divBdr>
      <w:divsChild>
        <w:div w:id="850070411">
          <w:marLeft w:val="0"/>
          <w:marRight w:val="0"/>
          <w:marTop w:val="0"/>
          <w:marBottom w:val="0"/>
          <w:divBdr>
            <w:top w:val="none" w:sz="0" w:space="0" w:color="auto"/>
            <w:left w:val="none" w:sz="0" w:space="0" w:color="auto"/>
            <w:bottom w:val="none" w:sz="0" w:space="0" w:color="auto"/>
            <w:right w:val="none" w:sz="0" w:space="0" w:color="auto"/>
          </w:divBdr>
          <w:divsChild>
            <w:div w:id="17750513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5016529">
      <w:marLeft w:val="0"/>
      <w:marRight w:val="0"/>
      <w:marTop w:val="120"/>
      <w:marBottom w:val="120"/>
      <w:divBdr>
        <w:top w:val="none" w:sz="0" w:space="0" w:color="auto"/>
        <w:left w:val="none" w:sz="0" w:space="0" w:color="auto"/>
        <w:bottom w:val="none" w:sz="0" w:space="0" w:color="auto"/>
        <w:right w:val="none" w:sz="0" w:space="0" w:color="auto"/>
      </w:divBdr>
    </w:div>
    <w:div w:id="1694115874">
      <w:marLeft w:val="0"/>
      <w:marRight w:val="0"/>
      <w:marTop w:val="120"/>
      <w:marBottom w:val="120"/>
      <w:divBdr>
        <w:top w:val="none" w:sz="0" w:space="0" w:color="auto"/>
        <w:left w:val="none" w:sz="0" w:space="0" w:color="auto"/>
        <w:bottom w:val="none" w:sz="0" w:space="0" w:color="auto"/>
        <w:right w:val="none" w:sz="0" w:space="0" w:color="auto"/>
      </w:divBdr>
    </w:div>
    <w:div w:id="1697736387">
      <w:marLeft w:val="0"/>
      <w:marRight w:val="0"/>
      <w:marTop w:val="120"/>
      <w:marBottom w:val="120"/>
      <w:divBdr>
        <w:top w:val="none" w:sz="0" w:space="0" w:color="auto"/>
        <w:left w:val="none" w:sz="0" w:space="0" w:color="auto"/>
        <w:bottom w:val="none" w:sz="0" w:space="0" w:color="auto"/>
        <w:right w:val="none" w:sz="0" w:space="0" w:color="auto"/>
      </w:divBdr>
    </w:div>
    <w:div w:id="1709643212">
      <w:marLeft w:val="0"/>
      <w:marRight w:val="0"/>
      <w:marTop w:val="120"/>
      <w:marBottom w:val="60"/>
      <w:divBdr>
        <w:top w:val="none" w:sz="0" w:space="0" w:color="auto"/>
        <w:left w:val="none" w:sz="0" w:space="0" w:color="auto"/>
        <w:bottom w:val="none" w:sz="0" w:space="0" w:color="auto"/>
        <w:right w:val="none" w:sz="0" w:space="0" w:color="auto"/>
      </w:divBdr>
    </w:div>
    <w:div w:id="1712151673">
      <w:marLeft w:val="0"/>
      <w:marRight w:val="0"/>
      <w:marTop w:val="120"/>
      <w:marBottom w:val="120"/>
      <w:divBdr>
        <w:top w:val="none" w:sz="0" w:space="0" w:color="auto"/>
        <w:left w:val="none" w:sz="0" w:space="0" w:color="auto"/>
        <w:bottom w:val="none" w:sz="0" w:space="0" w:color="auto"/>
        <w:right w:val="none" w:sz="0" w:space="0" w:color="auto"/>
      </w:divBdr>
    </w:div>
    <w:div w:id="1714845023">
      <w:marLeft w:val="0"/>
      <w:marRight w:val="0"/>
      <w:marTop w:val="120"/>
      <w:marBottom w:val="120"/>
      <w:divBdr>
        <w:top w:val="none" w:sz="0" w:space="0" w:color="auto"/>
        <w:left w:val="none" w:sz="0" w:space="0" w:color="auto"/>
        <w:bottom w:val="none" w:sz="0" w:space="0" w:color="auto"/>
        <w:right w:val="none" w:sz="0" w:space="0" w:color="auto"/>
      </w:divBdr>
    </w:div>
    <w:div w:id="1725366577">
      <w:marLeft w:val="0"/>
      <w:marRight w:val="0"/>
      <w:marTop w:val="0"/>
      <w:marBottom w:val="0"/>
      <w:divBdr>
        <w:top w:val="none" w:sz="0" w:space="0" w:color="auto"/>
        <w:left w:val="none" w:sz="0" w:space="0" w:color="auto"/>
        <w:bottom w:val="none" w:sz="0" w:space="0" w:color="auto"/>
        <w:right w:val="none" w:sz="0" w:space="0" w:color="auto"/>
      </w:divBdr>
      <w:divsChild>
        <w:div w:id="286358462">
          <w:marLeft w:val="0"/>
          <w:marRight w:val="0"/>
          <w:marTop w:val="0"/>
          <w:marBottom w:val="0"/>
          <w:divBdr>
            <w:top w:val="none" w:sz="0" w:space="0" w:color="auto"/>
            <w:left w:val="none" w:sz="0" w:space="0" w:color="auto"/>
            <w:bottom w:val="none" w:sz="0" w:space="0" w:color="auto"/>
            <w:right w:val="none" w:sz="0" w:space="0" w:color="auto"/>
          </w:divBdr>
          <w:divsChild>
            <w:div w:id="16919548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0156054">
      <w:marLeft w:val="0"/>
      <w:marRight w:val="0"/>
      <w:marTop w:val="0"/>
      <w:marBottom w:val="0"/>
      <w:divBdr>
        <w:top w:val="none" w:sz="0" w:space="0" w:color="auto"/>
        <w:left w:val="none" w:sz="0" w:space="0" w:color="auto"/>
        <w:bottom w:val="none" w:sz="0" w:space="0" w:color="auto"/>
        <w:right w:val="none" w:sz="0" w:space="0" w:color="auto"/>
      </w:divBdr>
      <w:divsChild>
        <w:div w:id="964577605">
          <w:marLeft w:val="0"/>
          <w:marRight w:val="0"/>
          <w:marTop w:val="0"/>
          <w:marBottom w:val="0"/>
          <w:divBdr>
            <w:top w:val="none" w:sz="0" w:space="0" w:color="auto"/>
            <w:left w:val="none" w:sz="0" w:space="0" w:color="auto"/>
            <w:bottom w:val="none" w:sz="0" w:space="0" w:color="auto"/>
            <w:right w:val="none" w:sz="0" w:space="0" w:color="auto"/>
          </w:divBdr>
          <w:divsChild>
            <w:div w:id="8407782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4770302">
      <w:marLeft w:val="0"/>
      <w:marRight w:val="0"/>
      <w:marTop w:val="0"/>
      <w:marBottom w:val="0"/>
      <w:divBdr>
        <w:top w:val="none" w:sz="0" w:space="0" w:color="auto"/>
        <w:left w:val="none" w:sz="0" w:space="0" w:color="auto"/>
        <w:bottom w:val="none" w:sz="0" w:space="0" w:color="auto"/>
        <w:right w:val="none" w:sz="0" w:space="0" w:color="auto"/>
      </w:divBdr>
      <w:divsChild>
        <w:div w:id="1228952006">
          <w:marLeft w:val="0"/>
          <w:marRight w:val="0"/>
          <w:marTop w:val="120"/>
          <w:marBottom w:val="120"/>
          <w:divBdr>
            <w:top w:val="none" w:sz="0" w:space="0" w:color="auto"/>
            <w:left w:val="none" w:sz="0" w:space="0" w:color="auto"/>
            <w:bottom w:val="none" w:sz="0" w:space="0" w:color="auto"/>
            <w:right w:val="none" w:sz="0" w:space="0" w:color="auto"/>
          </w:divBdr>
        </w:div>
        <w:div w:id="840044468">
          <w:marLeft w:val="0"/>
          <w:marRight w:val="0"/>
          <w:marTop w:val="120"/>
          <w:marBottom w:val="120"/>
          <w:divBdr>
            <w:top w:val="none" w:sz="0" w:space="0" w:color="auto"/>
            <w:left w:val="none" w:sz="0" w:space="0" w:color="auto"/>
            <w:bottom w:val="none" w:sz="0" w:space="0" w:color="auto"/>
            <w:right w:val="none" w:sz="0" w:space="0" w:color="auto"/>
          </w:divBdr>
        </w:div>
      </w:divsChild>
    </w:div>
    <w:div w:id="1735814067">
      <w:marLeft w:val="0"/>
      <w:marRight w:val="0"/>
      <w:marTop w:val="120"/>
      <w:marBottom w:val="120"/>
      <w:divBdr>
        <w:top w:val="none" w:sz="0" w:space="0" w:color="auto"/>
        <w:left w:val="none" w:sz="0" w:space="0" w:color="auto"/>
        <w:bottom w:val="none" w:sz="0" w:space="0" w:color="auto"/>
        <w:right w:val="none" w:sz="0" w:space="0" w:color="auto"/>
      </w:divBdr>
    </w:div>
    <w:div w:id="1737316475">
      <w:marLeft w:val="0"/>
      <w:marRight w:val="0"/>
      <w:marTop w:val="0"/>
      <w:marBottom w:val="0"/>
      <w:divBdr>
        <w:top w:val="none" w:sz="0" w:space="0" w:color="auto"/>
        <w:left w:val="none" w:sz="0" w:space="0" w:color="auto"/>
        <w:bottom w:val="none" w:sz="0" w:space="0" w:color="auto"/>
        <w:right w:val="none" w:sz="0" w:space="0" w:color="auto"/>
      </w:divBdr>
      <w:divsChild>
        <w:div w:id="103891155">
          <w:marLeft w:val="0"/>
          <w:marRight w:val="0"/>
          <w:marTop w:val="0"/>
          <w:marBottom w:val="0"/>
          <w:divBdr>
            <w:top w:val="none" w:sz="0" w:space="0" w:color="auto"/>
            <w:left w:val="none" w:sz="0" w:space="0" w:color="auto"/>
            <w:bottom w:val="none" w:sz="0" w:space="0" w:color="auto"/>
            <w:right w:val="none" w:sz="0" w:space="0" w:color="auto"/>
          </w:divBdr>
          <w:divsChild>
            <w:div w:id="21002532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7073309">
      <w:marLeft w:val="0"/>
      <w:marRight w:val="0"/>
      <w:marTop w:val="180"/>
      <w:marBottom w:val="180"/>
      <w:divBdr>
        <w:top w:val="none" w:sz="0" w:space="0" w:color="auto"/>
        <w:left w:val="none" w:sz="0" w:space="0" w:color="auto"/>
        <w:bottom w:val="none" w:sz="0" w:space="0" w:color="auto"/>
        <w:right w:val="none" w:sz="0" w:space="0" w:color="auto"/>
      </w:divBdr>
    </w:div>
    <w:div w:id="1750153805">
      <w:marLeft w:val="0"/>
      <w:marRight w:val="0"/>
      <w:marTop w:val="0"/>
      <w:marBottom w:val="0"/>
      <w:divBdr>
        <w:top w:val="none" w:sz="0" w:space="0" w:color="auto"/>
        <w:left w:val="none" w:sz="0" w:space="0" w:color="auto"/>
        <w:bottom w:val="none" w:sz="0" w:space="0" w:color="auto"/>
        <w:right w:val="none" w:sz="0" w:space="0" w:color="auto"/>
      </w:divBdr>
      <w:divsChild>
        <w:div w:id="1810784887">
          <w:marLeft w:val="0"/>
          <w:marRight w:val="0"/>
          <w:marTop w:val="120"/>
          <w:marBottom w:val="120"/>
          <w:divBdr>
            <w:top w:val="none" w:sz="0" w:space="0" w:color="auto"/>
            <w:left w:val="none" w:sz="0" w:space="0" w:color="auto"/>
            <w:bottom w:val="none" w:sz="0" w:space="0" w:color="auto"/>
            <w:right w:val="none" w:sz="0" w:space="0" w:color="auto"/>
          </w:divBdr>
        </w:div>
        <w:div w:id="303238001">
          <w:marLeft w:val="0"/>
          <w:marRight w:val="0"/>
          <w:marTop w:val="120"/>
          <w:marBottom w:val="120"/>
          <w:divBdr>
            <w:top w:val="none" w:sz="0" w:space="0" w:color="auto"/>
            <w:left w:val="none" w:sz="0" w:space="0" w:color="auto"/>
            <w:bottom w:val="none" w:sz="0" w:space="0" w:color="auto"/>
            <w:right w:val="none" w:sz="0" w:space="0" w:color="auto"/>
          </w:divBdr>
        </w:div>
      </w:divsChild>
    </w:div>
    <w:div w:id="1750806024">
      <w:marLeft w:val="0"/>
      <w:marRight w:val="0"/>
      <w:marTop w:val="120"/>
      <w:marBottom w:val="120"/>
      <w:divBdr>
        <w:top w:val="none" w:sz="0" w:space="0" w:color="auto"/>
        <w:left w:val="none" w:sz="0" w:space="0" w:color="auto"/>
        <w:bottom w:val="none" w:sz="0" w:space="0" w:color="auto"/>
        <w:right w:val="none" w:sz="0" w:space="0" w:color="auto"/>
      </w:divBdr>
    </w:div>
    <w:div w:id="1758398531">
      <w:marLeft w:val="0"/>
      <w:marRight w:val="0"/>
      <w:marTop w:val="0"/>
      <w:marBottom w:val="0"/>
      <w:divBdr>
        <w:top w:val="none" w:sz="0" w:space="0" w:color="auto"/>
        <w:left w:val="none" w:sz="0" w:space="0" w:color="auto"/>
        <w:bottom w:val="none" w:sz="0" w:space="0" w:color="auto"/>
        <w:right w:val="none" w:sz="0" w:space="0" w:color="auto"/>
      </w:divBdr>
      <w:divsChild>
        <w:div w:id="484660541">
          <w:marLeft w:val="0"/>
          <w:marRight w:val="0"/>
          <w:marTop w:val="120"/>
          <w:marBottom w:val="120"/>
          <w:divBdr>
            <w:top w:val="none" w:sz="0" w:space="0" w:color="auto"/>
            <w:left w:val="none" w:sz="0" w:space="0" w:color="auto"/>
            <w:bottom w:val="none" w:sz="0" w:space="0" w:color="auto"/>
            <w:right w:val="none" w:sz="0" w:space="0" w:color="auto"/>
          </w:divBdr>
        </w:div>
        <w:div w:id="499933217">
          <w:marLeft w:val="0"/>
          <w:marRight w:val="0"/>
          <w:marTop w:val="120"/>
          <w:marBottom w:val="120"/>
          <w:divBdr>
            <w:top w:val="none" w:sz="0" w:space="0" w:color="auto"/>
            <w:left w:val="none" w:sz="0" w:space="0" w:color="auto"/>
            <w:bottom w:val="none" w:sz="0" w:space="0" w:color="auto"/>
            <w:right w:val="none" w:sz="0" w:space="0" w:color="auto"/>
          </w:divBdr>
        </w:div>
      </w:divsChild>
    </w:div>
    <w:div w:id="1758744381">
      <w:marLeft w:val="0"/>
      <w:marRight w:val="0"/>
      <w:marTop w:val="120"/>
      <w:marBottom w:val="120"/>
      <w:divBdr>
        <w:top w:val="none" w:sz="0" w:space="0" w:color="auto"/>
        <w:left w:val="none" w:sz="0" w:space="0" w:color="auto"/>
        <w:bottom w:val="none" w:sz="0" w:space="0" w:color="auto"/>
        <w:right w:val="none" w:sz="0" w:space="0" w:color="auto"/>
      </w:divBdr>
    </w:div>
    <w:div w:id="1766271013">
      <w:marLeft w:val="0"/>
      <w:marRight w:val="0"/>
      <w:marTop w:val="120"/>
      <w:marBottom w:val="120"/>
      <w:divBdr>
        <w:top w:val="none" w:sz="0" w:space="0" w:color="auto"/>
        <w:left w:val="none" w:sz="0" w:space="0" w:color="auto"/>
        <w:bottom w:val="none" w:sz="0" w:space="0" w:color="auto"/>
        <w:right w:val="none" w:sz="0" w:space="0" w:color="auto"/>
      </w:divBdr>
    </w:div>
    <w:div w:id="1768965029">
      <w:marLeft w:val="0"/>
      <w:marRight w:val="0"/>
      <w:marTop w:val="0"/>
      <w:marBottom w:val="0"/>
      <w:divBdr>
        <w:top w:val="none" w:sz="0" w:space="0" w:color="auto"/>
        <w:left w:val="none" w:sz="0" w:space="0" w:color="auto"/>
        <w:bottom w:val="none" w:sz="0" w:space="0" w:color="auto"/>
        <w:right w:val="none" w:sz="0" w:space="0" w:color="auto"/>
      </w:divBdr>
      <w:divsChild>
        <w:div w:id="1815875548">
          <w:marLeft w:val="0"/>
          <w:marRight w:val="0"/>
          <w:marTop w:val="0"/>
          <w:marBottom w:val="0"/>
          <w:divBdr>
            <w:top w:val="none" w:sz="0" w:space="0" w:color="auto"/>
            <w:left w:val="none" w:sz="0" w:space="0" w:color="auto"/>
            <w:bottom w:val="none" w:sz="0" w:space="0" w:color="auto"/>
            <w:right w:val="none" w:sz="0" w:space="0" w:color="auto"/>
          </w:divBdr>
          <w:divsChild>
            <w:div w:id="17207411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9617576">
      <w:marLeft w:val="0"/>
      <w:marRight w:val="0"/>
      <w:marTop w:val="120"/>
      <w:marBottom w:val="120"/>
      <w:divBdr>
        <w:top w:val="none" w:sz="0" w:space="0" w:color="auto"/>
        <w:left w:val="none" w:sz="0" w:space="0" w:color="auto"/>
        <w:bottom w:val="none" w:sz="0" w:space="0" w:color="auto"/>
        <w:right w:val="none" w:sz="0" w:space="0" w:color="auto"/>
      </w:divBdr>
    </w:div>
    <w:div w:id="1773744407">
      <w:marLeft w:val="0"/>
      <w:marRight w:val="0"/>
      <w:marTop w:val="120"/>
      <w:marBottom w:val="120"/>
      <w:divBdr>
        <w:top w:val="none" w:sz="0" w:space="0" w:color="auto"/>
        <w:left w:val="none" w:sz="0" w:space="0" w:color="auto"/>
        <w:bottom w:val="none" w:sz="0" w:space="0" w:color="auto"/>
        <w:right w:val="none" w:sz="0" w:space="0" w:color="auto"/>
      </w:divBdr>
    </w:div>
    <w:div w:id="1775199996">
      <w:marLeft w:val="0"/>
      <w:marRight w:val="0"/>
      <w:marTop w:val="120"/>
      <w:marBottom w:val="120"/>
      <w:divBdr>
        <w:top w:val="none" w:sz="0" w:space="0" w:color="auto"/>
        <w:left w:val="none" w:sz="0" w:space="0" w:color="auto"/>
        <w:bottom w:val="none" w:sz="0" w:space="0" w:color="auto"/>
        <w:right w:val="none" w:sz="0" w:space="0" w:color="auto"/>
      </w:divBdr>
    </w:div>
    <w:div w:id="1779106820">
      <w:marLeft w:val="0"/>
      <w:marRight w:val="0"/>
      <w:marTop w:val="120"/>
      <w:marBottom w:val="120"/>
      <w:divBdr>
        <w:top w:val="none" w:sz="0" w:space="0" w:color="auto"/>
        <w:left w:val="none" w:sz="0" w:space="0" w:color="auto"/>
        <w:bottom w:val="none" w:sz="0" w:space="0" w:color="auto"/>
        <w:right w:val="none" w:sz="0" w:space="0" w:color="auto"/>
      </w:divBdr>
    </w:div>
    <w:div w:id="1793401369">
      <w:marLeft w:val="0"/>
      <w:marRight w:val="0"/>
      <w:marTop w:val="120"/>
      <w:marBottom w:val="60"/>
      <w:divBdr>
        <w:top w:val="none" w:sz="0" w:space="0" w:color="auto"/>
        <w:left w:val="none" w:sz="0" w:space="0" w:color="auto"/>
        <w:bottom w:val="none" w:sz="0" w:space="0" w:color="auto"/>
        <w:right w:val="none" w:sz="0" w:space="0" w:color="auto"/>
      </w:divBdr>
    </w:div>
    <w:div w:id="1810200594">
      <w:marLeft w:val="0"/>
      <w:marRight w:val="0"/>
      <w:marTop w:val="0"/>
      <w:marBottom w:val="0"/>
      <w:divBdr>
        <w:top w:val="none" w:sz="0" w:space="0" w:color="auto"/>
        <w:left w:val="none" w:sz="0" w:space="0" w:color="auto"/>
        <w:bottom w:val="none" w:sz="0" w:space="0" w:color="auto"/>
        <w:right w:val="none" w:sz="0" w:space="0" w:color="auto"/>
      </w:divBdr>
      <w:divsChild>
        <w:div w:id="1704942841">
          <w:marLeft w:val="0"/>
          <w:marRight w:val="0"/>
          <w:marTop w:val="120"/>
          <w:marBottom w:val="120"/>
          <w:divBdr>
            <w:top w:val="none" w:sz="0" w:space="0" w:color="auto"/>
            <w:left w:val="none" w:sz="0" w:space="0" w:color="auto"/>
            <w:bottom w:val="none" w:sz="0" w:space="0" w:color="auto"/>
            <w:right w:val="none" w:sz="0" w:space="0" w:color="auto"/>
          </w:divBdr>
        </w:div>
        <w:div w:id="1801337059">
          <w:marLeft w:val="0"/>
          <w:marRight w:val="0"/>
          <w:marTop w:val="120"/>
          <w:marBottom w:val="120"/>
          <w:divBdr>
            <w:top w:val="none" w:sz="0" w:space="0" w:color="auto"/>
            <w:left w:val="none" w:sz="0" w:space="0" w:color="auto"/>
            <w:bottom w:val="none" w:sz="0" w:space="0" w:color="auto"/>
            <w:right w:val="none" w:sz="0" w:space="0" w:color="auto"/>
          </w:divBdr>
        </w:div>
      </w:divsChild>
    </w:div>
    <w:div w:id="1816020914">
      <w:marLeft w:val="0"/>
      <w:marRight w:val="0"/>
      <w:marTop w:val="120"/>
      <w:marBottom w:val="120"/>
      <w:divBdr>
        <w:top w:val="none" w:sz="0" w:space="0" w:color="auto"/>
        <w:left w:val="none" w:sz="0" w:space="0" w:color="auto"/>
        <w:bottom w:val="none" w:sz="0" w:space="0" w:color="auto"/>
        <w:right w:val="none" w:sz="0" w:space="0" w:color="auto"/>
      </w:divBdr>
    </w:div>
    <w:div w:id="1817840467">
      <w:marLeft w:val="0"/>
      <w:marRight w:val="0"/>
      <w:marTop w:val="120"/>
      <w:marBottom w:val="120"/>
      <w:divBdr>
        <w:top w:val="none" w:sz="0" w:space="0" w:color="auto"/>
        <w:left w:val="none" w:sz="0" w:space="0" w:color="auto"/>
        <w:bottom w:val="none" w:sz="0" w:space="0" w:color="auto"/>
        <w:right w:val="none" w:sz="0" w:space="0" w:color="auto"/>
      </w:divBdr>
    </w:div>
    <w:div w:id="1821650308">
      <w:marLeft w:val="0"/>
      <w:marRight w:val="0"/>
      <w:marTop w:val="120"/>
      <w:marBottom w:val="120"/>
      <w:divBdr>
        <w:top w:val="none" w:sz="0" w:space="0" w:color="auto"/>
        <w:left w:val="none" w:sz="0" w:space="0" w:color="auto"/>
        <w:bottom w:val="none" w:sz="0" w:space="0" w:color="auto"/>
        <w:right w:val="none" w:sz="0" w:space="0" w:color="auto"/>
      </w:divBdr>
    </w:div>
    <w:div w:id="1823740268">
      <w:marLeft w:val="0"/>
      <w:marRight w:val="0"/>
      <w:marTop w:val="0"/>
      <w:marBottom w:val="0"/>
      <w:divBdr>
        <w:top w:val="none" w:sz="0" w:space="0" w:color="auto"/>
        <w:left w:val="none" w:sz="0" w:space="0" w:color="auto"/>
        <w:bottom w:val="none" w:sz="0" w:space="0" w:color="auto"/>
        <w:right w:val="none" w:sz="0" w:space="0" w:color="auto"/>
      </w:divBdr>
      <w:divsChild>
        <w:div w:id="468137130">
          <w:marLeft w:val="0"/>
          <w:marRight w:val="0"/>
          <w:marTop w:val="0"/>
          <w:marBottom w:val="0"/>
          <w:divBdr>
            <w:top w:val="none" w:sz="0" w:space="0" w:color="auto"/>
            <w:left w:val="none" w:sz="0" w:space="0" w:color="auto"/>
            <w:bottom w:val="none" w:sz="0" w:space="0" w:color="auto"/>
            <w:right w:val="none" w:sz="0" w:space="0" w:color="auto"/>
          </w:divBdr>
          <w:divsChild>
            <w:div w:id="9485898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6435087">
      <w:marLeft w:val="0"/>
      <w:marRight w:val="0"/>
      <w:marTop w:val="120"/>
      <w:marBottom w:val="120"/>
      <w:divBdr>
        <w:top w:val="none" w:sz="0" w:space="0" w:color="auto"/>
        <w:left w:val="none" w:sz="0" w:space="0" w:color="auto"/>
        <w:bottom w:val="none" w:sz="0" w:space="0" w:color="auto"/>
        <w:right w:val="none" w:sz="0" w:space="0" w:color="auto"/>
      </w:divBdr>
    </w:div>
    <w:div w:id="1830367818">
      <w:marLeft w:val="0"/>
      <w:marRight w:val="0"/>
      <w:marTop w:val="120"/>
      <w:marBottom w:val="60"/>
      <w:divBdr>
        <w:top w:val="none" w:sz="0" w:space="0" w:color="auto"/>
        <w:left w:val="none" w:sz="0" w:space="0" w:color="auto"/>
        <w:bottom w:val="none" w:sz="0" w:space="0" w:color="auto"/>
        <w:right w:val="none" w:sz="0" w:space="0" w:color="auto"/>
      </w:divBdr>
    </w:div>
    <w:div w:id="1833519403">
      <w:marLeft w:val="0"/>
      <w:marRight w:val="0"/>
      <w:marTop w:val="120"/>
      <w:marBottom w:val="120"/>
      <w:divBdr>
        <w:top w:val="none" w:sz="0" w:space="0" w:color="auto"/>
        <w:left w:val="none" w:sz="0" w:space="0" w:color="auto"/>
        <w:bottom w:val="none" w:sz="0" w:space="0" w:color="auto"/>
        <w:right w:val="none" w:sz="0" w:space="0" w:color="auto"/>
      </w:divBdr>
    </w:div>
    <w:div w:id="1833911795">
      <w:marLeft w:val="0"/>
      <w:marRight w:val="0"/>
      <w:marTop w:val="120"/>
      <w:marBottom w:val="120"/>
      <w:divBdr>
        <w:top w:val="none" w:sz="0" w:space="0" w:color="auto"/>
        <w:left w:val="none" w:sz="0" w:space="0" w:color="auto"/>
        <w:bottom w:val="none" w:sz="0" w:space="0" w:color="auto"/>
        <w:right w:val="none" w:sz="0" w:space="0" w:color="auto"/>
      </w:divBdr>
    </w:div>
    <w:div w:id="1835488759">
      <w:marLeft w:val="0"/>
      <w:marRight w:val="0"/>
      <w:marTop w:val="120"/>
      <w:marBottom w:val="120"/>
      <w:divBdr>
        <w:top w:val="none" w:sz="0" w:space="0" w:color="auto"/>
        <w:left w:val="none" w:sz="0" w:space="0" w:color="auto"/>
        <w:bottom w:val="none" w:sz="0" w:space="0" w:color="auto"/>
        <w:right w:val="none" w:sz="0" w:space="0" w:color="auto"/>
      </w:divBdr>
    </w:div>
    <w:div w:id="1835535388">
      <w:marLeft w:val="0"/>
      <w:marRight w:val="0"/>
      <w:marTop w:val="120"/>
      <w:marBottom w:val="120"/>
      <w:divBdr>
        <w:top w:val="none" w:sz="0" w:space="0" w:color="auto"/>
        <w:left w:val="none" w:sz="0" w:space="0" w:color="auto"/>
        <w:bottom w:val="none" w:sz="0" w:space="0" w:color="auto"/>
        <w:right w:val="none" w:sz="0" w:space="0" w:color="auto"/>
      </w:divBdr>
    </w:div>
    <w:div w:id="1837916213">
      <w:marLeft w:val="0"/>
      <w:marRight w:val="0"/>
      <w:marTop w:val="120"/>
      <w:marBottom w:val="120"/>
      <w:divBdr>
        <w:top w:val="none" w:sz="0" w:space="0" w:color="auto"/>
        <w:left w:val="none" w:sz="0" w:space="0" w:color="auto"/>
        <w:bottom w:val="none" w:sz="0" w:space="0" w:color="auto"/>
        <w:right w:val="none" w:sz="0" w:space="0" w:color="auto"/>
      </w:divBdr>
    </w:div>
    <w:div w:id="1839491297">
      <w:marLeft w:val="0"/>
      <w:marRight w:val="0"/>
      <w:marTop w:val="120"/>
      <w:marBottom w:val="120"/>
      <w:divBdr>
        <w:top w:val="none" w:sz="0" w:space="0" w:color="auto"/>
        <w:left w:val="none" w:sz="0" w:space="0" w:color="auto"/>
        <w:bottom w:val="none" w:sz="0" w:space="0" w:color="auto"/>
        <w:right w:val="none" w:sz="0" w:space="0" w:color="auto"/>
      </w:divBdr>
    </w:div>
    <w:div w:id="1856309428">
      <w:marLeft w:val="0"/>
      <w:marRight w:val="0"/>
      <w:marTop w:val="120"/>
      <w:marBottom w:val="120"/>
      <w:divBdr>
        <w:top w:val="none" w:sz="0" w:space="0" w:color="auto"/>
        <w:left w:val="none" w:sz="0" w:space="0" w:color="auto"/>
        <w:bottom w:val="none" w:sz="0" w:space="0" w:color="auto"/>
        <w:right w:val="none" w:sz="0" w:space="0" w:color="auto"/>
      </w:divBdr>
    </w:div>
    <w:div w:id="1863736281">
      <w:marLeft w:val="0"/>
      <w:marRight w:val="0"/>
      <w:marTop w:val="120"/>
      <w:marBottom w:val="60"/>
      <w:divBdr>
        <w:top w:val="none" w:sz="0" w:space="0" w:color="auto"/>
        <w:left w:val="none" w:sz="0" w:space="0" w:color="auto"/>
        <w:bottom w:val="none" w:sz="0" w:space="0" w:color="auto"/>
        <w:right w:val="none" w:sz="0" w:space="0" w:color="auto"/>
      </w:divBdr>
    </w:div>
    <w:div w:id="1867019971">
      <w:marLeft w:val="0"/>
      <w:marRight w:val="0"/>
      <w:marTop w:val="120"/>
      <w:marBottom w:val="120"/>
      <w:divBdr>
        <w:top w:val="none" w:sz="0" w:space="0" w:color="auto"/>
        <w:left w:val="none" w:sz="0" w:space="0" w:color="auto"/>
        <w:bottom w:val="none" w:sz="0" w:space="0" w:color="auto"/>
        <w:right w:val="none" w:sz="0" w:space="0" w:color="auto"/>
      </w:divBdr>
    </w:div>
    <w:div w:id="1876384004">
      <w:marLeft w:val="0"/>
      <w:marRight w:val="0"/>
      <w:marTop w:val="120"/>
      <w:marBottom w:val="120"/>
      <w:divBdr>
        <w:top w:val="none" w:sz="0" w:space="0" w:color="auto"/>
        <w:left w:val="none" w:sz="0" w:space="0" w:color="auto"/>
        <w:bottom w:val="none" w:sz="0" w:space="0" w:color="auto"/>
        <w:right w:val="none" w:sz="0" w:space="0" w:color="auto"/>
      </w:divBdr>
    </w:div>
    <w:div w:id="1878152631">
      <w:marLeft w:val="0"/>
      <w:marRight w:val="0"/>
      <w:marTop w:val="180"/>
      <w:marBottom w:val="120"/>
      <w:divBdr>
        <w:top w:val="none" w:sz="0" w:space="0" w:color="auto"/>
        <w:left w:val="none" w:sz="0" w:space="0" w:color="auto"/>
        <w:bottom w:val="none" w:sz="0" w:space="0" w:color="auto"/>
        <w:right w:val="none" w:sz="0" w:space="0" w:color="auto"/>
      </w:divBdr>
    </w:div>
    <w:div w:id="1883515717">
      <w:marLeft w:val="0"/>
      <w:marRight w:val="0"/>
      <w:marTop w:val="120"/>
      <w:marBottom w:val="120"/>
      <w:divBdr>
        <w:top w:val="none" w:sz="0" w:space="0" w:color="auto"/>
        <w:left w:val="none" w:sz="0" w:space="0" w:color="auto"/>
        <w:bottom w:val="none" w:sz="0" w:space="0" w:color="auto"/>
        <w:right w:val="none" w:sz="0" w:space="0" w:color="auto"/>
      </w:divBdr>
    </w:div>
    <w:div w:id="1891719686">
      <w:marLeft w:val="0"/>
      <w:marRight w:val="0"/>
      <w:marTop w:val="120"/>
      <w:marBottom w:val="120"/>
      <w:divBdr>
        <w:top w:val="none" w:sz="0" w:space="0" w:color="auto"/>
        <w:left w:val="none" w:sz="0" w:space="0" w:color="auto"/>
        <w:bottom w:val="none" w:sz="0" w:space="0" w:color="auto"/>
        <w:right w:val="none" w:sz="0" w:space="0" w:color="auto"/>
      </w:divBdr>
    </w:div>
    <w:div w:id="1899049070">
      <w:marLeft w:val="0"/>
      <w:marRight w:val="0"/>
      <w:marTop w:val="120"/>
      <w:marBottom w:val="120"/>
      <w:divBdr>
        <w:top w:val="none" w:sz="0" w:space="0" w:color="auto"/>
        <w:left w:val="none" w:sz="0" w:space="0" w:color="auto"/>
        <w:bottom w:val="none" w:sz="0" w:space="0" w:color="auto"/>
        <w:right w:val="none" w:sz="0" w:space="0" w:color="auto"/>
      </w:divBdr>
    </w:div>
    <w:div w:id="1903102475">
      <w:marLeft w:val="0"/>
      <w:marRight w:val="0"/>
      <w:marTop w:val="120"/>
      <w:marBottom w:val="120"/>
      <w:divBdr>
        <w:top w:val="none" w:sz="0" w:space="0" w:color="auto"/>
        <w:left w:val="none" w:sz="0" w:space="0" w:color="auto"/>
        <w:bottom w:val="none" w:sz="0" w:space="0" w:color="auto"/>
        <w:right w:val="none" w:sz="0" w:space="0" w:color="auto"/>
      </w:divBdr>
    </w:div>
    <w:div w:id="1904287699">
      <w:marLeft w:val="0"/>
      <w:marRight w:val="0"/>
      <w:marTop w:val="120"/>
      <w:marBottom w:val="120"/>
      <w:divBdr>
        <w:top w:val="none" w:sz="0" w:space="0" w:color="auto"/>
        <w:left w:val="none" w:sz="0" w:space="0" w:color="auto"/>
        <w:bottom w:val="none" w:sz="0" w:space="0" w:color="auto"/>
        <w:right w:val="none" w:sz="0" w:space="0" w:color="auto"/>
      </w:divBdr>
    </w:div>
    <w:div w:id="1915384539">
      <w:marLeft w:val="0"/>
      <w:marRight w:val="0"/>
      <w:marTop w:val="120"/>
      <w:marBottom w:val="120"/>
      <w:divBdr>
        <w:top w:val="none" w:sz="0" w:space="0" w:color="auto"/>
        <w:left w:val="none" w:sz="0" w:space="0" w:color="auto"/>
        <w:bottom w:val="none" w:sz="0" w:space="0" w:color="auto"/>
        <w:right w:val="none" w:sz="0" w:space="0" w:color="auto"/>
      </w:divBdr>
    </w:div>
    <w:div w:id="1919247845">
      <w:marLeft w:val="0"/>
      <w:marRight w:val="0"/>
      <w:marTop w:val="0"/>
      <w:marBottom w:val="0"/>
      <w:divBdr>
        <w:top w:val="none" w:sz="0" w:space="0" w:color="auto"/>
        <w:left w:val="none" w:sz="0" w:space="0" w:color="auto"/>
        <w:bottom w:val="none" w:sz="0" w:space="0" w:color="auto"/>
        <w:right w:val="none" w:sz="0" w:space="0" w:color="auto"/>
      </w:divBdr>
      <w:divsChild>
        <w:div w:id="1287615705">
          <w:marLeft w:val="0"/>
          <w:marRight w:val="0"/>
          <w:marTop w:val="120"/>
          <w:marBottom w:val="120"/>
          <w:divBdr>
            <w:top w:val="none" w:sz="0" w:space="0" w:color="auto"/>
            <w:left w:val="none" w:sz="0" w:space="0" w:color="auto"/>
            <w:bottom w:val="none" w:sz="0" w:space="0" w:color="auto"/>
            <w:right w:val="none" w:sz="0" w:space="0" w:color="auto"/>
          </w:divBdr>
        </w:div>
        <w:div w:id="1263564041">
          <w:marLeft w:val="0"/>
          <w:marRight w:val="0"/>
          <w:marTop w:val="120"/>
          <w:marBottom w:val="120"/>
          <w:divBdr>
            <w:top w:val="none" w:sz="0" w:space="0" w:color="auto"/>
            <w:left w:val="none" w:sz="0" w:space="0" w:color="auto"/>
            <w:bottom w:val="none" w:sz="0" w:space="0" w:color="auto"/>
            <w:right w:val="none" w:sz="0" w:space="0" w:color="auto"/>
          </w:divBdr>
        </w:div>
      </w:divsChild>
    </w:div>
    <w:div w:id="1922593831">
      <w:marLeft w:val="0"/>
      <w:marRight w:val="0"/>
      <w:marTop w:val="120"/>
      <w:marBottom w:val="60"/>
      <w:divBdr>
        <w:top w:val="none" w:sz="0" w:space="0" w:color="auto"/>
        <w:left w:val="none" w:sz="0" w:space="0" w:color="auto"/>
        <w:bottom w:val="none" w:sz="0" w:space="0" w:color="auto"/>
        <w:right w:val="none" w:sz="0" w:space="0" w:color="auto"/>
      </w:divBdr>
    </w:div>
    <w:div w:id="1936085160">
      <w:marLeft w:val="0"/>
      <w:marRight w:val="0"/>
      <w:marTop w:val="0"/>
      <w:marBottom w:val="0"/>
      <w:divBdr>
        <w:top w:val="none" w:sz="0" w:space="0" w:color="auto"/>
        <w:left w:val="none" w:sz="0" w:space="0" w:color="auto"/>
        <w:bottom w:val="none" w:sz="0" w:space="0" w:color="auto"/>
        <w:right w:val="none" w:sz="0" w:space="0" w:color="auto"/>
      </w:divBdr>
      <w:divsChild>
        <w:div w:id="239565238">
          <w:marLeft w:val="0"/>
          <w:marRight w:val="0"/>
          <w:marTop w:val="0"/>
          <w:marBottom w:val="0"/>
          <w:divBdr>
            <w:top w:val="none" w:sz="0" w:space="0" w:color="auto"/>
            <w:left w:val="none" w:sz="0" w:space="0" w:color="auto"/>
            <w:bottom w:val="none" w:sz="0" w:space="0" w:color="auto"/>
            <w:right w:val="none" w:sz="0" w:space="0" w:color="auto"/>
          </w:divBdr>
          <w:divsChild>
            <w:div w:id="18842511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940803">
      <w:marLeft w:val="0"/>
      <w:marRight w:val="0"/>
      <w:marTop w:val="120"/>
      <w:marBottom w:val="120"/>
      <w:divBdr>
        <w:top w:val="none" w:sz="0" w:space="0" w:color="auto"/>
        <w:left w:val="none" w:sz="0" w:space="0" w:color="auto"/>
        <w:bottom w:val="none" w:sz="0" w:space="0" w:color="auto"/>
        <w:right w:val="none" w:sz="0" w:space="0" w:color="auto"/>
      </w:divBdr>
    </w:div>
    <w:div w:id="1938322204">
      <w:marLeft w:val="0"/>
      <w:marRight w:val="0"/>
      <w:marTop w:val="120"/>
      <w:marBottom w:val="120"/>
      <w:divBdr>
        <w:top w:val="none" w:sz="0" w:space="0" w:color="auto"/>
        <w:left w:val="none" w:sz="0" w:space="0" w:color="auto"/>
        <w:bottom w:val="none" w:sz="0" w:space="0" w:color="auto"/>
        <w:right w:val="none" w:sz="0" w:space="0" w:color="auto"/>
      </w:divBdr>
    </w:div>
    <w:div w:id="1938365152">
      <w:marLeft w:val="0"/>
      <w:marRight w:val="0"/>
      <w:marTop w:val="60"/>
      <w:marBottom w:val="120"/>
      <w:divBdr>
        <w:top w:val="none" w:sz="0" w:space="0" w:color="auto"/>
        <w:left w:val="none" w:sz="0" w:space="0" w:color="auto"/>
        <w:bottom w:val="none" w:sz="0" w:space="0" w:color="auto"/>
        <w:right w:val="none" w:sz="0" w:space="0" w:color="auto"/>
      </w:divBdr>
    </w:div>
    <w:div w:id="1955598487">
      <w:marLeft w:val="0"/>
      <w:marRight w:val="0"/>
      <w:marTop w:val="120"/>
      <w:marBottom w:val="120"/>
      <w:divBdr>
        <w:top w:val="none" w:sz="0" w:space="0" w:color="auto"/>
        <w:left w:val="none" w:sz="0" w:space="0" w:color="auto"/>
        <w:bottom w:val="none" w:sz="0" w:space="0" w:color="auto"/>
        <w:right w:val="none" w:sz="0" w:space="0" w:color="auto"/>
      </w:divBdr>
    </w:div>
    <w:div w:id="1960917467">
      <w:marLeft w:val="0"/>
      <w:marRight w:val="0"/>
      <w:marTop w:val="120"/>
      <w:marBottom w:val="120"/>
      <w:divBdr>
        <w:top w:val="none" w:sz="0" w:space="0" w:color="auto"/>
        <w:left w:val="none" w:sz="0" w:space="0" w:color="auto"/>
        <w:bottom w:val="none" w:sz="0" w:space="0" w:color="auto"/>
        <w:right w:val="none" w:sz="0" w:space="0" w:color="auto"/>
      </w:divBdr>
    </w:div>
    <w:div w:id="1966038412">
      <w:marLeft w:val="0"/>
      <w:marRight w:val="0"/>
      <w:marTop w:val="120"/>
      <w:marBottom w:val="20"/>
      <w:divBdr>
        <w:top w:val="none" w:sz="0" w:space="0" w:color="auto"/>
        <w:left w:val="none" w:sz="0" w:space="0" w:color="auto"/>
        <w:bottom w:val="none" w:sz="0" w:space="0" w:color="auto"/>
        <w:right w:val="none" w:sz="0" w:space="0" w:color="auto"/>
      </w:divBdr>
    </w:div>
    <w:div w:id="1977100098">
      <w:marLeft w:val="0"/>
      <w:marRight w:val="0"/>
      <w:marTop w:val="120"/>
      <w:marBottom w:val="120"/>
      <w:divBdr>
        <w:top w:val="none" w:sz="0" w:space="0" w:color="auto"/>
        <w:left w:val="none" w:sz="0" w:space="0" w:color="auto"/>
        <w:bottom w:val="none" w:sz="0" w:space="0" w:color="auto"/>
        <w:right w:val="none" w:sz="0" w:space="0" w:color="auto"/>
      </w:divBdr>
    </w:div>
    <w:div w:id="1981688767">
      <w:marLeft w:val="0"/>
      <w:marRight w:val="0"/>
      <w:marTop w:val="120"/>
      <w:marBottom w:val="120"/>
      <w:divBdr>
        <w:top w:val="none" w:sz="0" w:space="0" w:color="auto"/>
        <w:left w:val="none" w:sz="0" w:space="0" w:color="auto"/>
        <w:bottom w:val="none" w:sz="0" w:space="0" w:color="auto"/>
        <w:right w:val="none" w:sz="0" w:space="0" w:color="auto"/>
      </w:divBdr>
    </w:div>
    <w:div w:id="2002157292">
      <w:marLeft w:val="0"/>
      <w:marRight w:val="0"/>
      <w:marTop w:val="120"/>
      <w:marBottom w:val="120"/>
      <w:divBdr>
        <w:top w:val="none" w:sz="0" w:space="0" w:color="auto"/>
        <w:left w:val="none" w:sz="0" w:space="0" w:color="auto"/>
        <w:bottom w:val="none" w:sz="0" w:space="0" w:color="auto"/>
        <w:right w:val="none" w:sz="0" w:space="0" w:color="auto"/>
      </w:divBdr>
    </w:div>
    <w:div w:id="2003047672">
      <w:marLeft w:val="0"/>
      <w:marRight w:val="0"/>
      <w:marTop w:val="120"/>
      <w:marBottom w:val="120"/>
      <w:divBdr>
        <w:top w:val="none" w:sz="0" w:space="0" w:color="auto"/>
        <w:left w:val="none" w:sz="0" w:space="0" w:color="auto"/>
        <w:bottom w:val="none" w:sz="0" w:space="0" w:color="auto"/>
        <w:right w:val="none" w:sz="0" w:space="0" w:color="auto"/>
      </w:divBdr>
    </w:div>
    <w:div w:id="2013214898">
      <w:marLeft w:val="0"/>
      <w:marRight w:val="0"/>
      <w:marTop w:val="120"/>
      <w:marBottom w:val="120"/>
      <w:divBdr>
        <w:top w:val="none" w:sz="0" w:space="0" w:color="auto"/>
        <w:left w:val="none" w:sz="0" w:space="0" w:color="auto"/>
        <w:bottom w:val="none" w:sz="0" w:space="0" w:color="auto"/>
        <w:right w:val="none" w:sz="0" w:space="0" w:color="auto"/>
      </w:divBdr>
    </w:div>
    <w:div w:id="2015065682">
      <w:marLeft w:val="0"/>
      <w:marRight w:val="0"/>
      <w:marTop w:val="0"/>
      <w:marBottom w:val="0"/>
      <w:divBdr>
        <w:top w:val="none" w:sz="0" w:space="0" w:color="auto"/>
        <w:left w:val="none" w:sz="0" w:space="0" w:color="auto"/>
        <w:bottom w:val="none" w:sz="0" w:space="0" w:color="auto"/>
        <w:right w:val="none" w:sz="0" w:space="0" w:color="auto"/>
      </w:divBdr>
      <w:divsChild>
        <w:div w:id="807820087">
          <w:marLeft w:val="0"/>
          <w:marRight w:val="0"/>
          <w:marTop w:val="120"/>
          <w:marBottom w:val="120"/>
          <w:divBdr>
            <w:top w:val="none" w:sz="0" w:space="0" w:color="auto"/>
            <w:left w:val="none" w:sz="0" w:space="0" w:color="auto"/>
            <w:bottom w:val="none" w:sz="0" w:space="0" w:color="auto"/>
            <w:right w:val="none" w:sz="0" w:space="0" w:color="auto"/>
          </w:divBdr>
        </w:div>
        <w:div w:id="1930582489">
          <w:marLeft w:val="0"/>
          <w:marRight w:val="0"/>
          <w:marTop w:val="120"/>
          <w:marBottom w:val="120"/>
          <w:divBdr>
            <w:top w:val="none" w:sz="0" w:space="0" w:color="auto"/>
            <w:left w:val="none" w:sz="0" w:space="0" w:color="auto"/>
            <w:bottom w:val="none" w:sz="0" w:space="0" w:color="auto"/>
            <w:right w:val="none" w:sz="0" w:space="0" w:color="auto"/>
          </w:divBdr>
        </w:div>
      </w:divsChild>
    </w:div>
    <w:div w:id="2016221339">
      <w:marLeft w:val="0"/>
      <w:marRight w:val="0"/>
      <w:marTop w:val="120"/>
      <w:marBottom w:val="120"/>
      <w:divBdr>
        <w:top w:val="none" w:sz="0" w:space="0" w:color="auto"/>
        <w:left w:val="none" w:sz="0" w:space="0" w:color="auto"/>
        <w:bottom w:val="none" w:sz="0" w:space="0" w:color="auto"/>
        <w:right w:val="none" w:sz="0" w:space="0" w:color="auto"/>
      </w:divBdr>
    </w:div>
    <w:div w:id="2029941702">
      <w:marLeft w:val="0"/>
      <w:marRight w:val="0"/>
      <w:marTop w:val="120"/>
      <w:marBottom w:val="120"/>
      <w:divBdr>
        <w:top w:val="none" w:sz="0" w:space="0" w:color="auto"/>
        <w:left w:val="none" w:sz="0" w:space="0" w:color="auto"/>
        <w:bottom w:val="none" w:sz="0" w:space="0" w:color="auto"/>
        <w:right w:val="none" w:sz="0" w:space="0" w:color="auto"/>
      </w:divBdr>
    </w:div>
    <w:div w:id="2036543310">
      <w:marLeft w:val="0"/>
      <w:marRight w:val="0"/>
      <w:marTop w:val="120"/>
      <w:marBottom w:val="120"/>
      <w:divBdr>
        <w:top w:val="none" w:sz="0" w:space="0" w:color="auto"/>
        <w:left w:val="none" w:sz="0" w:space="0" w:color="auto"/>
        <w:bottom w:val="none" w:sz="0" w:space="0" w:color="auto"/>
        <w:right w:val="none" w:sz="0" w:space="0" w:color="auto"/>
      </w:divBdr>
    </w:div>
    <w:div w:id="2038118462">
      <w:marLeft w:val="0"/>
      <w:marRight w:val="0"/>
      <w:marTop w:val="120"/>
      <w:marBottom w:val="120"/>
      <w:divBdr>
        <w:top w:val="none" w:sz="0" w:space="0" w:color="auto"/>
        <w:left w:val="none" w:sz="0" w:space="0" w:color="auto"/>
        <w:bottom w:val="none" w:sz="0" w:space="0" w:color="auto"/>
        <w:right w:val="none" w:sz="0" w:space="0" w:color="auto"/>
      </w:divBdr>
    </w:div>
    <w:div w:id="2042973205">
      <w:marLeft w:val="0"/>
      <w:marRight w:val="0"/>
      <w:marTop w:val="120"/>
      <w:marBottom w:val="120"/>
      <w:divBdr>
        <w:top w:val="none" w:sz="0" w:space="0" w:color="auto"/>
        <w:left w:val="none" w:sz="0" w:space="0" w:color="auto"/>
        <w:bottom w:val="none" w:sz="0" w:space="0" w:color="auto"/>
        <w:right w:val="none" w:sz="0" w:space="0" w:color="auto"/>
      </w:divBdr>
    </w:div>
    <w:div w:id="2048329949">
      <w:marLeft w:val="0"/>
      <w:marRight w:val="0"/>
      <w:marTop w:val="120"/>
      <w:marBottom w:val="120"/>
      <w:divBdr>
        <w:top w:val="none" w:sz="0" w:space="0" w:color="auto"/>
        <w:left w:val="none" w:sz="0" w:space="0" w:color="auto"/>
        <w:bottom w:val="none" w:sz="0" w:space="0" w:color="auto"/>
        <w:right w:val="none" w:sz="0" w:space="0" w:color="auto"/>
      </w:divBdr>
    </w:div>
    <w:div w:id="2050648020">
      <w:marLeft w:val="0"/>
      <w:marRight w:val="0"/>
      <w:marTop w:val="120"/>
      <w:marBottom w:val="120"/>
      <w:divBdr>
        <w:top w:val="none" w:sz="0" w:space="0" w:color="auto"/>
        <w:left w:val="none" w:sz="0" w:space="0" w:color="auto"/>
        <w:bottom w:val="none" w:sz="0" w:space="0" w:color="auto"/>
        <w:right w:val="none" w:sz="0" w:space="0" w:color="auto"/>
      </w:divBdr>
    </w:div>
    <w:div w:id="2050911886">
      <w:marLeft w:val="0"/>
      <w:marRight w:val="0"/>
      <w:marTop w:val="120"/>
      <w:marBottom w:val="120"/>
      <w:divBdr>
        <w:top w:val="none" w:sz="0" w:space="0" w:color="auto"/>
        <w:left w:val="none" w:sz="0" w:space="0" w:color="auto"/>
        <w:bottom w:val="none" w:sz="0" w:space="0" w:color="auto"/>
        <w:right w:val="none" w:sz="0" w:space="0" w:color="auto"/>
      </w:divBdr>
    </w:div>
    <w:div w:id="2055277046">
      <w:marLeft w:val="0"/>
      <w:marRight w:val="0"/>
      <w:marTop w:val="120"/>
      <w:marBottom w:val="20"/>
      <w:divBdr>
        <w:top w:val="none" w:sz="0" w:space="0" w:color="auto"/>
        <w:left w:val="none" w:sz="0" w:space="0" w:color="auto"/>
        <w:bottom w:val="none" w:sz="0" w:space="0" w:color="auto"/>
        <w:right w:val="none" w:sz="0" w:space="0" w:color="auto"/>
      </w:divBdr>
    </w:div>
    <w:div w:id="2059889391">
      <w:marLeft w:val="0"/>
      <w:marRight w:val="0"/>
      <w:marTop w:val="120"/>
      <w:marBottom w:val="120"/>
      <w:divBdr>
        <w:top w:val="none" w:sz="0" w:space="0" w:color="auto"/>
        <w:left w:val="none" w:sz="0" w:space="0" w:color="auto"/>
        <w:bottom w:val="none" w:sz="0" w:space="0" w:color="auto"/>
        <w:right w:val="none" w:sz="0" w:space="0" w:color="auto"/>
      </w:divBdr>
    </w:div>
    <w:div w:id="2064257477">
      <w:marLeft w:val="0"/>
      <w:marRight w:val="0"/>
      <w:marTop w:val="120"/>
      <w:marBottom w:val="120"/>
      <w:divBdr>
        <w:top w:val="none" w:sz="0" w:space="0" w:color="auto"/>
        <w:left w:val="none" w:sz="0" w:space="0" w:color="auto"/>
        <w:bottom w:val="none" w:sz="0" w:space="0" w:color="auto"/>
        <w:right w:val="none" w:sz="0" w:space="0" w:color="auto"/>
      </w:divBdr>
    </w:div>
    <w:div w:id="2065785081">
      <w:marLeft w:val="0"/>
      <w:marRight w:val="0"/>
      <w:marTop w:val="120"/>
      <w:marBottom w:val="120"/>
      <w:divBdr>
        <w:top w:val="none" w:sz="0" w:space="0" w:color="auto"/>
        <w:left w:val="none" w:sz="0" w:space="0" w:color="auto"/>
        <w:bottom w:val="none" w:sz="0" w:space="0" w:color="auto"/>
        <w:right w:val="none" w:sz="0" w:space="0" w:color="auto"/>
      </w:divBdr>
    </w:div>
    <w:div w:id="2069917850">
      <w:marLeft w:val="0"/>
      <w:marRight w:val="0"/>
      <w:marTop w:val="120"/>
      <w:marBottom w:val="120"/>
      <w:divBdr>
        <w:top w:val="none" w:sz="0" w:space="0" w:color="auto"/>
        <w:left w:val="none" w:sz="0" w:space="0" w:color="auto"/>
        <w:bottom w:val="none" w:sz="0" w:space="0" w:color="auto"/>
        <w:right w:val="none" w:sz="0" w:space="0" w:color="auto"/>
      </w:divBdr>
    </w:div>
    <w:div w:id="2071534719">
      <w:marLeft w:val="0"/>
      <w:marRight w:val="0"/>
      <w:marTop w:val="120"/>
      <w:marBottom w:val="60"/>
      <w:divBdr>
        <w:top w:val="none" w:sz="0" w:space="0" w:color="auto"/>
        <w:left w:val="none" w:sz="0" w:space="0" w:color="auto"/>
        <w:bottom w:val="none" w:sz="0" w:space="0" w:color="auto"/>
        <w:right w:val="none" w:sz="0" w:space="0" w:color="auto"/>
      </w:divBdr>
    </w:div>
    <w:div w:id="2072657373">
      <w:marLeft w:val="0"/>
      <w:marRight w:val="0"/>
      <w:marTop w:val="0"/>
      <w:marBottom w:val="0"/>
      <w:divBdr>
        <w:top w:val="none" w:sz="0" w:space="0" w:color="auto"/>
        <w:left w:val="none" w:sz="0" w:space="0" w:color="auto"/>
        <w:bottom w:val="none" w:sz="0" w:space="0" w:color="auto"/>
        <w:right w:val="none" w:sz="0" w:space="0" w:color="auto"/>
      </w:divBdr>
      <w:divsChild>
        <w:div w:id="1554078699">
          <w:marLeft w:val="0"/>
          <w:marRight w:val="0"/>
          <w:marTop w:val="0"/>
          <w:marBottom w:val="0"/>
          <w:divBdr>
            <w:top w:val="none" w:sz="0" w:space="0" w:color="auto"/>
            <w:left w:val="none" w:sz="0" w:space="0" w:color="auto"/>
            <w:bottom w:val="none" w:sz="0" w:space="0" w:color="auto"/>
            <w:right w:val="none" w:sz="0" w:space="0" w:color="auto"/>
          </w:divBdr>
          <w:divsChild>
            <w:div w:id="11361482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7827636">
      <w:marLeft w:val="0"/>
      <w:marRight w:val="0"/>
      <w:marTop w:val="120"/>
      <w:marBottom w:val="120"/>
      <w:divBdr>
        <w:top w:val="none" w:sz="0" w:space="0" w:color="auto"/>
        <w:left w:val="none" w:sz="0" w:space="0" w:color="auto"/>
        <w:bottom w:val="none" w:sz="0" w:space="0" w:color="auto"/>
        <w:right w:val="none" w:sz="0" w:space="0" w:color="auto"/>
      </w:divBdr>
    </w:div>
    <w:div w:id="2101831974">
      <w:marLeft w:val="0"/>
      <w:marRight w:val="0"/>
      <w:marTop w:val="120"/>
      <w:marBottom w:val="120"/>
      <w:divBdr>
        <w:top w:val="none" w:sz="0" w:space="0" w:color="auto"/>
        <w:left w:val="none" w:sz="0" w:space="0" w:color="auto"/>
        <w:bottom w:val="none" w:sz="0" w:space="0" w:color="auto"/>
        <w:right w:val="none" w:sz="0" w:space="0" w:color="auto"/>
      </w:divBdr>
    </w:div>
    <w:div w:id="2106340323">
      <w:marLeft w:val="0"/>
      <w:marRight w:val="0"/>
      <w:marTop w:val="120"/>
      <w:marBottom w:val="120"/>
      <w:divBdr>
        <w:top w:val="none" w:sz="0" w:space="0" w:color="auto"/>
        <w:left w:val="none" w:sz="0" w:space="0" w:color="auto"/>
        <w:bottom w:val="none" w:sz="0" w:space="0" w:color="auto"/>
        <w:right w:val="none" w:sz="0" w:space="0" w:color="auto"/>
      </w:divBdr>
    </w:div>
    <w:div w:id="2113012719">
      <w:marLeft w:val="0"/>
      <w:marRight w:val="0"/>
      <w:marTop w:val="120"/>
      <w:marBottom w:val="120"/>
      <w:divBdr>
        <w:top w:val="none" w:sz="0" w:space="0" w:color="auto"/>
        <w:left w:val="none" w:sz="0" w:space="0" w:color="auto"/>
        <w:bottom w:val="none" w:sz="0" w:space="0" w:color="auto"/>
        <w:right w:val="none" w:sz="0" w:space="0" w:color="auto"/>
      </w:divBdr>
    </w:div>
    <w:div w:id="2120758778">
      <w:marLeft w:val="0"/>
      <w:marRight w:val="0"/>
      <w:marTop w:val="120"/>
      <w:marBottom w:val="60"/>
      <w:divBdr>
        <w:top w:val="none" w:sz="0" w:space="0" w:color="auto"/>
        <w:left w:val="none" w:sz="0" w:space="0" w:color="auto"/>
        <w:bottom w:val="none" w:sz="0" w:space="0" w:color="auto"/>
        <w:right w:val="none" w:sz="0" w:space="0" w:color="auto"/>
      </w:divBdr>
    </w:div>
    <w:div w:id="2125342883">
      <w:marLeft w:val="0"/>
      <w:marRight w:val="0"/>
      <w:marTop w:val="120"/>
      <w:marBottom w:val="120"/>
      <w:divBdr>
        <w:top w:val="none" w:sz="0" w:space="0" w:color="auto"/>
        <w:left w:val="none" w:sz="0" w:space="0" w:color="auto"/>
        <w:bottom w:val="none" w:sz="0" w:space="0" w:color="auto"/>
        <w:right w:val="none" w:sz="0" w:space="0" w:color="auto"/>
      </w:divBdr>
    </w:div>
    <w:div w:id="2133159994">
      <w:marLeft w:val="0"/>
      <w:marRight w:val="0"/>
      <w:marTop w:val="120"/>
      <w:marBottom w:val="120"/>
      <w:divBdr>
        <w:top w:val="none" w:sz="0" w:space="0" w:color="auto"/>
        <w:left w:val="none" w:sz="0" w:space="0" w:color="auto"/>
        <w:bottom w:val="none" w:sz="0" w:space="0" w:color="auto"/>
        <w:right w:val="none" w:sz="0" w:space="0" w:color="auto"/>
      </w:divBdr>
    </w:div>
    <w:div w:id="2135520106">
      <w:marLeft w:val="0"/>
      <w:marRight w:val="0"/>
      <w:marTop w:val="0"/>
      <w:marBottom w:val="0"/>
      <w:divBdr>
        <w:top w:val="none" w:sz="0" w:space="0" w:color="auto"/>
        <w:left w:val="none" w:sz="0" w:space="0" w:color="auto"/>
        <w:bottom w:val="none" w:sz="0" w:space="0" w:color="auto"/>
        <w:right w:val="none" w:sz="0" w:space="0" w:color="auto"/>
      </w:divBdr>
      <w:divsChild>
        <w:div w:id="2099521177">
          <w:marLeft w:val="0"/>
          <w:marRight w:val="0"/>
          <w:marTop w:val="120"/>
          <w:marBottom w:val="120"/>
          <w:divBdr>
            <w:top w:val="none" w:sz="0" w:space="0" w:color="auto"/>
            <w:left w:val="none" w:sz="0" w:space="0" w:color="auto"/>
            <w:bottom w:val="none" w:sz="0" w:space="0" w:color="auto"/>
            <w:right w:val="none" w:sz="0" w:space="0" w:color="auto"/>
          </w:divBdr>
        </w:div>
        <w:div w:id="1299383583">
          <w:marLeft w:val="0"/>
          <w:marRight w:val="0"/>
          <w:marTop w:val="120"/>
          <w:marBottom w:val="120"/>
          <w:divBdr>
            <w:top w:val="none" w:sz="0" w:space="0" w:color="auto"/>
            <w:left w:val="none" w:sz="0" w:space="0" w:color="auto"/>
            <w:bottom w:val="none" w:sz="0" w:space="0" w:color="auto"/>
            <w:right w:val="none" w:sz="0" w:space="0" w:color="auto"/>
          </w:divBdr>
        </w:div>
      </w:divsChild>
    </w:div>
    <w:div w:id="2136437399">
      <w:marLeft w:val="0"/>
      <w:marRight w:val="0"/>
      <w:marTop w:val="120"/>
      <w:marBottom w:val="240"/>
      <w:divBdr>
        <w:top w:val="none" w:sz="0" w:space="0" w:color="auto"/>
        <w:left w:val="none" w:sz="0" w:space="0" w:color="auto"/>
        <w:bottom w:val="none" w:sz="0" w:space="0" w:color="auto"/>
        <w:right w:val="none" w:sz="0" w:space="0" w:color="auto"/>
      </w:divBdr>
    </w:div>
    <w:div w:id="2141343718">
      <w:marLeft w:val="0"/>
      <w:marRight w:val="0"/>
      <w:marTop w:val="12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2021q2ex321.htm" TargetMode="External"/><Relationship Id="rId3" Type="http://schemas.openxmlformats.org/officeDocument/2006/relationships/webSettings" Target="webSettings.xml"/><Relationship Id="rId7" Type="http://schemas.openxmlformats.org/officeDocument/2006/relationships/hyperlink" Target="a2021q2ex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21q2ex311.htm" TargetMode="External"/><Relationship Id="rId5" Type="http://schemas.openxmlformats.org/officeDocument/2006/relationships/hyperlink" Target="exhibit101rsugrantagreement.htm" TargetMode="External"/><Relationship Id="rId10" Type="http://schemas.openxmlformats.org/officeDocument/2006/relationships/theme" Target="theme/theme1.xml"/><Relationship Id="rId4" Type="http://schemas.openxmlformats.org/officeDocument/2006/relationships/image" Target="file:///E:\projects\LLMs\new_data_collection\data_new\htm\WORLD%20KINECT%20CORP\int-20210630_g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23122</Words>
  <Characters>131797</Characters>
  <Application>Microsoft Office Word</Application>
  <DocSecurity>0</DocSecurity>
  <Lines>1098</Lines>
  <Paragraphs>309</Paragraphs>
  <ScaleCrop>false</ScaleCrop>
  <Company/>
  <LinksUpToDate>false</LinksUpToDate>
  <CharactersWithSpaces>154610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int-20210630</dc:title>
  <dc:subject/>
  <dc:creator>Chongjian.Yue</dc:creator>
  <cp:keywords/>
  <dc:description/>
  <cp:lastModifiedBy>Yue Chongjian</cp:lastModifiedBy>
  <cp:revision>1</cp:revision>
  <dcterms:created xsi:type="dcterms:W3CDTF">2024-01-04T16:05:00Z</dcterms:created>
  <dcterms:modified xsi:type="dcterms:W3CDTF">2024-01-04T16:05:00Z</dcterms:modified>
</cp:coreProperties>
</file>